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gif" ContentType="image/gif"/>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ascii="楷体_GB2312" w:hAnsi="楷体_GB2312" w:eastAsia="楷体_GB2312" w:cs="楷体_GB2312"/>
          <w:color w:val="000000"/>
          <w:kern w:val="0"/>
          <w:sz w:val="40"/>
          <w:szCs w:val="40"/>
        </w:rPr>
      </w:pPr>
      <w:r>
        <w:drawing>
          <wp:anchor distT="0" distB="0" distL="114300" distR="114300" simplePos="0" relativeHeight="251659264" behindDoc="1" locked="0" layoutInCell="1" allowOverlap="1">
            <wp:simplePos x="0" y="0"/>
            <wp:positionH relativeFrom="column">
              <wp:posOffset>-1016635</wp:posOffset>
            </wp:positionH>
            <wp:positionV relativeFrom="paragraph">
              <wp:posOffset>-1360170</wp:posOffset>
            </wp:positionV>
            <wp:extent cx="7592060" cy="10739755"/>
            <wp:effectExtent l="19050" t="0" r="8890" b="0"/>
            <wp:wrapNone/>
            <wp:docPr id="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
                    <pic:cNvPicPr>
                      <a:picLocks noChangeAspect="1" noChangeArrowheads="1"/>
                    </pic:cNvPicPr>
                  </pic:nvPicPr>
                  <pic:blipFill>
                    <a:blip r:embed="rId13" cstate="print"/>
                    <a:srcRect/>
                    <a:stretch>
                      <a:fillRect/>
                    </a:stretch>
                  </pic:blipFill>
                  <pic:spPr>
                    <a:xfrm>
                      <a:off x="0" y="0"/>
                      <a:ext cx="7592060" cy="10739755"/>
                    </a:xfrm>
                    <a:prstGeom prst="rect">
                      <a:avLst/>
                    </a:prstGeom>
                    <a:noFill/>
                    <a:ln w="9525" cmpd="sng">
                      <a:noFill/>
                      <a:miter lim="800000"/>
                      <a:headEnd/>
                      <a:tailEnd/>
                    </a:ln>
                  </pic:spPr>
                </pic:pic>
              </a:graphicData>
            </a:graphic>
          </wp:anchor>
        </w:drawing>
      </w:r>
      <w:r>
        <w:pict>
          <v:rect id="矩形 1" o:spid="_x0000_s2057" o:spt="1" style="position:absolute;left:0pt;margin-left:128.25pt;margin-top:619.9pt;height:40.75pt;width:167.85pt;z-index:251666432;mso-width-relative:page;mso-height-relative:page;" filled="f" stroked="f" coordsize="21600,21600" o:gfxdata="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ATH9n3AAAAA0BAAAP&#10;AAAAAAAAAAEAIAAAACIAAABkcnMvZG93bnJldi54bWxQSwECFAAUAAAACACHTuJAqQmc9KIBAABB&#10;AwAADgAAAAAAAAABACAAAAArAQAAZHJzL2Uyb0RvYy54bWxQSwUGAAAAAAYABgBZAQAAPwUAAAAA&#10;">
            <v:path/>
            <v:fill on="f" focussize="0,0"/>
            <v:stroke on="f"/>
            <v:imagedata o:title=""/>
            <o:lock v:ext="edit"/>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2021年10月</w:t>
                  </w:r>
                </w:p>
              </w:txbxContent>
            </v:textbox>
          </v:rect>
        </w:pict>
      </w:r>
      <w:r>
        <w:br w:type="page"/>
      </w:r>
    </w:p>
    <w:p>
      <w:pPr>
        <w:snapToGrid w:val="0"/>
        <w:jc w:val="center"/>
        <w:rPr>
          <w:rFonts w:ascii="楷体_GB2312" w:hAnsi="楷体_GB2312" w:eastAsia="楷体_GB2312" w:cs="楷体_GB2312"/>
          <w:color w:val="000000"/>
          <w:kern w:val="0"/>
          <w:sz w:val="40"/>
          <w:szCs w:val="40"/>
        </w:rPr>
      </w:pPr>
    </w:p>
    <w:p>
      <w:pPr>
        <w:jc w:val="center"/>
        <w:rPr>
          <w:rFonts w:hint="eastAsia" w:ascii="黑体" w:hAnsi="黑体" w:eastAsia="黑体"/>
          <w:sz w:val="72"/>
          <w:szCs w:val="96"/>
        </w:rPr>
      </w:pPr>
      <w:r>
        <w:rPr>
          <w:rFonts w:hint="eastAsia" w:ascii="黑体" w:hAnsi="黑体" w:eastAsia="黑体"/>
          <w:sz w:val="72"/>
          <w:szCs w:val="96"/>
        </w:rPr>
        <w:t>石家庄市藁城区人力资源和社会保障局</w:t>
      </w:r>
    </w:p>
    <w:p>
      <w:pPr>
        <w:jc w:val="center"/>
        <w:rPr>
          <w:rFonts w:ascii="黑体" w:hAnsi="黑体" w:eastAsia="黑体"/>
          <w:sz w:val="72"/>
          <w:szCs w:val="96"/>
        </w:rPr>
      </w:pPr>
      <w:r>
        <w:rPr>
          <w:rFonts w:hint="eastAsia" w:ascii="黑体" w:hAnsi="黑体" w:eastAsia="黑体"/>
          <w:sz w:val="72"/>
          <w:szCs w:val="96"/>
        </w:rPr>
        <w:t>2020年度部门决算公开文本</w:t>
      </w:r>
    </w:p>
    <w:p>
      <w:pPr>
        <w:spacing w:line="36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napToGrid w:val="0"/>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sectPr>
          <w:pgSz w:w="11906" w:h="16838"/>
          <w:pgMar w:top="2098" w:right="1531" w:bottom="1984"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0"/>
          <w:szCs w:val="40"/>
        </w:rPr>
        <w:t>二〇二一年十月</w:t>
      </w:r>
    </w:p>
    <w:p>
      <w:pPr>
        <w:snapToGrid w:val="0"/>
        <w:jc w:val="center"/>
        <w:rPr>
          <w:rFonts w:ascii="楷体_GB2312" w:hAnsi="楷体_GB2312" w:eastAsia="楷体_GB2312" w:cs="楷体_GB2312"/>
          <w:color w:val="000000"/>
          <w:kern w:val="0"/>
          <w:sz w:val="40"/>
          <w:szCs w:val="40"/>
        </w:rPr>
        <w:sectPr>
          <w:headerReference r:id="rId4" w:type="first"/>
          <w:footerReference r:id="rId5" w:type="first"/>
          <w:headerReference r:id="rId3" w:type="default"/>
          <w:pgSz w:w="11906" w:h="16838"/>
          <w:pgMar w:top="2098" w:right="1531" w:bottom="1984" w:left="1531" w:header="851" w:footer="992" w:gutter="0"/>
          <w:cols w:space="720" w:num="1"/>
          <w:titlePg/>
          <w:docGrid w:type="lines" w:linePitch="312" w:charSpace="0"/>
        </w:sect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72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rect id="_x0000_s2051" o:spid="_x0000_s2051" o:spt="1" style="position:absolute;left:0pt;margin-left:-85.7pt;margin-top:80.7pt;height:263.1pt;width:613.65pt;z-index:251660288;mso-width-relative:page;mso-height-relative:page;" fillcolor="#7F7F7F" filled="t" stroked="t" coordsize="21600,21600" o:gfxdata="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PMpyjTZAAAADQEAAA8AAAAAAAAAAQAgAAAAIgAAAGRycy9kb3ducmV2Lnht&#10;bFBLAQIUABQAAAAIAIdO4kC0ltP5MQIAAJYEAAAOAAAAAAAAAAEAIAAAACgBAABkcnMvZTJvRG9j&#10;LnhtbFBLBQYAAAAABgAGAFkBAADLBQAAAAA=&#10;">
            <v:path/>
            <v:fill type="pattern" on="t" focussize="0,0" r:id="rId14"/>
            <v:stroke weight="1pt" color="#A5A5A5"/>
            <v:imagedata o:title=""/>
            <o:lock v:ext="edit"/>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v:textbox>
          </v:rect>
        </w:pict>
      </w:r>
      <w:r>
        <w:br w:type="page"/>
      </w:r>
    </w:p>
    <w:p>
      <w:pPr>
        <w:pStyle w:val="2"/>
        <w:spacing w:before="0" w:after="0" w:line="580" w:lineRule="exact"/>
        <w:ind w:firstLine="640" w:firstLineChars="200"/>
        <w:jc w:val="left"/>
        <w:rPr>
          <w:rFonts w:hint="eastAsia" w:ascii="仿宋" w:hAnsi="仿宋" w:eastAsia="仿宋"/>
          <w:color w:val="000000"/>
          <w:sz w:val="32"/>
          <w:szCs w:val="32"/>
        </w:rPr>
      </w:pPr>
      <w:r>
        <w:rPr>
          <w:rFonts w:hint="eastAsia" w:ascii="黑体" w:eastAsia="黑体"/>
          <w:b w:val="0"/>
          <w:bCs w:val="0"/>
          <w:color w:val="000000"/>
          <w:kern w:val="0"/>
          <w:sz w:val="32"/>
          <w:szCs w:val="32"/>
        </w:rPr>
        <w:t>一、部门职责</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(一)</w:t>
      </w:r>
      <w:r>
        <w:rPr>
          <w:rFonts w:hint="eastAsia" w:ascii="仿宋" w:hAnsi="仿宋" w:eastAsia="仿宋"/>
          <w:color w:val="000000"/>
          <w:sz w:val="32"/>
          <w:szCs w:val="32"/>
        </w:rPr>
        <w:tab/>
      </w:r>
      <w:r>
        <w:rPr>
          <w:rFonts w:hint="eastAsia" w:ascii="仿宋" w:hAnsi="仿宋" w:eastAsia="仿宋"/>
          <w:color w:val="000000"/>
          <w:sz w:val="32"/>
          <w:szCs w:val="32"/>
        </w:rPr>
        <w:t>人才队伍建设</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综合管理全区各类专业技术人员和专业技术职称的改革工作，负责各类专家及高层次人才选拔和培养</w:t>
      </w:r>
      <w:r>
        <w:rPr>
          <w:rFonts w:hint="eastAsia" w:ascii="仿宋" w:hAnsi="仿宋" w:eastAsia="仿宋"/>
          <w:color w:val="000000"/>
          <w:sz w:val="32"/>
          <w:szCs w:val="32"/>
        </w:rPr>
        <w:tab/>
      </w:r>
      <w:r>
        <w:rPr>
          <w:rFonts w:hint="eastAsia" w:ascii="仿宋" w:hAnsi="仿宋" w:eastAsia="仿宋"/>
          <w:color w:val="000000"/>
          <w:sz w:val="32"/>
          <w:szCs w:val="32"/>
        </w:rPr>
        <w:t>建立健全我区各类专家及高层次人才、专业技术人才、技能人才队伍</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(二)</w:t>
      </w:r>
      <w:r>
        <w:rPr>
          <w:rFonts w:hint="eastAsia" w:ascii="仿宋" w:hAnsi="仿宋" w:eastAsia="仿宋"/>
          <w:color w:val="000000"/>
          <w:sz w:val="32"/>
          <w:szCs w:val="32"/>
        </w:rPr>
        <w:tab/>
      </w:r>
      <w:r>
        <w:rPr>
          <w:rFonts w:hint="eastAsia" w:ascii="仿宋" w:hAnsi="仿宋" w:eastAsia="仿宋"/>
          <w:color w:val="000000"/>
          <w:sz w:val="32"/>
          <w:szCs w:val="32"/>
        </w:rPr>
        <w:t>人事管理</w:t>
      </w:r>
      <w:r>
        <w:rPr>
          <w:rFonts w:hint="eastAsia" w:ascii="仿宋" w:hAnsi="仿宋" w:eastAsia="仿宋"/>
          <w:color w:val="000000"/>
          <w:sz w:val="32"/>
          <w:szCs w:val="32"/>
        </w:rPr>
        <w:tab/>
      </w:r>
      <w:r>
        <w:rPr>
          <w:rFonts w:hint="eastAsia" w:ascii="仿宋" w:hAnsi="仿宋" w:eastAsia="仿宋"/>
          <w:color w:val="000000"/>
          <w:sz w:val="32"/>
          <w:szCs w:val="32"/>
        </w:rPr>
        <w:t>对区直政府系统事业单位人事工作进行综合指导、监督检查、协调服务。负责事业单位岗位设置管理。确保事业单位公开招聘公平、公正</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(三)</w:t>
      </w:r>
      <w:r>
        <w:rPr>
          <w:rFonts w:hint="eastAsia" w:ascii="仿宋" w:hAnsi="仿宋" w:eastAsia="仿宋"/>
          <w:color w:val="000000"/>
          <w:sz w:val="32"/>
          <w:szCs w:val="32"/>
        </w:rPr>
        <w:tab/>
      </w:r>
      <w:r>
        <w:rPr>
          <w:rFonts w:hint="eastAsia" w:ascii="仿宋" w:hAnsi="仿宋" w:eastAsia="仿宋"/>
          <w:color w:val="000000"/>
          <w:sz w:val="32"/>
          <w:szCs w:val="32"/>
        </w:rPr>
        <w:t>工资制度改革</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贯彻落实企事业单位人员工资收入分配政策，建立全区企事业单位人员工资正常增长和支付保障机制，负责全区政府系统科以下事业单位人员福利和离退休工作，并负责监督检查深化企事业单位工资制度改革</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(四)</w:t>
      </w:r>
      <w:r>
        <w:rPr>
          <w:rFonts w:hint="eastAsia" w:ascii="仿宋" w:hAnsi="仿宋" w:eastAsia="仿宋"/>
          <w:color w:val="000000"/>
          <w:sz w:val="32"/>
          <w:szCs w:val="32"/>
        </w:rPr>
        <w:tab/>
      </w:r>
      <w:r>
        <w:rPr>
          <w:rFonts w:hint="eastAsia" w:ascii="仿宋" w:hAnsi="仿宋" w:eastAsia="仿宋"/>
          <w:color w:val="000000"/>
          <w:sz w:val="32"/>
          <w:szCs w:val="32"/>
        </w:rPr>
        <w:t>劳动关系管理</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综合管理全区劳动人事争议预防、协调、仲裁工作；指导企业及基层劳动人事争议调解委员会的工作；完善劳动关系协调机制，依法行使国家劳动和社会保障监督检查权，协调劳动者维权工作，依法查处重大案件,加强劳动关系协调机制建设，构建和谐顺畅劳动关系</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(五)</w:t>
      </w:r>
      <w:r>
        <w:rPr>
          <w:rFonts w:hint="eastAsia" w:ascii="仿宋" w:hAnsi="仿宋" w:eastAsia="仿宋"/>
          <w:color w:val="000000"/>
          <w:sz w:val="32"/>
          <w:szCs w:val="32"/>
        </w:rPr>
        <w:tab/>
      </w:r>
      <w:r>
        <w:rPr>
          <w:rFonts w:hint="eastAsia" w:ascii="仿宋" w:hAnsi="仿宋" w:eastAsia="仿宋"/>
          <w:color w:val="000000"/>
          <w:sz w:val="32"/>
          <w:szCs w:val="32"/>
        </w:rPr>
        <w:t>人社政务管理</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综合协调局政务、事务,负责全区人力资源和社会保障的宣传和舆情研究</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(六)</w:t>
      </w:r>
      <w:r>
        <w:rPr>
          <w:rFonts w:hint="eastAsia" w:ascii="仿宋" w:hAnsi="仿宋" w:eastAsia="仿宋"/>
          <w:color w:val="000000"/>
          <w:sz w:val="32"/>
          <w:szCs w:val="32"/>
        </w:rPr>
        <w:tab/>
      </w:r>
      <w:r>
        <w:rPr>
          <w:rFonts w:hint="eastAsia" w:ascii="仿宋" w:hAnsi="仿宋" w:eastAsia="仿宋"/>
          <w:color w:val="000000"/>
          <w:sz w:val="32"/>
          <w:szCs w:val="32"/>
        </w:rPr>
        <w:t>社会保险稽核</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进行执法检查《社会保险稽核》，实地稽核、举报稽核、约谈稽核,组织实施社会保险稽核，强化风险防控，规范经办行为</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rPr>
      </w:pPr>
      <w:r>
        <w:rPr>
          <w:rFonts w:hint="eastAsia" w:ascii="仿宋" w:hAnsi="仿宋" w:eastAsia="仿宋"/>
          <w:color w:val="000000"/>
          <w:sz w:val="32"/>
          <w:szCs w:val="32"/>
        </w:rPr>
        <w:t>(七)</w:t>
      </w:r>
      <w:r>
        <w:rPr>
          <w:rFonts w:hint="eastAsia" w:ascii="仿宋" w:hAnsi="仿宋" w:eastAsia="仿宋"/>
          <w:color w:val="000000"/>
          <w:sz w:val="32"/>
          <w:szCs w:val="32"/>
        </w:rPr>
        <w:tab/>
      </w:r>
      <w:r>
        <w:rPr>
          <w:rFonts w:hint="eastAsia" w:ascii="仿宋" w:hAnsi="仿宋" w:eastAsia="仿宋"/>
          <w:color w:val="000000"/>
          <w:sz w:val="32"/>
          <w:szCs w:val="32"/>
        </w:rPr>
        <w:t>城乡居民基本养老保险</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完善我区社会保障体系，统筹城乡社会发展，全面建立公平、统一、规范、可持续的城乡居民基本养老保险制度，实现老有所养的社会建设目标。按照业务流程操作业务,确保基金及时到账,保证基金安全运行,养老金及时足额发放无拖欠。维护失地农民合法权益。</w:t>
      </w:r>
    </w:p>
    <w:p>
      <w:pPr>
        <w:ind w:firstLine="640" w:firstLineChars="200"/>
        <w:outlineLvl w:val="0"/>
        <w:rPr>
          <w:rFonts w:hint="eastAsia" w:ascii="仿宋" w:hAnsi="仿宋" w:eastAsia="仿宋"/>
          <w:color w:val="000000"/>
          <w:sz w:val="32"/>
          <w:szCs w:val="32"/>
        </w:rPr>
      </w:pPr>
      <w:r>
        <w:rPr>
          <w:rFonts w:hint="eastAsia" w:ascii="仿宋" w:hAnsi="仿宋" w:eastAsia="仿宋"/>
          <w:color w:val="000000"/>
          <w:sz w:val="32"/>
          <w:szCs w:val="32"/>
        </w:rPr>
        <w:t>(八)</w:t>
      </w:r>
      <w:r>
        <w:rPr>
          <w:rFonts w:hint="eastAsia" w:ascii="仿宋" w:hAnsi="仿宋" w:eastAsia="仿宋"/>
          <w:color w:val="000000"/>
          <w:sz w:val="32"/>
          <w:szCs w:val="32"/>
        </w:rPr>
        <w:tab/>
      </w:r>
      <w:r>
        <w:rPr>
          <w:rFonts w:hint="eastAsia" w:ascii="仿宋" w:hAnsi="仿宋" w:eastAsia="仿宋"/>
          <w:color w:val="000000"/>
          <w:sz w:val="32"/>
          <w:szCs w:val="32"/>
        </w:rPr>
        <w:t>信息管理、计算机及附属设备的配置和维护，社会保障卡的管理工作</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负责本单位政府信息公开；单位计算机及附属设备的配置，网格系统平台的运行维护和管理。制定社会保障卡信息采集工作要求、社保卡发放流程及社保卡综合管理的工作规范。及时准确公开单位信息，保障人民群众的知情权；保证单位计算机及网络系统的正常运转，保证单位工作的正常开展。保证社保卡尽快发放到所有参保人手中。</w:t>
      </w:r>
    </w:p>
    <w:p>
      <w:pPr>
        <w:ind w:firstLine="640" w:firstLineChars="200"/>
        <w:outlineLvl w:val="0"/>
        <w:rPr>
          <w:rFonts w:hint="eastAsia" w:ascii="仿宋" w:hAnsi="仿宋" w:eastAsia="仿宋"/>
          <w:color w:val="000000"/>
          <w:sz w:val="32"/>
          <w:szCs w:val="32"/>
        </w:rPr>
      </w:pPr>
      <w:r>
        <w:rPr>
          <w:rFonts w:hint="eastAsia" w:ascii="仿宋" w:hAnsi="仿宋" w:eastAsia="仿宋"/>
          <w:color w:val="000000"/>
          <w:sz w:val="32"/>
          <w:szCs w:val="32"/>
        </w:rPr>
        <w:t>(九)</w:t>
      </w:r>
      <w:r>
        <w:rPr>
          <w:rFonts w:hint="eastAsia" w:ascii="仿宋" w:hAnsi="仿宋" w:eastAsia="仿宋"/>
          <w:color w:val="000000"/>
          <w:sz w:val="32"/>
          <w:szCs w:val="32"/>
        </w:rPr>
        <w:tab/>
      </w:r>
      <w:r>
        <w:rPr>
          <w:rFonts w:hint="eastAsia" w:ascii="仿宋" w:hAnsi="仿宋" w:eastAsia="仿宋"/>
          <w:color w:val="000000"/>
          <w:sz w:val="32"/>
          <w:szCs w:val="32"/>
        </w:rPr>
        <w:t>档案管理和各项查询服务企业离退休人员社会化管理，资格认证与体检</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1、严格按照归档范围，做好文书、业务、会计、声像、科技档案的收集整理保管工作；2、严格执行保密、借阅制度，维护档案的安全；3、做好档案移交、统计、利用、维护工作</w:t>
      </w:r>
      <w:r>
        <w:rPr>
          <w:rFonts w:hint="eastAsia" w:ascii="仿宋" w:hAnsi="仿宋" w:eastAsia="仿宋"/>
          <w:color w:val="000000"/>
          <w:sz w:val="32"/>
          <w:szCs w:val="32"/>
          <w:lang w:eastAsia="zh-CN"/>
        </w:rPr>
        <w:t>；</w:t>
      </w:r>
      <w:r>
        <w:rPr>
          <w:rFonts w:hint="eastAsia" w:ascii="仿宋" w:hAnsi="仿宋" w:eastAsia="仿宋"/>
          <w:color w:val="000000"/>
          <w:sz w:val="32"/>
          <w:szCs w:val="32"/>
        </w:rPr>
        <w:t>4、负责本辖区内企业退休人员社会化管理服务工作的业务指导，负责组织实施，统筹协调监督检查。严格履行档案管理职责，做到档案管理规范。防范基金风险，堵塞基金漏洞。</w:t>
      </w:r>
    </w:p>
    <w:p>
      <w:pPr>
        <w:ind w:firstLine="640" w:firstLineChars="200"/>
        <w:outlineLvl w:val="0"/>
        <w:rPr>
          <w:rFonts w:hint="eastAsia" w:ascii="仿宋" w:hAnsi="仿宋" w:eastAsia="仿宋"/>
          <w:color w:val="000000"/>
          <w:sz w:val="32"/>
          <w:szCs w:val="32"/>
        </w:rPr>
      </w:pPr>
      <w:r>
        <w:rPr>
          <w:rFonts w:hint="eastAsia" w:ascii="仿宋" w:hAnsi="仿宋" w:eastAsia="仿宋"/>
          <w:color w:val="000000"/>
          <w:sz w:val="32"/>
          <w:szCs w:val="32"/>
        </w:rPr>
        <w:t>(十)</w:t>
      </w:r>
      <w:r>
        <w:rPr>
          <w:rFonts w:hint="eastAsia" w:ascii="仿宋" w:hAnsi="仿宋" w:eastAsia="仿宋"/>
          <w:color w:val="000000"/>
          <w:sz w:val="32"/>
          <w:szCs w:val="32"/>
        </w:rPr>
        <w:tab/>
      </w:r>
      <w:r>
        <w:rPr>
          <w:rFonts w:hint="eastAsia" w:ascii="仿宋" w:hAnsi="仿宋" w:eastAsia="仿宋"/>
          <w:color w:val="000000"/>
          <w:sz w:val="32"/>
          <w:szCs w:val="32"/>
        </w:rPr>
        <w:t>机关事业单位及在职人员参保缴费管理</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ab/>
      </w:r>
      <w:r>
        <w:rPr>
          <w:rFonts w:hint="eastAsia" w:ascii="仿宋" w:hAnsi="仿宋" w:eastAsia="仿宋"/>
          <w:color w:val="000000"/>
          <w:sz w:val="32"/>
          <w:szCs w:val="32"/>
        </w:rPr>
        <w:t>负责参保单位申报审核，收缴养老保险费。保证参保率、收缴率，做到应保尽保、应收尽收。</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(十一)</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企业养老管理</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努力扩大养老保险覆盖面，审核企业养老保险费申报核定，扩大灵活人员和个体参保面，负责参保职工养老保险费个人账户的管理，负责养老保险关系的转移，负责退休人员待遇审核，负责离退人员待遇发放（抗战前期参加工作企业离休人员及遗属供养人员待遇支付等业务)</w:t>
      </w:r>
      <w:r>
        <w:rPr>
          <w:rFonts w:hint="eastAsia" w:ascii="仿宋" w:hAnsi="仿宋" w:eastAsia="仿宋"/>
          <w:color w:val="000000"/>
          <w:sz w:val="32"/>
          <w:szCs w:val="32"/>
          <w:lang w:eastAsia="zh-CN"/>
        </w:rPr>
        <w:t>，</w:t>
      </w:r>
      <w:r>
        <w:rPr>
          <w:rFonts w:hint="eastAsia" w:ascii="仿宋" w:hAnsi="仿宋" w:eastAsia="仿宋"/>
          <w:color w:val="000000"/>
          <w:sz w:val="32"/>
          <w:szCs w:val="32"/>
        </w:rPr>
        <w:t>为新参保单位和个人办理参保手续。督促企业实事求是的申报养老保险费，为个体工商户和灵活就业人员办理参保手续，核对在职职工的个人账户，促进参保人员跨省和省内人员就业流动，退休人员档案审核，待遇核准，发放离退休人员待遇</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(十二)</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工伤保险费征缴及待遇发放</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本区行政区域内的企业、事业单位、社会团体、民办非企业单位会计师事务所等组织和有雇工的个体工商户参保、缴费；经社保行政部门认（鉴）定后的工伤待遇发放,提高工伤保险参保率，确保工伤保险待遇落实到位</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(十三)</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就业再就业扶持政策落实</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贯彻落实就业再就业扶持政策政策，制定本区就业规划, 根据石财社【2012】16号，依法依规用好就业专项资金，落实就业创业优惠政策</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(十四)</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创业扶持政策落实</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贯彻落实创业扶持政策，鼓励创业促进就业，根据石政办发【2014】9号和石人社字【2014】65号，依法依规用好创业扶持资金，落实创业扶持政策</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val="en-US" w:eastAsia="zh-CN"/>
        </w:rPr>
      </w:pPr>
      <w:r>
        <w:rPr>
          <w:rFonts w:hint="eastAsia" w:ascii="仿宋" w:hAnsi="仿宋" w:eastAsia="仿宋"/>
          <w:color w:val="000000"/>
          <w:sz w:val="32"/>
          <w:szCs w:val="32"/>
        </w:rPr>
        <w:t>(十五)</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小额担保贷款</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落实小额担保贷款工作，根据财金【2013】84号，做好小额担保贷款工作</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(十六)</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就业服务体系建设</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培育和完善人力资源市场，规范人力资源市场活动，开展就业服务，落实城乡劳动者平等就业制度，积极促进就业促进失业人员再就业，控制城镇登记失业率，转移农村劳动力，保持就业形势的基本稳定</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rPr>
      </w:pPr>
      <w:r>
        <w:rPr>
          <w:rFonts w:hint="eastAsia" w:ascii="仿宋" w:hAnsi="仿宋" w:eastAsia="仿宋"/>
          <w:color w:val="000000"/>
          <w:sz w:val="32"/>
          <w:szCs w:val="32"/>
        </w:rPr>
        <w:t>(十七)</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失业保险管理</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ab/>
      </w:r>
      <w:r>
        <w:rPr>
          <w:rFonts w:hint="eastAsia" w:ascii="仿宋" w:hAnsi="仿宋" w:eastAsia="仿宋"/>
          <w:color w:val="000000"/>
          <w:sz w:val="32"/>
          <w:szCs w:val="32"/>
        </w:rPr>
        <w:t>失业保险金申报、审核。失业人员失业保险待遇核定发放，做好失业动态监测工作，及时足额落实失业保险待遇；完成失业动态监测。</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(十八)</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劳动技校政务管理</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协调各科室政务、事务，负责本单位后勤保障、党务党建、调研等综合性工作</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(十九)</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政策宣传，组织推动</w:t>
      </w:r>
      <w:r>
        <w:rPr>
          <w:rFonts w:hint="eastAsia" w:ascii="仿宋" w:hAnsi="仿宋" w:eastAsia="仿宋"/>
          <w:color w:val="000000"/>
          <w:sz w:val="32"/>
          <w:szCs w:val="32"/>
        </w:rPr>
        <w:tab/>
      </w:r>
      <w:r>
        <w:rPr>
          <w:rFonts w:hint="eastAsia" w:ascii="仿宋" w:hAnsi="仿宋" w:eastAsia="仿宋"/>
          <w:color w:val="000000"/>
          <w:sz w:val="32"/>
          <w:szCs w:val="32"/>
        </w:rPr>
        <w:t>贯彻执行国家的职业教育方针，落实上级人社部门有关职业教育的各项政策，完善技能人才培养体系，加大宣传力度，使国家政策深入人心</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(二十)</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全日制教育</w:t>
      </w:r>
      <w:r>
        <w:rPr>
          <w:rFonts w:hint="eastAsia" w:ascii="仿宋" w:hAnsi="仿宋" w:eastAsia="仿宋"/>
          <w:color w:val="000000"/>
          <w:sz w:val="32"/>
          <w:szCs w:val="32"/>
        </w:rPr>
        <w:tab/>
      </w:r>
      <w:r>
        <w:rPr>
          <w:rFonts w:hint="eastAsia" w:ascii="仿宋" w:hAnsi="仿宋" w:eastAsia="仿宋"/>
          <w:color w:val="000000"/>
          <w:sz w:val="32"/>
          <w:szCs w:val="32"/>
        </w:rPr>
        <w:t>主要承担通过学制教育培养中级技能人才任务，根据劳动力市场，确定专业设置、学制、招生人数</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(二十一)</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社会培训</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进一步加大社会职业培训力度，提高培训质量</w:t>
      </w:r>
      <w:r>
        <w:rPr>
          <w:rFonts w:hint="eastAsia" w:ascii="仿宋" w:hAnsi="仿宋" w:eastAsia="仿宋"/>
          <w:color w:val="000000"/>
          <w:sz w:val="32"/>
          <w:szCs w:val="32"/>
        </w:rPr>
        <w:tab/>
      </w:r>
      <w:r>
        <w:rPr>
          <w:rFonts w:hint="eastAsia" w:ascii="仿宋" w:hAnsi="仿宋" w:eastAsia="仿宋"/>
          <w:color w:val="000000"/>
          <w:sz w:val="32"/>
          <w:szCs w:val="32"/>
        </w:rPr>
        <w:t>采取自主培训、订单培训、岗前培训、劳动预备制培训等形式开展就业技能培训和创业培训</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(二十二)</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职业技能鉴定</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根据国家政策，受理职业技能鉴定申请，对申报者进行资格审查，组织合格申报人员按规定时间和方式进行考核考评，并负责向鉴定合格者发放职业资格证书，加大宣传力度，使国家政策深入人心，让申报者充分了解国家相关政策和职业资格国家准入制度</w:t>
      </w:r>
      <w:r>
        <w:rPr>
          <w:rFonts w:hint="eastAsia" w:ascii="仿宋" w:hAnsi="仿宋" w:eastAsia="仿宋"/>
          <w:color w:val="000000"/>
          <w:sz w:val="32"/>
          <w:szCs w:val="32"/>
          <w:lang w:eastAsia="zh-CN"/>
        </w:rPr>
        <w:t>。</w:t>
      </w:r>
    </w:p>
    <w:p>
      <w:pPr>
        <w:ind w:firstLine="640" w:firstLineChars="200"/>
        <w:outlineLvl w:val="0"/>
        <w:rPr>
          <w:rFonts w:hint="eastAsia" w:ascii="仿宋" w:hAnsi="仿宋" w:eastAsia="仿宋"/>
          <w:color w:val="000000"/>
          <w:sz w:val="32"/>
          <w:szCs w:val="32"/>
          <w:lang w:eastAsia="zh-CN"/>
        </w:rPr>
      </w:pPr>
      <w:r>
        <w:rPr>
          <w:rFonts w:hint="eastAsia" w:ascii="仿宋" w:hAnsi="仿宋" w:eastAsia="仿宋"/>
          <w:color w:val="000000"/>
          <w:sz w:val="32"/>
          <w:szCs w:val="32"/>
        </w:rPr>
        <w:t>(二十三)</w:t>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职业能力建设</w:t>
      </w:r>
      <w:r>
        <w:rPr>
          <w:rFonts w:hint="eastAsia" w:ascii="仿宋" w:hAnsi="仿宋" w:eastAsia="仿宋"/>
          <w:color w:val="000000"/>
          <w:sz w:val="32"/>
          <w:szCs w:val="32"/>
        </w:rPr>
        <w:tab/>
      </w:r>
      <w:r>
        <w:rPr>
          <w:rFonts w:hint="eastAsia" w:ascii="仿宋" w:hAnsi="仿宋" w:eastAsia="仿宋"/>
          <w:color w:val="000000"/>
          <w:sz w:val="32"/>
          <w:szCs w:val="32"/>
          <w:lang w:val="en-US" w:eastAsia="zh-CN"/>
        </w:rPr>
        <w:t xml:space="preserve">  </w:t>
      </w:r>
      <w:r>
        <w:rPr>
          <w:rFonts w:hint="eastAsia" w:ascii="仿宋" w:hAnsi="仿宋" w:eastAsia="仿宋"/>
          <w:color w:val="000000"/>
          <w:sz w:val="32"/>
          <w:szCs w:val="32"/>
        </w:rPr>
        <w:t>统筹建立职业培训制度，落实职业技能鉴定政策，按国家和市政府要求推动职业能力建设，开展职业培训能力建设相关工作</w:t>
      </w:r>
      <w:r>
        <w:rPr>
          <w:rFonts w:hint="eastAsia" w:ascii="仿宋" w:hAnsi="仿宋" w:eastAsia="仿宋"/>
          <w:color w:val="000000"/>
          <w:sz w:val="32"/>
          <w:szCs w:val="32"/>
          <w:lang w:eastAsia="zh-CN"/>
        </w:rPr>
        <w:t>，</w:t>
      </w:r>
      <w:r>
        <w:rPr>
          <w:rFonts w:hint="eastAsia" w:ascii="仿宋" w:hAnsi="仿宋" w:eastAsia="仿宋"/>
          <w:color w:val="000000"/>
          <w:sz w:val="32"/>
          <w:szCs w:val="32"/>
        </w:rPr>
        <w:t>建立符合条件的定点培训机构，完善培训点的设施、设备和师资力量，保证按质按量完成培训工作</w:t>
      </w:r>
      <w:r>
        <w:rPr>
          <w:rFonts w:hint="eastAsia" w:ascii="仿宋" w:hAnsi="仿宋" w:eastAsia="仿宋"/>
          <w:color w:val="000000"/>
          <w:sz w:val="32"/>
          <w:szCs w:val="32"/>
          <w:lang w:eastAsia="zh-CN"/>
        </w:rPr>
        <w:t>。</w:t>
      </w:r>
    </w:p>
    <w:p>
      <w:pPr>
        <w:keepNext/>
        <w:keepLines/>
        <w:spacing w:line="580" w:lineRule="exact"/>
        <w:ind w:firstLine="640" w:firstLineChars="200"/>
        <w:jc w:val="left"/>
        <w:outlineLvl w:val="0"/>
        <w:rPr>
          <w:rFonts w:ascii="黑体" w:eastAsia="黑体"/>
          <w:color w:val="000000"/>
          <w:kern w:val="0"/>
          <w:sz w:val="32"/>
          <w:szCs w:val="32"/>
        </w:rPr>
      </w:pPr>
      <w:r>
        <w:rPr>
          <w:rFonts w:hint="eastAsia" w:ascii="黑体" w:eastAsia="黑体"/>
          <w:color w:val="000000"/>
          <w:kern w:val="0"/>
          <w:sz w:val="32"/>
          <w:szCs w:val="32"/>
        </w:rPr>
        <w:t>二、机构设置</w:t>
      </w:r>
    </w:p>
    <w:p>
      <w:pPr>
        <w:spacing w:line="580" w:lineRule="exact"/>
        <w:ind w:firstLine="640" w:firstLineChars="200"/>
        <w:rPr>
          <w:rFonts w:hint="eastAsia" w:ascii="仿宋_GB2312" w:eastAsia="仿宋_GB2312" w:cs="Arial Black"/>
          <w:color w:val="000000"/>
          <w:kern w:val="0"/>
          <w:sz w:val="32"/>
          <w:szCs w:val="32"/>
        </w:rPr>
      </w:pPr>
      <w:r>
        <w:rPr>
          <w:rFonts w:hint="eastAsia" w:ascii="仿宋_GB2312" w:eastAsia="仿宋_GB2312" w:cs="Arial Black"/>
          <w:color w:val="000000"/>
          <w:kern w:val="0"/>
          <w:sz w:val="32"/>
          <w:szCs w:val="32"/>
        </w:rPr>
        <w:t>从决算编报单位构成看，纳入20</w:t>
      </w:r>
      <w:r>
        <w:rPr>
          <w:rFonts w:ascii="仿宋_GB2312" w:eastAsia="仿宋_GB2312" w:cs="Arial Black"/>
          <w:color w:val="000000"/>
          <w:kern w:val="0"/>
          <w:sz w:val="32"/>
          <w:szCs w:val="32"/>
        </w:rPr>
        <w:t>20</w:t>
      </w:r>
      <w:r>
        <w:rPr>
          <w:rFonts w:hint="eastAsia" w:ascii="仿宋_GB2312" w:eastAsia="仿宋_GB2312" w:cs="Arial Black"/>
          <w:color w:val="000000"/>
          <w:kern w:val="0"/>
          <w:sz w:val="32"/>
          <w:szCs w:val="32"/>
        </w:rPr>
        <w:t>年度本部门决算汇编范围的独立核算单位（以下简称“单位”）共4个，具体情况如下：</w:t>
      </w:r>
    </w:p>
    <w:p>
      <w:pPr>
        <w:spacing w:line="580" w:lineRule="exact"/>
        <w:ind w:firstLine="640" w:firstLineChars="200"/>
        <w:rPr>
          <w:rFonts w:hint="eastAsia" w:ascii="仿宋_GB2312" w:eastAsia="仿宋_GB2312" w:cs="Arial Black"/>
          <w:color w:val="000000"/>
          <w:kern w:val="0"/>
          <w:sz w:val="32"/>
          <w:szCs w:val="32"/>
        </w:rPr>
      </w:pPr>
    </w:p>
    <w:tbl>
      <w:tblPr>
        <w:tblStyle w:val="5"/>
        <w:tblW w:w="95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39"/>
        <w:gridCol w:w="1077"/>
        <w:gridCol w:w="1077"/>
        <w:gridCol w:w="2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tblHeader/>
          <w:jc w:val="center"/>
        </w:trPr>
        <w:tc>
          <w:tcPr>
            <w:tcW w:w="4639" w:type="dxa"/>
            <w:vAlign w:val="center"/>
          </w:tcPr>
          <w:p>
            <w:pPr>
              <w:ind w:firstLine="361"/>
              <w:jc w:val="center"/>
              <w:rPr>
                <w:rFonts w:ascii="黑体" w:hAnsi="黑体" w:eastAsia="黑体"/>
                <w:b/>
                <w:sz w:val="18"/>
              </w:rPr>
            </w:pPr>
            <w:r>
              <w:rPr>
                <w:rFonts w:hint="eastAsia" w:ascii="黑体" w:hAnsi="黑体" w:eastAsia="黑体"/>
                <w:b/>
                <w:sz w:val="18"/>
              </w:rPr>
              <w:t>单位名称</w:t>
            </w:r>
          </w:p>
        </w:tc>
        <w:tc>
          <w:tcPr>
            <w:tcW w:w="1077" w:type="dxa"/>
          </w:tcPr>
          <w:p>
            <w:pPr>
              <w:ind w:firstLine="90" w:firstLineChars="50"/>
              <w:rPr>
                <w:rFonts w:hint="eastAsia" w:ascii="黑体" w:hAnsi="黑体" w:eastAsia="黑体"/>
                <w:b/>
                <w:sz w:val="18"/>
              </w:rPr>
            </w:pPr>
          </w:p>
          <w:p>
            <w:pPr>
              <w:ind w:firstLine="90" w:firstLineChars="50"/>
              <w:rPr>
                <w:rFonts w:hint="eastAsia" w:ascii="黑体" w:hAnsi="黑体" w:eastAsia="黑体"/>
                <w:b/>
                <w:sz w:val="18"/>
              </w:rPr>
            </w:pPr>
            <w:r>
              <w:rPr>
                <w:rFonts w:hint="eastAsia" w:ascii="黑体" w:hAnsi="黑体" w:eastAsia="黑体"/>
                <w:b/>
                <w:sz w:val="18"/>
              </w:rPr>
              <w:t>单位规格</w:t>
            </w:r>
          </w:p>
        </w:tc>
        <w:tc>
          <w:tcPr>
            <w:tcW w:w="1077" w:type="dxa"/>
            <w:vAlign w:val="center"/>
          </w:tcPr>
          <w:p>
            <w:pPr>
              <w:rPr>
                <w:rFonts w:ascii="黑体" w:hAnsi="黑体" w:eastAsia="黑体"/>
                <w:b/>
                <w:sz w:val="18"/>
              </w:rPr>
            </w:pPr>
            <w:r>
              <w:rPr>
                <w:rFonts w:hint="eastAsia" w:ascii="黑体" w:hAnsi="黑体" w:eastAsia="黑体"/>
                <w:b/>
                <w:sz w:val="18"/>
              </w:rPr>
              <w:t>单位性质</w:t>
            </w:r>
          </w:p>
        </w:tc>
        <w:tc>
          <w:tcPr>
            <w:tcW w:w="2721" w:type="dxa"/>
            <w:vAlign w:val="center"/>
          </w:tcPr>
          <w:p>
            <w:pPr>
              <w:ind w:firstLine="361"/>
              <w:jc w:val="center"/>
              <w:rPr>
                <w:rFonts w:ascii="黑体" w:hAnsi="黑体" w:eastAsia="黑体"/>
                <w:b/>
                <w:sz w:val="18"/>
              </w:rPr>
            </w:pPr>
            <w:r>
              <w:rPr>
                <w:rFonts w:hint="eastAsia" w:ascii="黑体" w:hAnsi="黑体" w:eastAsia="黑体"/>
                <w:b/>
                <w:sz w:val="18"/>
              </w:rPr>
              <w:t>财政供给政策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4639" w:type="dxa"/>
          </w:tcPr>
          <w:p>
            <w:pPr>
              <w:jc w:val="center"/>
              <w:rPr>
                <w:rFonts w:hint="eastAsia" w:ascii="仿宋" w:hAnsi="仿宋" w:eastAsia="仿宋"/>
                <w:sz w:val="24"/>
              </w:rPr>
            </w:pPr>
            <w:r>
              <w:rPr>
                <w:rFonts w:hint="eastAsia" w:ascii="仿宋" w:hAnsi="仿宋" w:eastAsia="仿宋"/>
                <w:sz w:val="24"/>
              </w:rPr>
              <w:t>石家庄市藁城区人力资源和社会保障局</w:t>
            </w:r>
          </w:p>
        </w:tc>
        <w:tc>
          <w:tcPr>
            <w:tcW w:w="1077" w:type="dxa"/>
          </w:tcPr>
          <w:p>
            <w:pPr>
              <w:jc w:val="center"/>
              <w:rPr>
                <w:rFonts w:hint="eastAsia" w:ascii="仿宋" w:hAnsi="仿宋" w:eastAsia="仿宋"/>
                <w:sz w:val="24"/>
              </w:rPr>
            </w:pPr>
            <w:r>
              <w:rPr>
                <w:rFonts w:hint="eastAsia" w:ascii="仿宋" w:hAnsi="仿宋" w:eastAsia="仿宋"/>
                <w:sz w:val="24"/>
              </w:rPr>
              <w:t>正科级</w:t>
            </w:r>
          </w:p>
        </w:tc>
        <w:tc>
          <w:tcPr>
            <w:tcW w:w="1077" w:type="dxa"/>
          </w:tcPr>
          <w:p>
            <w:pPr>
              <w:jc w:val="center"/>
              <w:rPr>
                <w:rFonts w:hint="eastAsia" w:ascii="仿宋" w:hAnsi="仿宋" w:eastAsia="仿宋"/>
                <w:sz w:val="24"/>
              </w:rPr>
            </w:pPr>
            <w:r>
              <w:rPr>
                <w:rFonts w:hint="eastAsia" w:ascii="仿宋" w:hAnsi="仿宋" w:eastAsia="仿宋"/>
                <w:sz w:val="24"/>
              </w:rPr>
              <w:t>行政</w:t>
            </w:r>
          </w:p>
        </w:tc>
        <w:tc>
          <w:tcPr>
            <w:tcW w:w="2721" w:type="dxa"/>
          </w:tcPr>
          <w:p>
            <w:pPr>
              <w:jc w:val="center"/>
              <w:rPr>
                <w:rFonts w:ascii="仿宋" w:hAnsi="仿宋" w:eastAsia="仿宋"/>
                <w:sz w:val="24"/>
              </w:rPr>
            </w:pPr>
            <w:r>
              <w:rPr>
                <w:rFonts w:hint="eastAsia" w:ascii="仿宋" w:hAnsi="仿宋" w:eastAsia="仿宋"/>
                <w:sz w:val="24"/>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4639" w:type="dxa"/>
          </w:tcPr>
          <w:p>
            <w:pPr>
              <w:jc w:val="center"/>
              <w:rPr>
                <w:rFonts w:hint="eastAsia" w:ascii="仿宋" w:hAnsi="仿宋" w:eastAsia="仿宋"/>
                <w:sz w:val="24"/>
              </w:rPr>
            </w:pPr>
            <w:r>
              <w:rPr>
                <w:rFonts w:hint="eastAsia" w:ascii="仿宋" w:hAnsi="仿宋" w:eastAsia="仿宋"/>
                <w:sz w:val="24"/>
              </w:rPr>
              <w:t>石家庄市藁城区劳动技工学校</w:t>
            </w:r>
          </w:p>
        </w:tc>
        <w:tc>
          <w:tcPr>
            <w:tcW w:w="1077" w:type="dxa"/>
          </w:tcPr>
          <w:p>
            <w:pPr>
              <w:jc w:val="center"/>
              <w:rPr>
                <w:rFonts w:hint="eastAsia" w:ascii="仿宋" w:hAnsi="仿宋" w:eastAsia="仿宋"/>
                <w:sz w:val="24"/>
              </w:rPr>
            </w:pPr>
            <w:r>
              <w:rPr>
                <w:rFonts w:hint="eastAsia" w:ascii="仿宋" w:hAnsi="仿宋" w:eastAsia="仿宋"/>
                <w:sz w:val="24"/>
              </w:rPr>
              <w:t>正科级</w:t>
            </w:r>
          </w:p>
        </w:tc>
        <w:tc>
          <w:tcPr>
            <w:tcW w:w="1077" w:type="dxa"/>
          </w:tcPr>
          <w:p>
            <w:pPr>
              <w:jc w:val="center"/>
              <w:rPr>
                <w:rFonts w:hint="eastAsia" w:ascii="仿宋" w:hAnsi="仿宋" w:eastAsia="仿宋"/>
                <w:sz w:val="24"/>
              </w:rPr>
            </w:pPr>
            <w:r>
              <w:rPr>
                <w:rFonts w:hint="eastAsia" w:ascii="仿宋" w:hAnsi="仿宋" w:eastAsia="仿宋"/>
                <w:sz w:val="24"/>
              </w:rPr>
              <w:t>事业</w:t>
            </w:r>
          </w:p>
        </w:tc>
        <w:tc>
          <w:tcPr>
            <w:tcW w:w="2721" w:type="dxa"/>
          </w:tcPr>
          <w:p>
            <w:pPr>
              <w:jc w:val="center"/>
              <w:rPr>
                <w:rFonts w:hint="eastAsia" w:ascii="仿宋" w:hAnsi="仿宋" w:eastAsia="仿宋"/>
                <w:sz w:val="24"/>
              </w:rPr>
            </w:pPr>
            <w:r>
              <w:rPr>
                <w:rFonts w:hint="eastAsia" w:ascii="仿宋" w:hAnsi="仿宋" w:eastAsia="仿宋"/>
                <w:sz w:val="24"/>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4639" w:type="dxa"/>
          </w:tcPr>
          <w:p>
            <w:pPr>
              <w:jc w:val="center"/>
              <w:rPr>
                <w:rFonts w:hint="eastAsia" w:ascii="仿宋" w:hAnsi="仿宋" w:eastAsia="仿宋"/>
                <w:sz w:val="24"/>
              </w:rPr>
            </w:pPr>
            <w:r>
              <w:rPr>
                <w:rFonts w:hint="eastAsia" w:ascii="仿宋" w:hAnsi="仿宋" w:eastAsia="仿宋"/>
                <w:sz w:val="24"/>
              </w:rPr>
              <w:t>石家庄市藁城区社会保险中心</w:t>
            </w:r>
          </w:p>
        </w:tc>
        <w:tc>
          <w:tcPr>
            <w:tcW w:w="1077" w:type="dxa"/>
          </w:tcPr>
          <w:p>
            <w:pPr>
              <w:jc w:val="center"/>
              <w:rPr>
                <w:rFonts w:hint="eastAsia" w:ascii="仿宋" w:hAnsi="仿宋" w:eastAsia="仿宋"/>
                <w:sz w:val="24"/>
              </w:rPr>
            </w:pPr>
            <w:r>
              <w:rPr>
                <w:rFonts w:hint="eastAsia" w:ascii="仿宋" w:hAnsi="仿宋" w:eastAsia="仿宋"/>
                <w:sz w:val="24"/>
              </w:rPr>
              <w:t>正科级</w:t>
            </w:r>
          </w:p>
        </w:tc>
        <w:tc>
          <w:tcPr>
            <w:tcW w:w="1077" w:type="dxa"/>
          </w:tcPr>
          <w:p>
            <w:pPr>
              <w:jc w:val="center"/>
              <w:rPr>
                <w:rFonts w:hint="eastAsia" w:ascii="仿宋" w:hAnsi="仿宋" w:eastAsia="仿宋"/>
                <w:sz w:val="24"/>
              </w:rPr>
            </w:pPr>
            <w:r>
              <w:rPr>
                <w:rFonts w:hint="eastAsia" w:ascii="仿宋" w:hAnsi="仿宋" w:eastAsia="仿宋"/>
                <w:sz w:val="24"/>
              </w:rPr>
              <w:t>事业</w:t>
            </w:r>
          </w:p>
        </w:tc>
        <w:tc>
          <w:tcPr>
            <w:tcW w:w="2721" w:type="dxa"/>
          </w:tcPr>
          <w:p>
            <w:pPr>
              <w:jc w:val="center"/>
              <w:rPr>
                <w:rFonts w:hint="eastAsia" w:ascii="仿宋" w:hAnsi="仿宋" w:eastAsia="仿宋"/>
                <w:sz w:val="24"/>
              </w:rPr>
            </w:pPr>
            <w:r>
              <w:rPr>
                <w:rFonts w:hint="eastAsia" w:ascii="仿宋" w:hAnsi="仿宋" w:eastAsia="仿宋"/>
                <w:sz w:val="24"/>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4639" w:type="dxa"/>
          </w:tcPr>
          <w:p>
            <w:pPr>
              <w:jc w:val="center"/>
              <w:rPr>
                <w:rFonts w:hint="eastAsia" w:ascii="仿宋" w:hAnsi="仿宋" w:eastAsia="仿宋"/>
                <w:sz w:val="24"/>
              </w:rPr>
            </w:pPr>
            <w:r>
              <w:rPr>
                <w:rFonts w:hint="eastAsia" w:ascii="仿宋" w:hAnsi="仿宋" w:eastAsia="仿宋"/>
                <w:sz w:val="24"/>
              </w:rPr>
              <w:t>石家庄市藁城区就业服务中心</w:t>
            </w:r>
          </w:p>
        </w:tc>
        <w:tc>
          <w:tcPr>
            <w:tcW w:w="1077" w:type="dxa"/>
          </w:tcPr>
          <w:p>
            <w:pPr>
              <w:jc w:val="center"/>
              <w:rPr>
                <w:rFonts w:hint="eastAsia" w:ascii="仿宋" w:hAnsi="仿宋" w:eastAsia="仿宋"/>
                <w:sz w:val="24"/>
              </w:rPr>
            </w:pPr>
            <w:r>
              <w:rPr>
                <w:rFonts w:hint="eastAsia" w:ascii="仿宋" w:hAnsi="仿宋" w:eastAsia="仿宋"/>
                <w:sz w:val="24"/>
              </w:rPr>
              <w:t>正科级</w:t>
            </w:r>
          </w:p>
        </w:tc>
        <w:tc>
          <w:tcPr>
            <w:tcW w:w="1077" w:type="dxa"/>
          </w:tcPr>
          <w:p>
            <w:pPr>
              <w:jc w:val="center"/>
              <w:rPr>
                <w:rFonts w:hint="eastAsia" w:ascii="仿宋" w:hAnsi="仿宋" w:eastAsia="仿宋"/>
                <w:sz w:val="24"/>
              </w:rPr>
            </w:pPr>
            <w:r>
              <w:rPr>
                <w:rFonts w:hint="eastAsia" w:ascii="仿宋" w:hAnsi="仿宋" w:eastAsia="仿宋"/>
                <w:sz w:val="24"/>
              </w:rPr>
              <w:t>事业</w:t>
            </w:r>
          </w:p>
        </w:tc>
        <w:tc>
          <w:tcPr>
            <w:tcW w:w="2721" w:type="dxa"/>
          </w:tcPr>
          <w:p>
            <w:pPr>
              <w:jc w:val="center"/>
              <w:rPr>
                <w:rFonts w:hint="eastAsia" w:ascii="仿宋" w:hAnsi="仿宋" w:eastAsia="仿宋"/>
                <w:sz w:val="24"/>
              </w:rPr>
            </w:pPr>
            <w:r>
              <w:rPr>
                <w:rFonts w:hint="eastAsia" w:ascii="仿宋" w:hAnsi="仿宋" w:eastAsia="仿宋"/>
                <w:sz w:val="24"/>
              </w:rPr>
              <w:t>财政性资金基本保证</w:t>
            </w:r>
          </w:p>
        </w:tc>
      </w:tr>
    </w:tbl>
    <w:p>
      <w:pPr>
        <w:widowControl/>
        <w:spacing w:after="160" w:line="580" w:lineRule="exact"/>
        <w:rPr>
          <w:rFonts w:ascii="Times New Roman" w:hAnsi="Times New Roman" w:eastAsia="黑体" w:cs="Times New Roman"/>
          <w:color w:val="000000"/>
          <w:sz w:val="32"/>
          <w:szCs w:val="32"/>
        </w:rPr>
        <w:sectPr>
          <w:headerReference r:id="rId10" w:type="default"/>
          <w:pgSz w:w="11906" w:h="16838"/>
          <w:pgMar w:top="2098" w:right="1531" w:bottom="1984" w:left="1531" w:header="851" w:footer="992" w:gutter="0"/>
          <w:pgNumType w:fmt="numberInDash"/>
          <w:cols w:space="720" w:num="1"/>
          <w:titlePg/>
          <w:docGrid w:type="lines" w:linePitch="312" w:charSpace="0"/>
        </w:sectPr>
      </w:pPr>
      <w:r>
        <w:rPr>
          <w:color w:val="000000"/>
          <w:sz w:val="72"/>
        </w:rPr>
        <w:pict>
          <v:rect id="矩形 4" o:spid="_x0000_s2053" o:spt="1" style="position:absolute;left:0pt;margin-left:-85.7pt;margin-top:238.15pt;height:173.25pt;width:613.65pt;z-index:251662336;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zi7GEd4AAAAN&#10;AQAADwAAAAAAAAABACAAAAAiAAAAZHJzL2Rvd25yZXYueG1sUEsBAhQAFAAAAAgAh07iQMKpXNSk&#10;AQAAQgMAAA4AAAAAAAAAAQAgAAAALQEAAGRycy9lMm9Eb2MueG1sUEsFBgAAAAAGAAYAWQEAAEMF&#10;AAAAAA==&#10;">
            <v:path/>
            <v:fill on="f" focussize="0,0"/>
            <v:stroke on="f"/>
            <v:imagedata o:title=""/>
            <o:lock v:ext="edit"/>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 xml:space="preserve"> </w:t>
                  </w:r>
                </w:p>
                <w:p>
                  <w:pPr>
                    <w:widowControl/>
                    <w:jc w:val="center"/>
                    <w:rPr>
                      <w:rFonts w:ascii="黑体" w:hAnsi="黑体" w:eastAsia="黑体"/>
                      <w:color w:val="000000"/>
                      <w:sz w:val="96"/>
                      <w:szCs w:val="96"/>
                    </w:rPr>
                  </w:pPr>
                </w:p>
              </w:txbxContent>
            </v:textbox>
          </v:rect>
        </w:pict>
      </w:r>
    </w:p>
    <w:p>
      <w:pPr>
        <w:rPr>
          <w:rFonts w:ascii="黑体" w:hAnsi="黑体" w:eastAsia="黑体"/>
          <w:color w:val="000000"/>
          <w:sz w:val="56"/>
          <w:szCs w:val="72"/>
        </w:rPr>
      </w:pPr>
    </w:p>
    <w:p>
      <w:pPr>
        <w:jc w:val="center"/>
        <w:rPr>
          <w:rFonts w:ascii="黑体" w:hAnsi="黑体" w:eastAsia="黑体"/>
          <w:color w:val="000000"/>
          <w:sz w:val="56"/>
          <w:szCs w:val="72"/>
        </w:rPr>
      </w:pPr>
    </w:p>
    <w:p>
      <w:pPr>
        <w:jc w:val="center"/>
        <w:rPr>
          <w:rFonts w:ascii="黑体" w:hAnsi="黑体" w:eastAsia="黑体"/>
          <w:color w:val="000000"/>
          <w:sz w:val="56"/>
          <w:szCs w:val="72"/>
        </w:rPr>
      </w:pPr>
    </w:p>
    <w:p>
      <w:pPr>
        <w:jc w:val="center"/>
        <w:rPr>
          <w:rFonts w:ascii="黑体" w:hAnsi="黑体" w:eastAsia="黑体"/>
          <w:color w:val="000000"/>
          <w:sz w:val="56"/>
          <w:szCs w:val="72"/>
        </w:rPr>
      </w:pPr>
    </w:p>
    <w:p>
      <w:pPr>
        <w:jc w:val="center"/>
        <w:rPr>
          <w:rFonts w:ascii="黑体" w:hAnsi="黑体" w:eastAsia="黑体"/>
          <w:color w:val="000000"/>
          <w:sz w:val="56"/>
          <w:szCs w:val="72"/>
        </w:rPr>
      </w:pPr>
    </w:p>
    <w:p>
      <w:pPr>
        <w:jc w:val="center"/>
        <w:rPr>
          <w:rFonts w:ascii="黑体" w:hAnsi="黑体" w:eastAsia="黑体"/>
          <w:color w:val="000000"/>
          <w:sz w:val="56"/>
          <w:szCs w:val="72"/>
        </w:rPr>
      </w:pPr>
    </w:p>
    <w:p>
      <w:pPr>
        <w:jc w:val="center"/>
        <w:rPr>
          <w:rFonts w:ascii="黑体" w:hAnsi="黑体" w:eastAsia="黑体"/>
          <w:color w:val="000000"/>
          <w:sz w:val="56"/>
          <w:szCs w:val="72"/>
        </w:rPr>
      </w:pPr>
    </w:p>
    <w:p>
      <w:pPr>
        <w:jc w:val="center"/>
        <w:rPr>
          <w:rFonts w:ascii="黑体" w:hAnsi="黑体" w:eastAsia="黑体"/>
          <w:color w:val="000000"/>
          <w:sz w:val="56"/>
          <w:szCs w:val="72"/>
        </w:rPr>
      </w:pPr>
      <w:r>
        <w:rPr>
          <w:color w:val="000000"/>
          <w:sz w:val="72"/>
        </w:rPr>
        <w:pict>
          <v:rect id="矩形 5" o:spid="_x0000_s2054" o:spt="1" style="position:absolute;left:0pt;margin-left:-80.95pt;margin-top:-207.65pt;height:263.1pt;width:613.65pt;z-index:251663360;mso-width-relative:page;mso-height-relative:page;" fillcolor="#7F7F7F" filled="t" stroked="t" coordsize="21600,21600" o:gfxdata="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E9O03bAAAADgEAAA8AAAAAAAAAAQAgAAAAIgAAAGRycy9kb3ducmV2Lnht&#10;bFBLAQIUABQAAAAIAIdO4kDDaYaQLwIAAJYEAAAOAAAAAAAAAAEAIAAAACoBAABkcnMvZTJvRG9j&#10;LnhtbFBLBQYAAAAABgAGAFkBAADLBQAAAAA=&#10;">
            <v:path/>
            <v:fill type="pattern" on="t" focussize="0,0" r:id="rId14"/>
            <v:stroke weight="1pt" color="#A5A5A5"/>
            <v:imagedata o:title=""/>
            <o:lock v:ext="edit"/>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pPr>
                    <w:widowControl/>
                    <w:jc w:val="center"/>
                    <w:rPr>
                      <w:rFonts w:ascii="黑体" w:hAnsi="黑体" w:eastAsia="黑体"/>
                      <w:color w:val="000000"/>
                      <w:sz w:val="90"/>
                      <w:szCs w:val="90"/>
                    </w:rPr>
                  </w:pPr>
                  <w:r>
                    <w:rPr>
                      <w:rFonts w:hint="eastAsia" w:ascii="黑体" w:hAnsi="黑体" w:eastAsia="黑体"/>
                      <w:color w:val="000000"/>
                      <w:sz w:val="90"/>
                      <w:szCs w:val="90"/>
                    </w:rPr>
                    <w:t>2020年部门决算情况说明</w:t>
                  </w:r>
                </w:p>
                <w:p>
                  <w:pPr>
                    <w:widowControl/>
                    <w:jc w:val="center"/>
                  </w:pPr>
                </w:p>
                <w:p/>
              </w:txbxContent>
            </v:textbox>
          </v:rect>
        </w:pict>
      </w:r>
    </w:p>
    <w:p>
      <w:pPr>
        <w:jc w:val="center"/>
        <w:rPr>
          <w:rFonts w:ascii="黑体" w:hAnsi="黑体" w:eastAsia="黑体"/>
          <w:color w:val="000000"/>
          <w:sz w:val="56"/>
          <w:szCs w:val="72"/>
        </w:rPr>
      </w:pPr>
    </w:p>
    <w:p>
      <w:pPr>
        <w:keepNext/>
        <w:keepLines/>
        <w:snapToGrid w:val="0"/>
        <w:spacing w:line="600" w:lineRule="exact"/>
        <w:ind w:firstLine="420" w:firstLineChars="200"/>
        <w:outlineLvl w:val="1"/>
        <w:rPr>
          <w:rFonts w:hint="eastAsia" w:ascii="仿宋_GB2312" w:hAnsi="Times New Roman" w:eastAsia="仿宋_GB2312" w:cs="Wingdings"/>
          <w:color w:val="FF0000"/>
          <w:sz w:val="32"/>
          <w:szCs w:val="32"/>
        </w:rPr>
      </w:pPr>
      <w:r>
        <w:rPr>
          <w:color w:val="000000"/>
        </w:rPr>
        <w:br w:type="page"/>
      </w:r>
      <w:r>
        <w:rPr>
          <w:rFonts w:hint="eastAsia" w:ascii="黑体" w:eastAsia="黑体" w:cs="Times New Roman"/>
          <w:color w:val="000000"/>
          <w:sz w:val="32"/>
          <w:szCs w:val="32"/>
        </w:rPr>
        <w:t>一、收入</w:t>
      </w:r>
      <w:r>
        <w:rPr>
          <w:rFonts w:hint="eastAsia" w:ascii="黑体" w:hAnsi="Cambria" w:eastAsia="黑体"/>
          <w:color w:val="000000"/>
          <w:kern w:val="0"/>
          <w:sz w:val="32"/>
          <w:szCs w:val="32"/>
        </w:rPr>
        <w:t>支出</w:t>
      </w:r>
      <w:r>
        <w:rPr>
          <w:rFonts w:hint="eastAsia" w:ascii="黑体" w:eastAsia="黑体" w:cs="Times New Roman"/>
          <w:color w:val="000000"/>
          <w:sz w:val="32"/>
          <w:szCs w:val="32"/>
        </w:rPr>
        <w:t>决算总体情况说明</w:t>
      </w:r>
    </w:p>
    <w:p>
      <w:pPr>
        <w:adjustRightInd w:val="0"/>
        <w:snapToGrid w:val="0"/>
        <w:spacing w:line="600" w:lineRule="exact"/>
        <w:ind w:firstLine="640" w:firstLineChars="200"/>
        <w:rPr>
          <w:rFonts w:hint="eastAsia" w:ascii="仿宋_GB2312" w:hAnsi="Times New Roman" w:eastAsia="仿宋_GB2312" w:cs="Wingdings"/>
          <w:color w:val="FF0000"/>
          <w:sz w:val="32"/>
          <w:szCs w:val="32"/>
        </w:rPr>
      </w:pPr>
      <w:r>
        <w:rPr>
          <w:rFonts w:hint="eastAsia" w:ascii="仿宋_GB2312" w:hAnsi="Times New Roman" w:eastAsia="仿宋_GB2312" w:cs="Wingdings"/>
          <w:sz w:val="32"/>
          <w:szCs w:val="32"/>
        </w:rPr>
        <w:t>本部门2020年度收、支总计（含结转和结余）25428.54万元。与2019年度决算相比，收支各增加891.59万元，其中财政拨款收入增加891.59万元，增长3.63%。主要原因是</w:t>
      </w:r>
      <w:r>
        <w:rPr>
          <w:rFonts w:hint="eastAsia" w:ascii="仿宋_GB2312" w:hAnsi="Times New Roman" w:eastAsia="仿宋_GB2312" w:cs="Wingdings"/>
          <w:color w:val="000000"/>
          <w:sz w:val="32"/>
          <w:szCs w:val="32"/>
        </w:rPr>
        <w:t>支出项目及人员经费增加。</w:t>
      </w: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r>
        <w:rPr>
          <w:rFonts w:hint="eastAsia" w:ascii="仿宋_GB2312" w:hAnsi="Times New Roman" w:eastAsia="仿宋_GB2312" w:cs="Wingdings"/>
          <w:color w:val="000000"/>
          <w:sz w:val="32"/>
          <w:szCs w:val="32"/>
        </w:rPr>
        <w:pict>
          <v:shape id="Object 62" o:spid="_x0000_s2059" o:spt="75" type="#_x0000_t75" style="position:absolute;left:0pt;margin-left:7.7pt;margin-top:3.4pt;height:272.3pt;width:433.45pt;z-index:251668480;mso-width-relative:page;mso-height-relative:page;" o:ole="t" filled="f" o:preferrelative="t" stroked="f" coordsize="21600,21600">
            <v:path/>
            <v:fill on="f" focussize="0,0"/>
            <v:stroke on="f"/>
            <v:imagedata r:id="rId16" o:title=""/>
            <o:lock v:ext="edit" aspectratio="t"/>
          </v:shape>
          <o:OLEObject Type="Embed" ProgID="Excel.Chart.8" ShapeID="Object 62" DrawAspect="Content" ObjectID="_1468075725" r:id="rId15">
            <o:LockedField>false</o:LockedField>
          </o:OLEObject>
        </w:pict>
      </w: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keepNext/>
        <w:keepLines/>
        <w:snapToGrid w:val="0"/>
        <w:spacing w:line="600" w:lineRule="exact"/>
        <w:ind w:firstLine="640" w:firstLineChars="200"/>
        <w:outlineLvl w:val="1"/>
        <w:rPr>
          <w:rFonts w:hint="eastAsia" w:ascii="黑体" w:eastAsia="黑体" w:cs="Times New Roman"/>
          <w:color w:val="000000"/>
          <w:sz w:val="32"/>
          <w:szCs w:val="32"/>
        </w:rPr>
      </w:pPr>
    </w:p>
    <w:p>
      <w:pPr>
        <w:keepNext/>
        <w:keepLines/>
        <w:snapToGrid w:val="0"/>
        <w:spacing w:line="600" w:lineRule="exact"/>
        <w:ind w:firstLine="640" w:firstLineChars="200"/>
        <w:outlineLvl w:val="1"/>
        <w:rPr>
          <w:rFonts w:ascii="黑体" w:eastAsia="黑体" w:cs="Times New Roman"/>
          <w:color w:val="000000"/>
          <w:sz w:val="32"/>
          <w:szCs w:val="32"/>
        </w:rPr>
      </w:pPr>
      <w:r>
        <w:rPr>
          <w:rFonts w:hint="eastAsia" w:ascii="黑体" w:eastAsia="黑体" w:cs="Times New Roman"/>
          <w:color w:val="000000"/>
          <w:sz w:val="32"/>
          <w:szCs w:val="32"/>
        </w:rPr>
        <w:t>二、收入决算情况说明</w:t>
      </w:r>
    </w:p>
    <w:p>
      <w:pPr>
        <w:spacing w:line="560" w:lineRule="exact"/>
        <w:ind w:firstLine="420" w:firstLineChars="200"/>
        <w:rPr>
          <w:rFonts w:hint="eastAsia" w:ascii="仿宋_GB2312" w:hAnsi="Times New Roman" w:eastAsia="仿宋_GB2312" w:cs="Wingdings"/>
          <w:color w:val="000000"/>
          <w:sz w:val="32"/>
          <w:szCs w:val="32"/>
        </w:rPr>
      </w:pPr>
      <w:r>
        <w:rPr>
          <w:rFonts w:hint="eastAsia" w:ascii="仿宋_GB2312"/>
          <w:color w:val="000000"/>
          <w:szCs w:val="32"/>
        </w:rPr>
        <w:t xml:space="preserve"> </w:t>
      </w:r>
      <w:r>
        <w:rPr>
          <w:rFonts w:hint="eastAsia" w:ascii="仿宋_GB2312" w:hAnsi="Times New Roman" w:eastAsia="仿宋_GB2312" w:cs="Wingdings"/>
          <w:color w:val="000000"/>
          <w:sz w:val="32"/>
          <w:szCs w:val="32"/>
        </w:rPr>
        <w:t>2020年人力资源和社会保障局共收入经费24954.07万元，其中财政拨款收入24948.32万元，占99.98%，国有资本经营预算财政拨款收入5.75占0.02%</w:t>
      </w:r>
    </w:p>
    <w:p>
      <w:pPr>
        <w:spacing w:line="560" w:lineRule="exact"/>
        <w:ind w:firstLine="640" w:firstLineChars="200"/>
        <w:rPr>
          <w:rFonts w:hint="eastAsia" w:ascii="仿宋_GB2312" w:hAnsi="Times New Roman" w:eastAsia="仿宋_GB2312" w:cs="Wingdings"/>
          <w:color w:val="000000"/>
          <w:sz w:val="32"/>
          <w:szCs w:val="32"/>
        </w:rPr>
      </w:pPr>
    </w:p>
    <w:p>
      <w:pPr>
        <w:spacing w:line="560" w:lineRule="exact"/>
        <w:ind w:firstLine="640" w:firstLineChars="200"/>
        <w:rPr>
          <w:rFonts w:hint="eastAsia" w:ascii="仿宋_GB2312" w:hAnsi="Times New Roman" w:eastAsia="仿宋_GB2312" w:cs="Wingdings"/>
          <w:color w:val="000000"/>
          <w:sz w:val="32"/>
          <w:szCs w:val="32"/>
        </w:rPr>
      </w:pPr>
    </w:p>
    <w:p>
      <w:pPr>
        <w:spacing w:line="560" w:lineRule="exact"/>
        <w:ind w:firstLine="640" w:firstLineChars="200"/>
        <w:rPr>
          <w:rFonts w:hint="eastAsia" w:ascii="仿宋_GB2312" w:hAnsi="Times New Roman" w:eastAsia="仿宋_GB2312" w:cs="Wingdings"/>
          <w:color w:val="FF0000"/>
          <w:sz w:val="32"/>
          <w:szCs w:val="32"/>
        </w:rPr>
      </w:pPr>
      <w:r>
        <w:rPr>
          <w:rFonts w:hint="eastAsia" w:ascii="仿宋_GB2312" w:hAnsi="Times New Roman" w:eastAsia="仿宋_GB2312" w:cs="Wingdings"/>
          <w:color w:val="000000"/>
          <w:sz w:val="32"/>
          <w:szCs w:val="32"/>
        </w:rPr>
        <w:pict>
          <v:shape id="_x0000_s2060" o:spid="_x0000_s2060" o:spt="75" alt="" type="#_x0000_t75" style="position:absolute;left:0pt;margin-left:30.55pt;margin-top:-20.4pt;height:241pt;width:389.45pt;z-index:251669504;mso-width-relative:page;mso-height-relative:page;" o:ole="t" filled="f" o:preferrelative="t" stroked="f" coordsize="21600,21600">
            <v:path/>
            <v:fill on="f" focussize="0,0"/>
            <v:stroke on="f"/>
            <v:imagedata r:id="rId18" o:title=""/>
            <o:lock v:ext="edit" aspectratio="t"/>
          </v:shape>
          <o:OLEObject Type="Embed" ProgID="Excel.Chart.8" ShapeID="_x0000_s2060" DrawAspect="Content" ObjectID="_1468075726" r:id="rId17">
            <o:LockedField>false</o:LockedField>
          </o:OLEObject>
        </w:pict>
      </w:r>
    </w:p>
    <w:p>
      <w:pPr>
        <w:spacing w:line="560" w:lineRule="exact"/>
        <w:ind w:firstLine="640" w:firstLineChars="200"/>
        <w:rPr>
          <w:rFonts w:ascii="仿宋_GB2312" w:hAnsi="Times New Roman" w:eastAsia="仿宋_GB2312" w:cs="Wingdings"/>
          <w:color w:val="FF0000"/>
          <w:sz w:val="32"/>
          <w:szCs w:val="32"/>
        </w:rPr>
      </w:pPr>
    </w:p>
    <w:p>
      <w:pPr>
        <w:spacing w:line="560" w:lineRule="exact"/>
        <w:ind w:firstLine="640" w:firstLineChars="200"/>
        <w:rPr>
          <w:rFonts w:ascii="仿宋_GB2312" w:hAnsi="Times New Roman" w:eastAsia="仿宋_GB2312" w:cs="Wingdings"/>
          <w:color w:val="FF0000"/>
          <w:sz w:val="32"/>
          <w:szCs w:val="32"/>
        </w:rPr>
      </w:pPr>
    </w:p>
    <w:p>
      <w:pPr>
        <w:spacing w:line="560" w:lineRule="exact"/>
        <w:ind w:firstLine="640" w:firstLineChars="200"/>
        <w:rPr>
          <w:rFonts w:ascii="仿宋_GB2312" w:hAnsi="Times New Roman" w:eastAsia="仿宋_GB2312" w:cs="Wingdings"/>
          <w:color w:val="FF0000"/>
          <w:sz w:val="32"/>
          <w:szCs w:val="32"/>
        </w:rPr>
      </w:pPr>
    </w:p>
    <w:p>
      <w:pPr>
        <w:spacing w:line="560" w:lineRule="exact"/>
        <w:ind w:firstLine="640" w:firstLineChars="200"/>
        <w:rPr>
          <w:rFonts w:ascii="仿宋_GB2312" w:hAnsi="Times New Roman" w:eastAsia="仿宋_GB2312" w:cs="Wingdings"/>
          <w:color w:val="FF0000"/>
          <w:sz w:val="32"/>
          <w:szCs w:val="32"/>
        </w:rPr>
      </w:pPr>
    </w:p>
    <w:p>
      <w:pPr>
        <w:spacing w:line="560" w:lineRule="exact"/>
        <w:ind w:firstLine="640" w:firstLineChars="200"/>
        <w:rPr>
          <w:rFonts w:ascii="仿宋_GB2312" w:hAnsi="Times New Roman" w:eastAsia="仿宋_GB2312" w:cs="Wingdings"/>
          <w:color w:val="FF0000"/>
          <w:sz w:val="32"/>
          <w:szCs w:val="32"/>
        </w:rPr>
      </w:pPr>
    </w:p>
    <w:p>
      <w:pPr>
        <w:spacing w:line="560" w:lineRule="exact"/>
        <w:ind w:firstLine="640" w:firstLineChars="200"/>
        <w:rPr>
          <w:rFonts w:ascii="仿宋_GB2312" w:hAnsi="Times New Roman" w:eastAsia="仿宋_GB2312" w:cs="Wingdings"/>
          <w:color w:val="FF0000"/>
          <w:sz w:val="32"/>
          <w:szCs w:val="32"/>
        </w:rPr>
      </w:pPr>
    </w:p>
    <w:p>
      <w:pPr>
        <w:spacing w:line="560" w:lineRule="exact"/>
        <w:ind w:firstLine="640" w:firstLineChars="200"/>
        <w:rPr>
          <w:rFonts w:ascii="仿宋_GB2312" w:hAnsi="Times New Roman" w:eastAsia="仿宋_GB2312" w:cs="Wingdings"/>
          <w:color w:val="FF0000"/>
          <w:sz w:val="32"/>
          <w:szCs w:val="32"/>
        </w:rPr>
      </w:pPr>
    </w:p>
    <w:p>
      <w:pPr>
        <w:snapToGrid w:val="0"/>
        <w:spacing w:line="600" w:lineRule="exact"/>
        <w:ind w:firstLine="640" w:firstLineChars="200"/>
        <w:outlineLvl w:val="1"/>
        <w:rPr>
          <w:rFonts w:hint="eastAsia" w:ascii="黑体" w:eastAsia="黑体" w:cs="Times New Roman"/>
          <w:color w:val="000000"/>
          <w:sz w:val="32"/>
          <w:szCs w:val="32"/>
        </w:rPr>
      </w:pPr>
    </w:p>
    <w:p>
      <w:pPr>
        <w:snapToGrid w:val="0"/>
        <w:spacing w:line="600" w:lineRule="exact"/>
        <w:ind w:firstLine="640" w:firstLineChars="200"/>
        <w:outlineLvl w:val="1"/>
        <w:rPr>
          <w:rFonts w:ascii="黑体" w:eastAsia="黑体" w:cs="Times New Roman"/>
          <w:color w:val="000000"/>
          <w:sz w:val="32"/>
          <w:szCs w:val="32"/>
        </w:rPr>
      </w:pPr>
      <w:r>
        <w:rPr>
          <w:rFonts w:hint="eastAsia" w:ascii="黑体" w:eastAsia="黑体" w:cs="Times New Roman"/>
          <w:color w:val="000000"/>
          <w:sz w:val="32"/>
          <w:szCs w:val="32"/>
        </w:rPr>
        <w:t>三、支出决算情况说明</w:t>
      </w: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r>
        <w:rPr>
          <w:rFonts w:hint="eastAsia" w:ascii="仿宋_GB2312" w:hAnsi="Times New Roman" w:eastAsia="仿宋_GB2312" w:cs="Wingdings"/>
          <w:color w:val="000000"/>
          <w:sz w:val="32"/>
          <w:szCs w:val="32"/>
        </w:rPr>
        <w:t>2020年全年共支出24921.33万元，其中基本支出1642.58万元，占6.59%。项目支出23278.74万元占93.41%。</w:t>
      </w:r>
    </w:p>
    <w:p>
      <w:pPr>
        <w:adjustRightInd w:val="0"/>
        <w:snapToGrid w:val="0"/>
        <w:spacing w:line="600" w:lineRule="exact"/>
        <w:ind w:firstLine="640" w:firstLineChars="200"/>
        <w:rPr>
          <w:rFonts w:hint="eastAsia" w:ascii="仿宋_GB2312" w:hAnsi="Times New Roman" w:eastAsia="仿宋_GB2312" w:cs="Wingdings"/>
          <w:color w:val="FF0000"/>
          <w:sz w:val="32"/>
          <w:szCs w:val="32"/>
        </w:rPr>
      </w:pPr>
      <w:r>
        <w:rPr>
          <w:rFonts w:hint="eastAsia" w:ascii="仿宋_GB2312" w:hAnsi="Times New Roman" w:eastAsia="仿宋_GB2312" w:cs="Wingdings"/>
          <w:color w:val="FF0000"/>
          <w:sz w:val="32"/>
          <w:szCs w:val="32"/>
        </w:rPr>
        <w:pict>
          <v:shape id="Object 61" o:spid="_x0000_s2058" o:spt="75" type="#_x0000_t75" style="position:absolute;left:0pt;margin-left:19.95pt;margin-top:20.35pt;height:246.45pt;width:403.3pt;z-index:251667456;mso-width-relative:page;mso-height-relative:page;" o:ole="t" filled="f" o:preferrelative="t" stroked="f" coordsize="21600,21600">
            <v:path/>
            <v:fill on="f" focussize="0,0"/>
            <v:stroke on="f"/>
            <v:imagedata r:id="rId20" o:title=""/>
            <o:lock v:ext="edit" aspectratio="t"/>
          </v:shape>
          <o:OLEObject Type="Embed" ProgID="Excel.Chart.8" ShapeID="Object 61" DrawAspect="Content" ObjectID="_1468075727" r:id="rId19">
            <o:LockedField>false</o:LockedField>
          </o:OLEObject>
        </w:pict>
      </w: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keepNext/>
        <w:keepLines/>
        <w:snapToGrid w:val="0"/>
        <w:spacing w:line="600" w:lineRule="exact"/>
        <w:ind w:firstLine="640" w:firstLineChars="200"/>
        <w:outlineLvl w:val="1"/>
        <w:rPr>
          <w:rFonts w:hint="eastAsia" w:ascii="黑体" w:eastAsia="黑体" w:cs="Times New Roman"/>
          <w:color w:val="000000"/>
          <w:sz w:val="32"/>
          <w:szCs w:val="32"/>
        </w:rPr>
      </w:pPr>
      <w:r>
        <w:rPr>
          <w:rFonts w:hint="eastAsia" w:ascii="黑体" w:eastAsia="黑体" w:cs="Times New Roman"/>
          <w:color w:val="000000"/>
          <w:sz w:val="32"/>
          <w:szCs w:val="32"/>
        </w:rPr>
        <w:t>四、</w:t>
      </w:r>
      <w:r>
        <w:rPr>
          <w:rFonts w:hint="eastAsia" w:ascii="黑体" w:hAnsi="Cambria" w:eastAsia="黑体"/>
          <w:color w:val="000000"/>
          <w:kern w:val="0"/>
          <w:sz w:val="32"/>
          <w:szCs w:val="32"/>
        </w:rPr>
        <w:t>财政</w:t>
      </w:r>
      <w:r>
        <w:rPr>
          <w:rFonts w:hint="eastAsia" w:ascii="黑体" w:eastAsia="黑体" w:cs="Times New Roman"/>
          <w:color w:val="000000"/>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color w:val="000000"/>
          <w:sz w:val="32"/>
          <w:szCs w:val="32"/>
        </w:rPr>
      </w:pPr>
      <w:r>
        <w:rPr>
          <w:rFonts w:hint="eastAsia" w:ascii="楷体_GB2312" w:hAnsi="Times New Roman" w:eastAsia="楷体_GB2312" w:cs="Mongolian Baiti"/>
          <w:b/>
          <w:bCs/>
          <w:color w:val="000000"/>
          <w:sz w:val="32"/>
          <w:szCs w:val="32"/>
        </w:rPr>
        <w:t>（一）财政拨款收支与2019年度决算对比情况</w:t>
      </w: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r>
        <w:rPr>
          <w:rFonts w:hint="eastAsia" w:ascii="仿宋_GB2312" w:hAnsi="Times New Roman" w:eastAsia="仿宋_GB2312" w:cs="Wingdings"/>
          <w:color w:val="000000"/>
          <w:sz w:val="32"/>
          <w:szCs w:val="32"/>
        </w:rPr>
        <w:pict>
          <v:shape id="对象 64" o:spid="_x0000_s2061" o:spt="75" type="#_x0000_t75" style="position:absolute;left:0pt;margin-top:147pt;height:222.75pt;width:413.25pt;mso-position-horizontal:center;z-index:251670528;mso-width-relative:page;mso-height-relative:page;" o:ole="t" filled="f" o:preferrelative="t" stroked="f" coordsize="21600,21600">
            <v:path/>
            <v:fill on="f" focussize="0,0"/>
            <v:stroke on="f"/>
            <v:imagedata r:id="rId22" o:title=""/>
            <o:lock v:ext="edit" aspectratio="t"/>
          </v:shape>
          <o:OLEObject Type="Embed" ProgID="Excel.Chart.8" ShapeID="对象 64" DrawAspect="Content" ObjectID="_1468075728" r:id="rId21">
            <o:LockedField>false</o:LockedField>
          </o:OLEObject>
        </w:pict>
      </w:r>
      <w:r>
        <w:rPr>
          <w:rFonts w:hint="eastAsia" w:ascii="仿宋_GB2312" w:hAnsi="Times New Roman" w:eastAsia="仿宋_GB2312" w:cs="Wingdings"/>
          <w:color w:val="000000"/>
          <w:sz w:val="32"/>
          <w:szCs w:val="32"/>
        </w:rPr>
        <w:t>2020年人力资源和社会保障局财政拨款收支均为一般公共预算财政拨款，其中本年收入24954.07万元，比2019年度收入增加622万元，增长2.56%；全年共支出24921.33万元，支出增加858.84万元，增长3.57%。主要原因是支出项目及人员经费增加。</w:t>
      </w: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snapToGrid w:val="0"/>
        <w:spacing w:line="600" w:lineRule="exact"/>
        <w:ind w:firstLine="643" w:firstLineChars="200"/>
        <w:rPr>
          <w:rFonts w:ascii="仿宋_GB2312" w:hAnsi="Times New Roman" w:eastAsia="仿宋_GB2312" w:cs="Mongolian Baiti"/>
          <w:b/>
          <w:bCs/>
          <w:color w:val="000000"/>
          <w:sz w:val="32"/>
          <w:szCs w:val="32"/>
        </w:rPr>
      </w:pPr>
      <w:r>
        <w:rPr>
          <w:rFonts w:hint="eastAsia" w:ascii="楷体_GB2312" w:hAnsi="Times New Roman" w:eastAsia="楷体_GB2312" w:cs="Mongolian Baiti"/>
          <w:b/>
          <w:bCs/>
          <w:color w:val="000000"/>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r>
        <w:rPr>
          <w:rFonts w:hint="eastAsia" w:ascii="仿宋_GB2312" w:hAnsi="Times New Roman" w:eastAsia="仿宋_GB2312" w:cs="Wingdings"/>
          <w:color w:val="000000"/>
          <w:sz w:val="32"/>
          <w:szCs w:val="32"/>
        </w:rPr>
        <w:t>2020年人力资源和社会保障局一般公共预算财政拨款收入24954.07万元，年初预算29708.83万元，完成年初预算的84%，比年初预算减少4754.76万元。本年支出24921.33万元，年初预算29708.83万元，完成年初预算的83.89%，比年初预算增加4787.5万元。主要原因是支出项目及人员经费增加。</w:t>
      </w: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r>
        <w:rPr>
          <w:rFonts w:hint="eastAsia" w:ascii="仿宋_GB2312" w:hAnsi="Times New Roman" w:eastAsia="仿宋_GB2312" w:cs="Wingdings"/>
          <w:color w:val="000000"/>
          <w:sz w:val="32"/>
          <w:szCs w:val="32"/>
        </w:rPr>
        <w:pict>
          <v:shape id="对象 65" o:spid="_x0000_s2062" o:spt="75" type="#_x0000_t75" style="position:absolute;left:0pt;margin-left:17.75pt;margin-top:22.7pt;height:243.2pt;width:400.5pt;z-index:251671552;mso-width-relative:page;mso-height-relative:page;" o:ole="t" filled="f" o:preferrelative="t" stroked="f" coordsize="21600,21600">
            <v:path/>
            <v:fill on="f" focussize="0,0"/>
            <v:stroke on="f"/>
            <v:imagedata r:id="rId24" o:title=""/>
            <o:lock v:ext="edit" aspectratio="t"/>
          </v:shape>
          <o:OLEObject Type="Embed" ProgID="Excel.Chart.8" ShapeID="对象 65" DrawAspect="Content" ObjectID="_1468075729" r:id="rId23">
            <o:LockedField>false</o:LockedField>
          </o:OLEObject>
        </w:pict>
      </w: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numPr>
          <w:ilvl w:val="0"/>
          <w:numId w:val="1"/>
        </w:numPr>
        <w:adjustRightInd w:val="0"/>
        <w:snapToGrid w:val="0"/>
        <w:spacing w:line="600" w:lineRule="exact"/>
        <w:ind w:left="420" w:leftChars="200"/>
        <w:rPr>
          <w:rFonts w:ascii="楷体_GB2312" w:hAnsi="Times New Roman" w:eastAsia="楷体_GB2312" w:cs="Mongolian Baiti"/>
          <w:b/>
          <w:bCs/>
          <w:color w:val="000000"/>
          <w:sz w:val="32"/>
          <w:szCs w:val="32"/>
        </w:rPr>
      </w:pPr>
      <w:r>
        <w:rPr>
          <w:rFonts w:hint="eastAsia" w:ascii="楷体_GB2312" w:hAnsi="Times New Roman" w:eastAsia="楷体_GB2312" w:cs="Mongolian Baiti"/>
          <w:b/>
          <w:bCs/>
          <w:color w:val="000000"/>
          <w:sz w:val="32"/>
          <w:szCs w:val="32"/>
        </w:rPr>
        <w:t>财政拨款支出决算结构情况。</w:t>
      </w:r>
    </w:p>
    <w:p>
      <w:pPr>
        <w:adjustRightInd w:val="0"/>
        <w:snapToGrid w:val="0"/>
        <w:spacing w:line="600" w:lineRule="exact"/>
        <w:ind w:firstLine="640" w:firstLineChars="200"/>
        <w:rPr>
          <w:rFonts w:hint="eastAsia" w:ascii="仿宋_GB2312" w:hAnsi="Times New Roman" w:eastAsia="仿宋_GB2312" w:cs="Wingdings"/>
          <w:color w:val="000000"/>
          <w:sz w:val="32"/>
          <w:szCs w:val="32"/>
          <w:lang w:eastAsia="zh-CN"/>
        </w:rPr>
      </w:pPr>
      <w:r>
        <w:rPr>
          <w:rFonts w:hint="eastAsia" w:ascii="仿宋_GB2312" w:hAnsi="Times New Roman" w:eastAsia="仿宋_GB2312" w:cs="Wingdings"/>
          <w:color w:val="000000"/>
          <w:sz w:val="32"/>
          <w:szCs w:val="32"/>
        </w:rPr>
        <w:t>2020 年度财政拨款支出24921.33万元，主要用于以下方面：一般公共服务支出1362.82万元，占5.47%。教育支出8412.15万元，占33.75%。社会保障和就业支出14493.37万元，占58.16%。卫生健康支出10万元，占0.04%。节能环保支出49万元，占0.2%。农林水支出273.23万元，占1.1%。国有资本经营预算支出5.75万元，占0.02%</w:t>
      </w:r>
      <w:r>
        <w:rPr>
          <w:rFonts w:hint="eastAsia" w:ascii="仿宋_GB2312" w:hAnsi="Times New Roman" w:eastAsia="仿宋_GB2312" w:cs="Wingdings"/>
          <w:color w:val="000000"/>
          <w:sz w:val="32"/>
          <w:szCs w:val="32"/>
          <w:lang w:eastAsia="zh-CN"/>
        </w:rPr>
        <w:t>。</w:t>
      </w: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r>
        <w:rPr>
          <w:rFonts w:hint="eastAsia" w:ascii="仿宋_GB2312" w:hAnsi="Times New Roman" w:eastAsia="仿宋_GB2312" w:cs="Wingdings"/>
          <w:color w:val="000000"/>
          <w:sz w:val="32"/>
          <w:szCs w:val="32"/>
        </w:rPr>
        <w:pict>
          <v:shape id="对象 66" o:spid="_x0000_s2063" o:spt="75" alt="" type="#_x0000_t75" style="position:absolute;left:0pt;margin-left:19.85pt;margin-top:17.45pt;height:203.45pt;width:363.75pt;z-index:251672576;mso-width-relative:page;mso-height-relative:page;" o:ole="t" filled="f" o:preferrelative="t" stroked="f" coordsize="21600,21600">
            <v:path/>
            <v:fill on="f" focussize="0,0"/>
            <v:stroke on="f"/>
            <v:imagedata r:id="rId26" o:title=""/>
            <o:lock v:ext="edit" aspectratio="t"/>
          </v:shape>
          <o:OLEObject Type="Embed" ProgID="Excel.Chart.8" ShapeID="对象 66" DrawAspect="Content" ObjectID="_1468075730" r:id="rId25">
            <o:LockedField>false</o:LockedField>
          </o:OLEObject>
        </w:pict>
      </w: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ind w:firstLine="640" w:firstLineChars="200"/>
        <w:rPr>
          <w:rFonts w:hint="eastAsia" w:ascii="仿宋_GB2312" w:hAnsi="Times New Roman" w:eastAsia="仿宋_GB2312" w:cs="Wingdings"/>
          <w:color w:val="000000"/>
          <w:sz w:val="32"/>
          <w:szCs w:val="32"/>
        </w:rPr>
      </w:pPr>
    </w:p>
    <w:p>
      <w:pPr>
        <w:adjustRightInd w:val="0"/>
        <w:snapToGrid w:val="0"/>
        <w:spacing w:line="600" w:lineRule="exact"/>
        <w:rPr>
          <w:rFonts w:ascii="仿宋_GB2312" w:hAnsi="Times New Roman" w:eastAsia="仿宋_GB2312" w:cs="Wingdings"/>
          <w:color w:val="000000"/>
          <w:sz w:val="32"/>
          <w:szCs w:val="32"/>
        </w:rPr>
      </w:pPr>
    </w:p>
    <w:p>
      <w:pPr>
        <w:adjustRightInd w:val="0"/>
        <w:snapToGrid w:val="0"/>
        <w:spacing w:line="600" w:lineRule="exact"/>
        <w:ind w:left="420" w:leftChars="200"/>
        <w:rPr>
          <w:rFonts w:hint="eastAsia" w:ascii="楷体_GB2312" w:hAnsi="Times New Roman" w:eastAsia="楷体_GB2312" w:cs="Mongolian Baiti"/>
          <w:b/>
          <w:bCs/>
          <w:color w:val="000000"/>
          <w:sz w:val="32"/>
          <w:szCs w:val="32"/>
        </w:rPr>
      </w:pPr>
    </w:p>
    <w:p>
      <w:pPr>
        <w:adjustRightInd w:val="0"/>
        <w:snapToGrid w:val="0"/>
        <w:spacing w:line="600" w:lineRule="exact"/>
        <w:ind w:left="420" w:leftChars="200"/>
        <w:rPr>
          <w:rFonts w:ascii="楷体_GB2312" w:hAnsi="Times New Roman" w:eastAsia="楷体_GB2312" w:cs="Mongolian Baiti"/>
          <w:b/>
          <w:bCs/>
          <w:color w:val="000000"/>
          <w:sz w:val="32"/>
          <w:szCs w:val="32"/>
        </w:rPr>
      </w:pPr>
      <w:r>
        <w:rPr>
          <w:rFonts w:hint="eastAsia" w:ascii="楷体_GB2312" w:hAnsi="Times New Roman" w:eastAsia="楷体_GB2312" w:cs="Mongolian Baiti"/>
          <w:b/>
          <w:bCs/>
          <w:color w:val="000000"/>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color w:val="000000"/>
          <w:sz w:val="32"/>
          <w:szCs w:val="32"/>
          <w:highlight w:val="yellow"/>
        </w:rPr>
      </w:pPr>
      <w:r>
        <w:rPr>
          <w:rFonts w:hint="eastAsia" w:ascii="仿宋_GB2312" w:hAnsi="Times New Roman" w:eastAsia="仿宋_GB2312" w:cs="Wingdings"/>
          <w:color w:val="000000"/>
          <w:sz w:val="32"/>
          <w:szCs w:val="32"/>
        </w:rPr>
        <w:t>2020 年度财政拨款基本支出24915.58万元，其中包括：工资福利支出16070.98万元，主要包括基本工资、津贴补贴、奖金、绩效工资、机关事业单位基本养老保险缴费、职业年金缴费、职工基本医疗保险缴费、公务员医疗补助缴费、其他社会保障缴费、住房公积金。商品和服务支出1043.93万元，其中包括：办公费、印刷费、手续费、水费、电费、邮电费、取暖费、差旅费、维修（护）费、租赁费、专用材料费、劳务费、委托业务费、工会经费、福利费、公务用车运行维护费、其他交通费用、其他商品和服务支出。对个人和家庭的补助22223.66万元，其中包括：离休费、退休费、抚恤金、生活补助、奖励金、其他对个人和家庭的补助。资本性支出40万元，其中包括：大型修缮、办公设备购置。</w:t>
      </w:r>
    </w:p>
    <w:p>
      <w:pPr>
        <w:keepNext/>
        <w:keepLines/>
        <w:snapToGrid w:val="0"/>
        <w:spacing w:line="600" w:lineRule="exact"/>
        <w:ind w:firstLine="640" w:firstLineChars="200"/>
        <w:outlineLvl w:val="1"/>
        <w:rPr>
          <w:rFonts w:ascii="黑体" w:eastAsia="黑体" w:cs="Times New Roman"/>
          <w:color w:val="000000"/>
          <w:sz w:val="32"/>
          <w:szCs w:val="32"/>
        </w:rPr>
      </w:pPr>
      <w:r>
        <w:rPr>
          <w:rFonts w:hint="eastAsia" w:ascii="黑体" w:eastAsia="黑体" w:cs="Times New Roman"/>
          <w:color w:val="000000"/>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本部门2020年度“三公”经费财政拨款支出预算为2.2万元，支出决算为1.98万元，完成预算的90%,较预算减少0.22万元，</w:t>
      </w:r>
      <w:r>
        <w:rPr>
          <w:rFonts w:hint="eastAsia" w:ascii="仿宋_GB2312" w:hAnsi="Times New Roman" w:eastAsia="仿宋_GB2312" w:cs="Wingdings"/>
          <w:sz w:val="32"/>
          <w:szCs w:val="32"/>
          <w:lang w:eastAsia="zh-CN"/>
        </w:rPr>
        <w:t>降低</w:t>
      </w:r>
      <w:r>
        <w:rPr>
          <w:rFonts w:hint="eastAsia" w:ascii="仿宋_GB2312" w:hAnsi="Times New Roman" w:eastAsia="仿宋_GB2312" w:cs="Wingdings"/>
          <w:sz w:val="32"/>
          <w:szCs w:val="32"/>
        </w:rPr>
        <w:t>10%，主要是年初疫情原因，车辆使用次数减少；较2019年度减少0.33万元，降低16.67%，主要是年初疫情原因，车辆使用减少。</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hint="eastAsia"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因公出国（境）费支出0万元，完成预算的0%。</w:t>
      </w:r>
      <w:r>
        <w:rPr>
          <w:rFonts w:hint="eastAsia" w:ascii="仿宋_GB2312" w:hAnsi="Times New Roman" w:eastAsia="仿宋_GB2312" w:cs="Wingdings"/>
          <w:sz w:val="32"/>
          <w:szCs w:val="32"/>
        </w:rPr>
        <w:t>因公出国（境）团组0个、共0人、参加其他单位组织的因公出国（境）团组0个、共0人/无本单位组织的出国（境）团组。</w:t>
      </w:r>
    </w:p>
    <w:p>
      <w:pPr>
        <w:adjustRightInd w:val="0"/>
        <w:snapToGrid w:val="0"/>
        <w:spacing w:line="600" w:lineRule="exact"/>
        <w:ind w:firstLine="640" w:firstLineChars="200"/>
        <w:rPr>
          <w:rFonts w:hint="eastAsia" w:ascii="仿宋_GB2312" w:hAnsi="Times New Roman" w:eastAsia="仿宋_GB2312" w:cs="Mongolian Baiti"/>
          <w:b/>
          <w:bCs/>
          <w:sz w:val="32"/>
          <w:szCs w:val="32"/>
        </w:rPr>
      </w:pPr>
      <w:r>
        <w:rPr>
          <w:rFonts w:hint="eastAsia" w:ascii="楷体_GB2312" w:hAnsi="Times New Roman" w:eastAsia="楷体_GB2312" w:cs="Mongolian Baiti"/>
          <w:sz w:val="32"/>
          <w:szCs w:val="32"/>
        </w:rPr>
        <w:t>2.</w:t>
      </w:r>
      <w:r>
        <w:rPr>
          <w:rFonts w:hint="eastAsia" w:ascii="楷体_GB2312" w:hAnsi="Times New Roman" w:eastAsia="楷体_GB2312" w:cs="Mongolian Baiti"/>
          <w:b/>
          <w:bCs/>
          <w:sz w:val="32"/>
          <w:szCs w:val="32"/>
        </w:rPr>
        <w:t>公务用车购置及运行维护费。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公务用车购置及运行维护费支出</w:t>
      </w:r>
      <w:r>
        <w:rPr>
          <w:rFonts w:hint="eastAsia" w:ascii="仿宋_GB2312" w:hAnsi="Times New Roman" w:eastAsia="仿宋_GB2312" w:cs="Wingdings"/>
          <w:sz w:val="32"/>
          <w:szCs w:val="32"/>
        </w:rPr>
        <w:t>1.98</w:t>
      </w:r>
      <w:r>
        <w:rPr>
          <w:rFonts w:hint="eastAsia" w:ascii="仿宋_GB2312" w:hAnsi="仿宋_GB2312" w:eastAsia="仿宋_GB2312" w:cs="仿宋_GB2312"/>
          <w:sz w:val="32"/>
          <w:szCs w:val="32"/>
        </w:rPr>
        <w:t>万元，完成预算的</w:t>
      </w:r>
      <w:r>
        <w:rPr>
          <w:rFonts w:hint="eastAsia" w:ascii="仿宋_GB2312" w:hAnsi="Times New Roman" w:eastAsia="仿宋_GB2312" w:cs="Wingdings"/>
          <w:sz w:val="32"/>
          <w:szCs w:val="32"/>
        </w:rPr>
        <w:t>90%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较预算增加减少0.22万元，降低10%,主要是年初疫情原因，车辆使用次数减少；较2019年度减少0.33万元，降低16.67%，主要是年初疫情原因，车辆使用减少。</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hint="eastAsia" w:ascii="仿宋_GB2312" w:hAnsi="Times New Roman" w:eastAsia="仿宋_GB2312" w:cs="Wingdings"/>
          <w:b/>
          <w:sz w:val="32"/>
          <w:szCs w:val="32"/>
        </w:rPr>
      </w:pPr>
      <w:r>
        <w:rPr>
          <w:rFonts w:hint="eastAsia" w:ascii="仿宋_GB2312" w:hAnsi="Times New Roman" w:eastAsia="仿宋_GB2312" w:cs="Wingdings"/>
          <w:b/>
          <w:sz w:val="32"/>
          <w:szCs w:val="32"/>
        </w:rPr>
        <w:t>公务用车购置费支出：本部门未发生公车购置费，故金额为0。</w:t>
      </w:r>
    </w:p>
    <w:p>
      <w:pPr>
        <w:adjustRightInd w:val="0"/>
        <w:snapToGrid w:val="0"/>
        <w:spacing w:line="600" w:lineRule="exact"/>
        <w:ind w:firstLine="643" w:firstLineChars="200"/>
        <w:rPr>
          <w:rFonts w:hint="eastAsia"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1辆,发生运行维护费支出1.98万元。公车运行维护费支出较预算减少0.22万元，增长降低10%,主要是年初疫情原因，车辆使用次数减少；较上年减少0.33万元，降低16.67%，主要是年初疫情原因，车辆使用次数减少。</w:t>
      </w:r>
    </w:p>
    <w:p>
      <w:pPr>
        <w:numPr>
          <w:numId w:val="0"/>
        </w:numPr>
        <w:adjustRightInd w:val="0"/>
        <w:snapToGrid w:val="0"/>
        <w:spacing w:line="60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Mongolian Baiti"/>
          <w:b/>
          <w:bCs/>
          <w:sz w:val="32"/>
          <w:szCs w:val="32"/>
          <w:lang w:val="en-US" w:eastAsia="zh-CN"/>
        </w:rPr>
        <w:t>3.</w:t>
      </w:r>
      <w:r>
        <w:rPr>
          <w:rFonts w:hint="eastAsia" w:ascii="楷体_GB2312" w:hAnsi="Times New Roman" w:eastAsia="楷体_GB2312" w:cs="Mongolian Baiti"/>
          <w:b/>
          <w:bCs/>
          <w:sz w:val="32"/>
          <w:szCs w:val="32"/>
        </w:rPr>
        <w:t>公务</w:t>
      </w:r>
      <w:bookmarkStart w:id="0" w:name="_GoBack"/>
      <w:bookmarkEnd w:id="0"/>
      <w:r>
        <w:rPr>
          <w:rFonts w:hint="eastAsia" w:ascii="楷体_GB2312" w:hAnsi="Times New Roman" w:eastAsia="楷体_GB2312" w:cs="Mongolian Baiti"/>
          <w:b/>
          <w:bCs/>
          <w:sz w:val="32"/>
          <w:szCs w:val="32"/>
        </w:rPr>
        <w:t>接待费。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公务接待费支出0万元，完成预算的0%。发生</w:t>
      </w:r>
      <w:r>
        <w:rPr>
          <w:rFonts w:hint="eastAsia" w:ascii="仿宋_GB2312" w:hAnsi="Times New Roman" w:eastAsia="仿宋_GB2312" w:cs="Wingdings"/>
          <w:sz w:val="32"/>
          <w:szCs w:val="32"/>
        </w:rPr>
        <w:t>公务接待共0批次、0人次。公务接待费支出</w:t>
      </w:r>
      <w:r>
        <w:rPr>
          <w:rFonts w:hint="eastAsia" w:ascii="仿宋_GB2312" w:hAnsi="Times New Roman" w:eastAsia="仿宋_GB2312" w:cs="DengXian-Regular"/>
          <w:sz w:val="32"/>
          <w:szCs w:val="32"/>
        </w:rPr>
        <w:t>与年初预算持平，与2019年度决算支出持平。</w:t>
      </w:r>
    </w:p>
    <w:p>
      <w:pPr>
        <w:adjustRightInd w:val="0"/>
        <w:snapToGrid w:val="0"/>
        <w:spacing w:line="600" w:lineRule="exact"/>
        <w:rPr>
          <w:rFonts w:hint="eastAsia" w:ascii="仿宋_GB2312" w:hAnsi="Times New Roman" w:eastAsia="仿宋_GB2312" w:cs="DengXian-Regular"/>
          <w:sz w:val="32"/>
          <w:szCs w:val="32"/>
        </w:rPr>
      </w:pPr>
    </w:p>
    <w:p>
      <w:pPr>
        <w:adjustRightInd w:val="0"/>
        <w:snapToGrid w:val="0"/>
        <w:spacing w:line="600" w:lineRule="exact"/>
        <w:ind w:firstLine="640" w:firstLineChars="200"/>
        <w:rPr>
          <w:rFonts w:hint="eastAsia" w:ascii="黑体" w:hAnsi="Times New Roman" w:eastAsia="黑体" w:cs="Times New Roman"/>
          <w:color w:val="000000"/>
          <w:sz w:val="32"/>
          <w:szCs w:val="40"/>
        </w:rPr>
      </w:pPr>
      <w:r>
        <w:rPr>
          <w:rFonts w:hint="eastAsia" w:ascii="黑体" w:hAnsi="Times New Roman" w:eastAsia="黑体" w:cs="Times New Roman"/>
          <w:color w:val="000000"/>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color w:val="000000"/>
          <w:sz w:val="32"/>
          <w:szCs w:val="32"/>
        </w:rPr>
      </w:pPr>
      <w:r>
        <w:rPr>
          <w:rFonts w:hint="eastAsia" w:ascii="楷体_GB2312" w:hAnsi="楷体_GB2312" w:eastAsia="楷体_GB2312" w:cs="楷体_GB2312"/>
          <w:b/>
          <w:bCs/>
          <w:color w:val="000000"/>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根据预算绩效管理要求，本部门组织对2020年度项目支出全面开展绩效自评，其中，一般公共预算项目16个，共涉及资金1467.13万元，占一般公共预算项目100%。</w:t>
      </w:r>
    </w:p>
    <w:p>
      <w:pPr>
        <w:adjustRightInd w:val="0"/>
        <w:snapToGrid w:val="0"/>
        <w:spacing w:line="600" w:lineRule="exact"/>
        <w:ind w:firstLine="643" w:firstLineChars="200"/>
        <w:rPr>
          <w:rFonts w:ascii="楷体_GB2312" w:hAnsi="楷体_GB2312" w:eastAsia="楷体_GB2312" w:cs="楷体_GB2312"/>
          <w:b/>
          <w:bCs/>
          <w:color w:val="000000"/>
          <w:sz w:val="32"/>
          <w:szCs w:val="32"/>
        </w:rPr>
      </w:pPr>
      <w:r>
        <w:rPr>
          <w:rFonts w:hint="eastAsia" w:ascii="楷体_GB2312" w:hAnsi="楷体_GB2312" w:eastAsia="楷体_GB2312" w:cs="楷体_GB2312"/>
          <w:b/>
          <w:bCs/>
          <w:color w:val="000000"/>
          <w:sz w:val="32"/>
          <w:szCs w:val="32"/>
        </w:rPr>
        <w:t>（二） 部门决算中项目绩效自评结果</w:t>
      </w:r>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组织对“大宗印刷专项经费”，“扶持创业专项补助资金”等项目开展了部门重点评价，两个项目均为一般公共预算支出，共计49.32万元。从评价情况来看这两个项目预算执行度均为100%。</w:t>
      </w:r>
    </w:p>
    <w:p>
      <w:pPr>
        <w:numPr>
          <w:ilvl w:val="0"/>
          <w:numId w:val="2"/>
        </w:numPr>
        <w:adjustRightInd w:val="0"/>
        <w:snapToGrid w:val="0"/>
        <w:spacing w:line="60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大宗印刷专项经费项目绩效自评综述：根据年初设定的绩效目标，大宗印刷专项经费项目绩效自评等分为95分。全年预算数为3万元，执行数为3万元，完成预算的100%。项目绩效目标完成情况：已完成印制全区事业单位人员的聘用合同、考核表等工作。（后附表）</w:t>
      </w:r>
    </w:p>
    <w:tbl>
      <w:tblPr>
        <w:tblStyle w:val="5"/>
        <w:tblW w:w="9278" w:type="dxa"/>
        <w:tblInd w:w="93" w:type="dxa"/>
        <w:tblLayout w:type="fixed"/>
        <w:tblCellMar>
          <w:top w:w="0" w:type="dxa"/>
          <w:left w:w="108" w:type="dxa"/>
          <w:bottom w:w="0" w:type="dxa"/>
          <w:right w:w="108" w:type="dxa"/>
        </w:tblCellMar>
      </w:tblPr>
      <w:tblGrid>
        <w:gridCol w:w="1218"/>
        <w:gridCol w:w="1080"/>
        <w:gridCol w:w="1080"/>
        <w:gridCol w:w="1246"/>
        <w:gridCol w:w="1412"/>
        <w:gridCol w:w="1080"/>
        <w:gridCol w:w="1080"/>
        <w:gridCol w:w="1082"/>
      </w:tblGrid>
      <w:tr>
        <w:tblPrEx>
          <w:tblCellMar>
            <w:top w:w="0" w:type="dxa"/>
            <w:left w:w="108" w:type="dxa"/>
            <w:bottom w:w="0" w:type="dxa"/>
            <w:right w:w="108" w:type="dxa"/>
          </w:tblCellMar>
        </w:tblPrEx>
        <w:trPr>
          <w:trHeight w:val="510" w:hRule="atLeast"/>
        </w:trPr>
        <w:tc>
          <w:tcPr>
            <w:tcW w:w="9278" w:type="dxa"/>
            <w:gridSpan w:val="8"/>
            <w:tcBorders>
              <w:top w:val="nil"/>
              <w:left w:val="nil"/>
              <w:bottom w:val="nil"/>
              <w:right w:val="nil"/>
            </w:tcBorders>
            <w:noWrap/>
            <w:vAlign w:val="center"/>
          </w:tcPr>
          <w:p>
            <w:pPr>
              <w:widowControl/>
              <w:jc w:val="center"/>
              <w:textAlignment w:val="center"/>
              <w:rPr>
                <w:rFonts w:ascii="方正小标宋_GBK" w:hAnsi="方正小标宋_GBK" w:eastAsia="方正小标宋_GBK" w:cs="方正小标宋_GBK"/>
                <w:color w:val="000000"/>
                <w:sz w:val="40"/>
                <w:szCs w:val="40"/>
              </w:rPr>
            </w:pPr>
            <w:r>
              <w:rPr>
                <w:rFonts w:ascii="方正小标宋_GBK" w:hAnsi="方正小标宋_GBK" w:eastAsia="方正小标宋_GBK" w:cs="方正小标宋_GBK"/>
                <w:color w:val="000000"/>
                <w:kern w:val="0"/>
                <w:sz w:val="40"/>
                <w:szCs w:val="40"/>
              </w:rPr>
              <w:t>区级部门预算项目绩效自评表</w:t>
            </w:r>
          </w:p>
        </w:tc>
      </w:tr>
      <w:tr>
        <w:tblPrEx>
          <w:tblCellMar>
            <w:top w:w="0" w:type="dxa"/>
            <w:left w:w="108" w:type="dxa"/>
            <w:bottom w:w="0" w:type="dxa"/>
            <w:right w:w="108" w:type="dxa"/>
          </w:tblCellMar>
        </w:tblPrEx>
        <w:trPr>
          <w:trHeight w:val="300" w:hRule="atLeast"/>
        </w:trPr>
        <w:tc>
          <w:tcPr>
            <w:tcW w:w="9278" w:type="dxa"/>
            <w:gridSpan w:val="8"/>
            <w:tcBorders>
              <w:top w:val="nil"/>
              <w:left w:val="nil"/>
              <w:bottom w:val="nil"/>
              <w:right w:val="nil"/>
            </w:tcBorders>
            <w:noWrap/>
            <w:vAlign w:val="bottom"/>
          </w:tcPr>
          <w:p>
            <w:pPr>
              <w:widowControl/>
              <w:jc w:val="center"/>
              <w:textAlignment w:val="bottom"/>
              <w:rPr>
                <w:rFonts w:hint="eastAsia" w:ascii="宋体" w:hAnsi="宋体" w:cs="宋体"/>
                <w:color w:val="000000"/>
                <w:sz w:val="20"/>
                <w:szCs w:val="20"/>
              </w:rPr>
            </w:pPr>
            <w:r>
              <w:rPr>
                <w:rFonts w:hint="eastAsia" w:ascii="宋体" w:hAnsi="宋体" w:cs="宋体"/>
                <w:color w:val="000000"/>
                <w:kern w:val="0"/>
                <w:sz w:val="20"/>
                <w:szCs w:val="20"/>
              </w:rPr>
              <w:t>（2020 年度）</w:t>
            </w:r>
          </w:p>
        </w:tc>
      </w:tr>
      <w:tr>
        <w:tblPrEx>
          <w:tblCellMar>
            <w:top w:w="0" w:type="dxa"/>
            <w:left w:w="108" w:type="dxa"/>
            <w:bottom w:w="0" w:type="dxa"/>
            <w:right w:w="108" w:type="dxa"/>
          </w:tblCellMar>
        </w:tblPrEx>
        <w:trPr>
          <w:trHeight w:val="360" w:hRule="atLeast"/>
        </w:trPr>
        <w:tc>
          <w:tcPr>
            <w:tcW w:w="1218" w:type="dxa"/>
            <w:tcBorders>
              <w:top w:val="nil"/>
              <w:left w:val="nil"/>
              <w:bottom w:val="nil"/>
              <w:right w:val="nil"/>
            </w:tcBorders>
            <w:noWrap/>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填报单位：</w:t>
            </w:r>
          </w:p>
        </w:tc>
        <w:tc>
          <w:tcPr>
            <w:tcW w:w="3406" w:type="dxa"/>
            <w:gridSpan w:val="3"/>
            <w:tcBorders>
              <w:top w:val="nil"/>
              <w:left w:val="nil"/>
              <w:bottom w:val="nil"/>
              <w:right w:val="nil"/>
            </w:tcBorders>
            <w:noWrap/>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石家庄市藁城区人力资源和社会保障局</w:t>
            </w:r>
          </w:p>
        </w:tc>
        <w:tc>
          <w:tcPr>
            <w:tcW w:w="1412" w:type="dxa"/>
            <w:tcBorders>
              <w:top w:val="nil"/>
              <w:left w:val="nil"/>
              <w:bottom w:val="nil"/>
              <w:right w:val="nil"/>
            </w:tcBorders>
            <w:noWrap/>
            <w:vAlign w:val="center"/>
          </w:tcPr>
          <w:p>
            <w:pPr>
              <w:jc w:val="center"/>
              <w:rPr>
                <w:rFonts w:hint="eastAsia" w:ascii="宋体" w:hAnsi="宋体" w:cs="宋体"/>
                <w:color w:val="000000"/>
                <w:sz w:val="16"/>
                <w:szCs w:val="16"/>
              </w:rPr>
            </w:pPr>
          </w:p>
        </w:tc>
        <w:tc>
          <w:tcPr>
            <w:tcW w:w="1080" w:type="dxa"/>
            <w:tcBorders>
              <w:top w:val="nil"/>
              <w:left w:val="nil"/>
              <w:bottom w:val="nil"/>
              <w:right w:val="nil"/>
            </w:tcBorders>
            <w:noWrap/>
            <w:vAlign w:val="center"/>
          </w:tcPr>
          <w:p>
            <w:pPr>
              <w:jc w:val="center"/>
              <w:rPr>
                <w:rFonts w:hint="eastAsia" w:ascii="宋体" w:hAnsi="宋体" w:cs="宋体"/>
                <w:color w:val="000000"/>
                <w:sz w:val="16"/>
                <w:szCs w:val="16"/>
              </w:rPr>
            </w:pPr>
          </w:p>
        </w:tc>
        <w:tc>
          <w:tcPr>
            <w:tcW w:w="1080" w:type="dxa"/>
            <w:tcBorders>
              <w:top w:val="nil"/>
              <w:left w:val="nil"/>
              <w:bottom w:val="nil"/>
              <w:right w:val="nil"/>
            </w:tcBorders>
            <w:noWrap/>
            <w:vAlign w:val="center"/>
          </w:tcPr>
          <w:p>
            <w:pPr>
              <w:jc w:val="center"/>
              <w:rPr>
                <w:rFonts w:hint="eastAsia" w:ascii="宋体" w:hAnsi="宋体" w:cs="宋体"/>
                <w:color w:val="000000"/>
                <w:sz w:val="16"/>
                <w:szCs w:val="16"/>
              </w:rPr>
            </w:pPr>
          </w:p>
        </w:tc>
        <w:tc>
          <w:tcPr>
            <w:tcW w:w="1082" w:type="dxa"/>
            <w:tcBorders>
              <w:top w:val="nil"/>
              <w:left w:val="nil"/>
              <w:bottom w:val="nil"/>
              <w:right w:val="nil"/>
            </w:tcBorders>
            <w:noWrap/>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18" w:type="dxa"/>
            <w:tcBorders>
              <w:top w:val="single" w:color="000000" w:sz="4" w:space="0"/>
              <w:left w:val="single" w:color="000000" w:sz="4" w:space="0"/>
              <w:bottom w:val="nil"/>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一、 基本情况</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项目名称</w:t>
            </w:r>
          </w:p>
        </w:tc>
        <w:tc>
          <w:tcPr>
            <w:tcW w:w="2326"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大宗印刷</w:t>
            </w:r>
          </w:p>
        </w:tc>
        <w:tc>
          <w:tcPr>
            <w:tcW w:w="14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实施(主管）单位</w:t>
            </w:r>
          </w:p>
        </w:tc>
        <w:tc>
          <w:tcPr>
            <w:tcW w:w="3242"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石家庄市藁城区人力资源和社会保障局</w:t>
            </w:r>
          </w:p>
        </w:tc>
      </w:tr>
      <w:tr>
        <w:tblPrEx>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预算安排情况（调整后）</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资金执行情况</w:t>
            </w:r>
          </w:p>
        </w:tc>
        <w:tc>
          <w:tcPr>
            <w:tcW w:w="10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预算执行进度</w:t>
            </w:r>
          </w:p>
        </w:tc>
      </w:tr>
      <w:tr>
        <w:tblPrEx>
          <w:tblCellMar>
            <w:top w:w="0" w:type="dxa"/>
            <w:left w:w="108" w:type="dxa"/>
            <w:bottom w:w="0" w:type="dxa"/>
            <w:right w:w="108" w:type="dxa"/>
          </w:tblCellMar>
        </w:tblPrEx>
        <w:trPr>
          <w:trHeight w:val="270"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预算数：</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3</w:t>
            </w:r>
          </w:p>
        </w:tc>
        <w:tc>
          <w:tcPr>
            <w:tcW w:w="124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到位数：</w:t>
            </w:r>
          </w:p>
        </w:tc>
        <w:tc>
          <w:tcPr>
            <w:tcW w:w="14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执行数：</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3</w:t>
            </w:r>
          </w:p>
        </w:tc>
        <w:tc>
          <w:tcPr>
            <w:tcW w:w="1082"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100%</w:t>
            </w:r>
          </w:p>
        </w:tc>
      </w:tr>
      <w:tr>
        <w:tblPrEx>
          <w:tblCellMar>
            <w:top w:w="0" w:type="dxa"/>
            <w:left w:w="108" w:type="dxa"/>
            <w:bottom w:w="0" w:type="dxa"/>
            <w:right w:w="108" w:type="dxa"/>
          </w:tblCellMar>
        </w:tblPrEx>
        <w:trPr>
          <w:trHeight w:val="461"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其中：财政资金</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3</w:t>
            </w:r>
          </w:p>
        </w:tc>
        <w:tc>
          <w:tcPr>
            <w:tcW w:w="124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其中：财政资金</w:t>
            </w:r>
          </w:p>
        </w:tc>
        <w:tc>
          <w:tcPr>
            <w:tcW w:w="14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其中：财政资金</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3</w:t>
            </w:r>
          </w:p>
        </w:tc>
        <w:tc>
          <w:tcPr>
            <w:tcW w:w="1082"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r>
      <w:tr>
        <w:tblPrEx>
          <w:tblCellMar>
            <w:top w:w="0" w:type="dxa"/>
            <w:left w:w="108" w:type="dxa"/>
            <w:bottom w:w="0" w:type="dxa"/>
            <w:right w:w="108" w:type="dxa"/>
          </w:tblCellMar>
        </w:tblPrEx>
        <w:trPr>
          <w:trHeight w:val="270"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其他</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24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其他</w:t>
            </w:r>
          </w:p>
        </w:tc>
        <w:tc>
          <w:tcPr>
            <w:tcW w:w="1412"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其他</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2"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r>
      <w:tr>
        <w:tblPrEx>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三、目标完成情况</w:t>
            </w:r>
          </w:p>
        </w:tc>
        <w:tc>
          <w:tcPr>
            <w:tcW w:w="340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年度预期目标</w:t>
            </w:r>
          </w:p>
        </w:tc>
        <w:tc>
          <w:tcPr>
            <w:tcW w:w="3572"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具体完成情况</w:t>
            </w:r>
          </w:p>
        </w:tc>
        <w:tc>
          <w:tcPr>
            <w:tcW w:w="10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总体完成率</w:t>
            </w:r>
          </w:p>
        </w:tc>
      </w:tr>
      <w:tr>
        <w:tblPrEx>
          <w:tblCellMar>
            <w:top w:w="0" w:type="dxa"/>
            <w:left w:w="108" w:type="dxa"/>
            <w:bottom w:w="0" w:type="dxa"/>
            <w:right w:w="108" w:type="dxa"/>
          </w:tblCellMar>
        </w:tblPrEx>
        <w:trPr>
          <w:trHeight w:val="312"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3406"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用于印制全区事业单位人员的聘用合同、考核表等</w:t>
            </w:r>
          </w:p>
        </w:tc>
        <w:tc>
          <w:tcPr>
            <w:tcW w:w="3572"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已完成</w:t>
            </w:r>
          </w:p>
        </w:tc>
        <w:tc>
          <w:tcPr>
            <w:tcW w:w="1082"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100%</w:t>
            </w:r>
          </w:p>
        </w:tc>
      </w:tr>
      <w:tr>
        <w:tblPrEx>
          <w:tblCellMar>
            <w:top w:w="0" w:type="dxa"/>
            <w:left w:w="108" w:type="dxa"/>
            <w:bottom w:w="0" w:type="dxa"/>
            <w:right w:w="108" w:type="dxa"/>
          </w:tblCellMar>
        </w:tblPrEx>
        <w:trPr>
          <w:trHeight w:val="312"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340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3572"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2"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r>
      <w:tr>
        <w:tblPrEx>
          <w:tblCellMar>
            <w:top w:w="0" w:type="dxa"/>
            <w:left w:w="108" w:type="dxa"/>
            <w:bottom w:w="0" w:type="dxa"/>
            <w:right w:w="108" w:type="dxa"/>
          </w:tblCellMar>
        </w:tblPrEx>
        <w:trPr>
          <w:trHeight w:val="660"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340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3572"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2"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r>
      <w:tr>
        <w:tblPrEx>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nil"/>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四、 年度绩效指标完成情况</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一级指标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二级指标</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三级指标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预期指标值</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实际完成值</w:t>
            </w:r>
          </w:p>
        </w:tc>
        <w:tc>
          <w:tcPr>
            <w:tcW w:w="10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自评得分</w:t>
            </w:r>
          </w:p>
        </w:tc>
      </w:tr>
      <w:tr>
        <w:tblPrEx>
          <w:tblCellMar>
            <w:top w:w="0" w:type="dxa"/>
            <w:left w:w="108" w:type="dxa"/>
            <w:bottom w:w="0" w:type="dxa"/>
            <w:right w:w="108" w:type="dxa"/>
          </w:tblCellMar>
        </w:tblPrEx>
        <w:trPr>
          <w:trHeight w:val="641"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1080" w:type="dxa"/>
            <w:vMerge w:val="restart"/>
            <w:tcBorders>
              <w:top w:val="single" w:color="000000" w:sz="4" w:space="0"/>
              <w:left w:val="single" w:color="000000" w:sz="4" w:space="0"/>
              <w:bottom w:val="nil"/>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产出指标（40）</w:t>
            </w:r>
          </w:p>
        </w:tc>
        <w:tc>
          <w:tcPr>
            <w:tcW w:w="1080" w:type="dxa"/>
            <w:tcBorders>
              <w:top w:val="single" w:color="000000" w:sz="4" w:space="0"/>
              <w:left w:val="single" w:color="000000" w:sz="4" w:space="0"/>
              <w:bottom w:val="nil"/>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数量指标</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2"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r>
      <w:tr>
        <w:tblPrEx>
          <w:tblCellMar>
            <w:top w:w="0" w:type="dxa"/>
            <w:left w:w="108" w:type="dxa"/>
            <w:bottom w:w="0" w:type="dxa"/>
            <w:right w:w="108" w:type="dxa"/>
          </w:tblCellMar>
        </w:tblPrEx>
        <w:trPr>
          <w:trHeight w:val="27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jc w:val="center"/>
              <w:rPr>
                <w:rFonts w:hint="eastAsia" w:ascii="宋体" w:hAnsi="宋体" w:cs="宋体"/>
                <w:color w:val="000000"/>
                <w:sz w:val="18"/>
                <w:szCs w:val="18"/>
              </w:rPr>
            </w:pP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质量指标</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事业单位管理工作完成率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&gt;=90%</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100%</w:t>
            </w:r>
          </w:p>
        </w:tc>
        <w:tc>
          <w:tcPr>
            <w:tcW w:w="10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20</w:t>
            </w:r>
          </w:p>
        </w:tc>
      </w:tr>
      <w:tr>
        <w:tblPrEx>
          <w:tblCellMar>
            <w:top w:w="0" w:type="dxa"/>
            <w:left w:w="108" w:type="dxa"/>
            <w:bottom w:w="0" w:type="dxa"/>
            <w:right w:w="108" w:type="dxa"/>
          </w:tblCellMar>
        </w:tblPrEx>
        <w:trPr>
          <w:trHeight w:val="42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jc w:val="center"/>
              <w:rPr>
                <w:rFonts w:hint="eastAsia" w:ascii="宋体" w:hAnsi="宋体" w:cs="宋体"/>
                <w:color w:val="000000"/>
                <w:sz w:val="18"/>
                <w:szCs w:val="18"/>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事业单位人员对于管理工作的满意度</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&gt;=90%</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100%</w:t>
            </w:r>
          </w:p>
        </w:tc>
        <w:tc>
          <w:tcPr>
            <w:tcW w:w="10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20</w:t>
            </w:r>
          </w:p>
        </w:tc>
      </w:tr>
      <w:tr>
        <w:tblPrEx>
          <w:tblCellMar>
            <w:top w:w="0" w:type="dxa"/>
            <w:left w:w="108" w:type="dxa"/>
            <w:bottom w:w="0" w:type="dxa"/>
            <w:right w:w="108" w:type="dxa"/>
          </w:tblCellMar>
        </w:tblPrEx>
        <w:trPr>
          <w:trHeight w:val="27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时效指标</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2"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r>
      <w:tr>
        <w:tblPrEx>
          <w:tblCellMar>
            <w:top w:w="0" w:type="dxa"/>
            <w:left w:w="108" w:type="dxa"/>
            <w:bottom w:w="0" w:type="dxa"/>
            <w:right w:w="108" w:type="dxa"/>
          </w:tblCellMar>
        </w:tblPrEx>
        <w:trPr>
          <w:trHeight w:val="27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1080" w:type="dxa"/>
            <w:vMerge w:val="continue"/>
            <w:tcBorders>
              <w:top w:val="single" w:color="000000" w:sz="4" w:space="0"/>
              <w:left w:val="single" w:color="000000" w:sz="4" w:space="0"/>
              <w:bottom w:val="nil"/>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成本指标</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2"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r>
      <w:tr>
        <w:tblPrEx>
          <w:tblCellMar>
            <w:top w:w="0" w:type="dxa"/>
            <w:left w:w="108" w:type="dxa"/>
            <w:bottom w:w="0" w:type="dxa"/>
            <w:right w:w="108" w:type="dxa"/>
          </w:tblCellMar>
        </w:tblPrEx>
        <w:trPr>
          <w:trHeight w:val="701"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rPr>
              <w:t>预算执行率指标</w:t>
            </w:r>
          </w:p>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（10分）</w:t>
            </w:r>
          </w:p>
        </w:tc>
        <w:tc>
          <w:tcPr>
            <w:tcW w:w="1080"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预算执行率</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预算执行率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100%</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100%</w:t>
            </w:r>
          </w:p>
        </w:tc>
        <w:tc>
          <w:tcPr>
            <w:tcW w:w="10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10</w:t>
            </w:r>
          </w:p>
        </w:tc>
      </w:tr>
      <w:tr>
        <w:tblPrEx>
          <w:tblCellMar>
            <w:top w:w="0" w:type="dxa"/>
            <w:left w:w="108" w:type="dxa"/>
            <w:bottom w:w="0" w:type="dxa"/>
            <w:right w:w="108" w:type="dxa"/>
          </w:tblCellMar>
        </w:tblPrEx>
        <w:trPr>
          <w:trHeight w:val="45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1080" w:type="dxa"/>
            <w:vMerge w:val="restart"/>
            <w:tcBorders>
              <w:top w:val="nil"/>
              <w:left w:val="single" w:color="000000" w:sz="4" w:space="0"/>
              <w:bottom w:val="nil"/>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效益指标（40）</w:t>
            </w:r>
          </w:p>
        </w:tc>
        <w:tc>
          <w:tcPr>
            <w:tcW w:w="1080" w:type="dxa"/>
            <w:tcBorders>
              <w:top w:val="single" w:color="000000" w:sz="4" w:space="0"/>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经济效益指标</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2"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r>
      <w:tr>
        <w:tblPrEx>
          <w:tblCellMar>
            <w:top w:w="0" w:type="dxa"/>
            <w:left w:w="108" w:type="dxa"/>
            <w:bottom w:w="0" w:type="dxa"/>
            <w:right w:w="108" w:type="dxa"/>
          </w:tblCellMar>
        </w:tblPrEx>
        <w:trPr>
          <w:trHeight w:val="675"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1080" w:type="dxa"/>
            <w:vMerge w:val="continue"/>
            <w:tcBorders>
              <w:top w:val="nil"/>
              <w:left w:val="single" w:color="000000" w:sz="4" w:space="0"/>
              <w:bottom w:val="nil"/>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社会效益指标</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业务保障能力提升情况</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印制对业务保障能力的提升情况</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印制对业务保障能力有提升</w:t>
            </w:r>
          </w:p>
        </w:tc>
        <w:tc>
          <w:tcPr>
            <w:tcW w:w="10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35</w:t>
            </w:r>
          </w:p>
        </w:tc>
      </w:tr>
      <w:tr>
        <w:tblPrEx>
          <w:tblCellMar>
            <w:top w:w="0" w:type="dxa"/>
            <w:left w:w="108" w:type="dxa"/>
            <w:bottom w:w="0" w:type="dxa"/>
            <w:right w:w="108" w:type="dxa"/>
          </w:tblCellMar>
        </w:tblPrEx>
        <w:trPr>
          <w:trHeight w:val="45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1080" w:type="dxa"/>
            <w:vMerge w:val="continue"/>
            <w:tcBorders>
              <w:top w:val="nil"/>
              <w:left w:val="single" w:color="000000" w:sz="4" w:space="0"/>
              <w:bottom w:val="nil"/>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生态效益指标</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2"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r>
      <w:tr>
        <w:tblPrEx>
          <w:tblCellMar>
            <w:top w:w="0" w:type="dxa"/>
            <w:left w:w="108" w:type="dxa"/>
            <w:bottom w:w="0" w:type="dxa"/>
            <w:right w:w="108" w:type="dxa"/>
          </w:tblCellMar>
        </w:tblPrEx>
        <w:trPr>
          <w:trHeight w:val="45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1080" w:type="dxa"/>
            <w:vMerge w:val="continue"/>
            <w:tcBorders>
              <w:top w:val="nil"/>
              <w:left w:val="single" w:color="000000" w:sz="4" w:space="0"/>
              <w:bottom w:val="nil"/>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可持续影响指标</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c>
          <w:tcPr>
            <w:tcW w:w="1082"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8"/>
                <w:szCs w:val="18"/>
              </w:rPr>
            </w:pPr>
          </w:p>
        </w:tc>
      </w:tr>
      <w:tr>
        <w:tblPrEx>
          <w:tblCellMar>
            <w:top w:w="0" w:type="dxa"/>
            <w:left w:w="108" w:type="dxa"/>
            <w:bottom w:w="0" w:type="dxa"/>
            <w:right w:w="108" w:type="dxa"/>
          </w:tblCellMar>
        </w:tblPrEx>
        <w:trPr>
          <w:trHeight w:val="45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color w:val="000000"/>
                <w:kern w:val="0"/>
                <w:sz w:val="18"/>
                <w:szCs w:val="18"/>
                <w:lang w:eastAsia="zh-CN"/>
              </w:rPr>
            </w:pPr>
            <w:r>
              <w:rPr>
                <w:rFonts w:hint="eastAsia" w:ascii="宋体" w:hAnsi="宋体" w:cs="宋体"/>
                <w:color w:val="000000"/>
                <w:kern w:val="0"/>
                <w:sz w:val="18"/>
                <w:szCs w:val="18"/>
              </w:rPr>
              <w:t>满意度指标</w:t>
            </w:r>
          </w:p>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（10分）</w:t>
            </w:r>
          </w:p>
        </w:tc>
        <w:tc>
          <w:tcPr>
            <w:tcW w:w="1080" w:type="dxa"/>
            <w:tcBorders>
              <w:top w:val="single" w:color="000000" w:sz="4" w:space="0"/>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满意度指标</w:t>
            </w:r>
          </w:p>
        </w:tc>
        <w:tc>
          <w:tcPr>
            <w:tcW w:w="265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满意度指标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&gt;=90%</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95%</w:t>
            </w:r>
          </w:p>
        </w:tc>
        <w:tc>
          <w:tcPr>
            <w:tcW w:w="10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10</w:t>
            </w:r>
          </w:p>
        </w:tc>
      </w:tr>
      <w:tr>
        <w:tblPrEx>
          <w:tblCellMar>
            <w:top w:w="0" w:type="dxa"/>
            <w:left w:w="108" w:type="dxa"/>
            <w:bottom w:w="0" w:type="dxa"/>
            <w:right w:w="108" w:type="dxa"/>
          </w:tblCellMar>
        </w:tblPrEx>
        <w:trPr>
          <w:trHeight w:val="27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8"/>
                <w:szCs w:val="18"/>
              </w:rPr>
            </w:pPr>
          </w:p>
        </w:tc>
        <w:tc>
          <w:tcPr>
            <w:tcW w:w="6978"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总分</w:t>
            </w:r>
          </w:p>
        </w:tc>
        <w:tc>
          <w:tcPr>
            <w:tcW w:w="10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95</w:t>
            </w:r>
          </w:p>
        </w:tc>
      </w:tr>
      <w:tr>
        <w:tblPrEx>
          <w:tblCellMar>
            <w:top w:w="0" w:type="dxa"/>
            <w:left w:w="108" w:type="dxa"/>
            <w:bottom w:w="0" w:type="dxa"/>
            <w:right w:w="108" w:type="dxa"/>
          </w:tblCellMar>
        </w:tblPrEx>
        <w:trPr>
          <w:trHeight w:val="735" w:hRule="atLeast"/>
        </w:trPr>
        <w:tc>
          <w:tcPr>
            <w:tcW w:w="1218"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五、 存在问题、原因及下一步整改措施</w:t>
            </w:r>
          </w:p>
        </w:tc>
        <w:tc>
          <w:tcPr>
            <w:tcW w:w="8060" w:type="dxa"/>
            <w:gridSpan w:val="7"/>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rPr>
              <w:t>完善项目资金使用方式方法。</w:t>
            </w:r>
          </w:p>
        </w:tc>
      </w:tr>
    </w:tbl>
    <w:p>
      <w:pPr>
        <w:adjustRightInd w:val="0"/>
        <w:snapToGrid w:val="0"/>
        <w:spacing w:line="600" w:lineRule="exact"/>
        <w:rPr>
          <w:rFonts w:ascii="仿宋_GB2312" w:hAnsi="仿宋_GB2312" w:eastAsia="仿宋_GB2312" w:cs="仿宋_GB2312"/>
          <w:color w:val="000000"/>
          <w:sz w:val="32"/>
          <w:szCs w:val="32"/>
        </w:rPr>
      </w:pPr>
    </w:p>
    <w:p>
      <w:pPr>
        <w:numPr>
          <w:ilvl w:val="0"/>
          <w:numId w:val="2"/>
        </w:numPr>
        <w:adjustRightInd w:val="0"/>
        <w:snapToGrid w:val="0"/>
        <w:spacing w:line="60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扶持创业专项补助资金项目绩效自评综述：根据年初设定的绩效目标，扶持创业专项补助资金项目绩效自评得分为100分。全年预算数为46.32万元，执行数为46.32万元，完成预算的100%。项目绩效目标完成情况：已通过合理利用专项资金，达到提高补助覆盖率的结果。提高了受益对象满意度。</w:t>
      </w:r>
    </w:p>
    <w:tbl>
      <w:tblPr>
        <w:tblStyle w:val="5"/>
        <w:tblW w:w="9439" w:type="dxa"/>
        <w:tblInd w:w="93" w:type="dxa"/>
        <w:tblLayout w:type="fixed"/>
        <w:tblCellMar>
          <w:top w:w="0" w:type="dxa"/>
          <w:left w:w="108" w:type="dxa"/>
          <w:bottom w:w="0" w:type="dxa"/>
          <w:right w:w="108" w:type="dxa"/>
        </w:tblCellMar>
      </w:tblPr>
      <w:tblGrid>
        <w:gridCol w:w="1218"/>
        <w:gridCol w:w="1080"/>
        <w:gridCol w:w="1080"/>
        <w:gridCol w:w="1235"/>
        <w:gridCol w:w="1412"/>
        <w:gridCol w:w="1080"/>
        <w:gridCol w:w="1121"/>
        <w:gridCol w:w="1213"/>
      </w:tblGrid>
      <w:tr>
        <w:tblPrEx>
          <w:tblCellMar>
            <w:top w:w="0" w:type="dxa"/>
            <w:left w:w="108" w:type="dxa"/>
            <w:bottom w:w="0" w:type="dxa"/>
            <w:right w:w="108" w:type="dxa"/>
          </w:tblCellMar>
        </w:tblPrEx>
        <w:trPr>
          <w:trHeight w:val="510" w:hRule="atLeast"/>
        </w:trPr>
        <w:tc>
          <w:tcPr>
            <w:tcW w:w="9439" w:type="dxa"/>
            <w:gridSpan w:val="8"/>
            <w:tcBorders>
              <w:top w:val="nil"/>
              <w:left w:val="nil"/>
              <w:bottom w:val="nil"/>
              <w:right w:val="nil"/>
            </w:tcBorders>
            <w:noWrap/>
            <w:vAlign w:val="center"/>
          </w:tcPr>
          <w:p>
            <w:pPr>
              <w:widowControl/>
              <w:jc w:val="center"/>
              <w:textAlignment w:val="center"/>
              <w:rPr>
                <w:rFonts w:ascii="方正小标宋_GBK" w:hAnsi="方正小标宋_GBK" w:eastAsia="方正小标宋_GBK" w:cs="方正小标宋_GBK"/>
                <w:color w:val="000000"/>
                <w:sz w:val="40"/>
                <w:szCs w:val="40"/>
              </w:rPr>
            </w:pPr>
            <w:r>
              <w:rPr>
                <w:rFonts w:ascii="方正小标宋_GBK" w:hAnsi="方正小标宋_GBK" w:eastAsia="方正小标宋_GBK" w:cs="方正小标宋_GBK"/>
                <w:color w:val="000000"/>
                <w:kern w:val="0"/>
                <w:sz w:val="40"/>
                <w:szCs w:val="40"/>
              </w:rPr>
              <w:t>区级部门预算项目绩效自评表</w:t>
            </w:r>
          </w:p>
        </w:tc>
      </w:tr>
      <w:tr>
        <w:tblPrEx>
          <w:tblCellMar>
            <w:top w:w="0" w:type="dxa"/>
            <w:left w:w="108" w:type="dxa"/>
            <w:bottom w:w="0" w:type="dxa"/>
            <w:right w:w="108" w:type="dxa"/>
          </w:tblCellMar>
        </w:tblPrEx>
        <w:trPr>
          <w:trHeight w:val="300" w:hRule="atLeast"/>
        </w:trPr>
        <w:tc>
          <w:tcPr>
            <w:tcW w:w="9439" w:type="dxa"/>
            <w:gridSpan w:val="8"/>
            <w:tcBorders>
              <w:top w:val="nil"/>
              <w:left w:val="nil"/>
              <w:bottom w:val="nil"/>
              <w:right w:val="nil"/>
            </w:tcBorders>
            <w:noWrap/>
            <w:vAlign w:val="bottom"/>
          </w:tcPr>
          <w:p>
            <w:pPr>
              <w:widowControl/>
              <w:jc w:val="center"/>
              <w:textAlignment w:val="bottom"/>
              <w:rPr>
                <w:rFonts w:hint="eastAsia" w:ascii="宋体" w:hAnsi="宋体" w:cs="宋体"/>
                <w:color w:val="000000"/>
                <w:sz w:val="20"/>
                <w:szCs w:val="20"/>
              </w:rPr>
            </w:pPr>
            <w:r>
              <w:rPr>
                <w:rFonts w:hint="eastAsia" w:ascii="宋体" w:hAnsi="宋体" w:cs="宋体"/>
                <w:color w:val="000000"/>
                <w:kern w:val="0"/>
                <w:sz w:val="20"/>
                <w:szCs w:val="20"/>
              </w:rPr>
              <w:t>（2020 年度）</w:t>
            </w:r>
          </w:p>
        </w:tc>
      </w:tr>
      <w:tr>
        <w:tblPrEx>
          <w:tblCellMar>
            <w:top w:w="0" w:type="dxa"/>
            <w:left w:w="108" w:type="dxa"/>
            <w:bottom w:w="0" w:type="dxa"/>
            <w:right w:w="108" w:type="dxa"/>
          </w:tblCellMar>
        </w:tblPrEx>
        <w:trPr>
          <w:trHeight w:val="360" w:hRule="atLeast"/>
        </w:trPr>
        <w:tc>
          <w:tcPr>
            <w:tcW w:w="1218" w:type="dxa"/>
            <w:tcBorders>
              <w:top w:val="nil"/>
              <w:left w:val="nil"/>
              <w:bottom w:val="nil"/>
              <w:right w:val="nil"/>
            </w:tcBorders>
            <w:noWrap/>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填报单位：</w:t>
            </w:r>
          </w:p>
        </w:tc>
        <w:tc>
          <w:tcPr>
            <w:tcW w:w="3395" w:type="dxa"/>
            <w:gridSpan w:val="3"/>
            <w:tcBorders>
              <w:top w:val="nil"/>
              <w:left w:val="nil"/>
              <w:bottom w:val="nil"/>
              <w:right w:val="nil"/>
            </w:tcBorders>
            <w:noWrap/>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石家庄市藁城区人力资源和社会保障局</w:t>
            </w:r>
          </w:p>
        </w:tc>
        <w:tc>
          <w:tcPr>
            <w:tcW w:w="1412" w:type="dxa"/>
            <w:tcBorders>
              <w:top w:val="nil"/>
              <w:left w:val="nil"/>
              <w:bottom w:val="nil"/>
              <w:right w:val="nil"/>
            </w:tcBorders>
            <w:noWrap/>
            <w:vAlign w:val="center"/>
          </w:tcPr>
          <w:p>
            <w:pPr>
              <w:jc w:val="center"/>
              <w:rPr>
                <w:rFonts w:hint="eastAsia" w:ascii="宋体" w:hAnsi="宋体" w:cs="宋体"/>
                <w:color w:val="000000"/>
                <w:sz w:val="16"/>
                <w:szCs w:val="16"/>
              </w:rPr>
            </w:pPr>
          </w:p>
        </w:tc>
        <w:tc>
          <w:tcPr>
            <w:tcW w:w="1080" w:type="dxa"/>
            <w:tcBorders>
              <w:top w:val="nil"/>
              <w:left w:val="nil"/>
              <w:bottom w:val="nil"/>
              <w:right w:val="nil"/>
            </w:tcBorders>
            <w:noWrap/>
            <w:vAlign w:val="center"/>
          </w:tcPr>
          <w:p>
            <w:pPr>
              <w:jc w:val="center"/>
              <w:rPr>
                <w:rFonts w:hint="eastAsia" w:ascii="宋体" w:hAnsi="宋体" w:cs="宋体"/>
                <w:color w:val="000000"/>
                <w:sz w:val="16"/>
                <w:szCs w:val="16"/>
              </w:rPr>
            </w:pPr>
          </w:p>
        </w:tc>
        <w:tc>
          <w:tcPr>
            <w:tcW w:w="1121" w:type="dxa"/>
            <w:tcBorders>
              <w:top w:val="nil"/>
              <w:left w:val="nil"/>
              <w:bottom w:val="nil"/>
              <w:right w:val="nil"/>
            </w:tcBorders>
            <w:noWrap/>
            <w:vAlign w:val="center"/>
          </w:tcPr>
          <w:p>
            <w:pPr>
              <w:jc w:val="center"/>
              <w:rPr>
                <w:rFonts w:hint="eastAsia" w:ascii="宋体" w:hAnsi="宋体" w:cs="宋体"/>
                <w:color w:val="000000"/>
                <w:sz w:val="16"/>
                <w:szCs w:val="16"/>
              </w:rPr>
            </w:pPr>
          </w:p>
        </w:tc>
        <w:tc>
          <w:tcPr>
            <w:tcW w:w="1213" w:type="dxa"/>
            <w:tcBorders>
              <w:top w:val="nil"/>
              <w:left w:val="nil"/>
              <w:bottom w:val="nil"/>
              <w:right w:val="nil"/>
            </w:tcBorders>
            <w:noWrap/>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18" w:type="dxa"/>
            <w:tcBorders>
              <w:top w:val="single" w:color="000000" w:sz="4" w:space="0"/>
              <w:left w:val="single" w:color="000000" w:sz="4" w:space="0"/>
              <w:bottom w:val="nil"/>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一、</w:t>
            </w:r>
            <w:r>
              <w:rPr>
                <w:rFonts w:cs="Calibri"/>
                <w:color w:val="000000"/>
                <w:kern w:val="0"/>
                <w:sz w:val="16"/>
                <w:szCs w:val="16"/>
              </w:rPr>
              <w:t xml:space="preserve"> </w:t>
            </w:r>
            <w:r>
              <w:rPr>
                <w:rFonts w:hint="eastAsia" w:ascii="宋体" w:hAnsi="宋体" w:cs="宋体"/>
                <w:color w:val="000000"/>
                <w:kern w:val="0"/>
                <w:sz w:val="16"/>
                <w:szCs w:val="16"/>
              </w:rPr>
              <w:t>基本情况</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项目名称</w:t>
            </w:r>
          </w:p>
        </w:tc>
        <w:tc>
          <w:tcPr>
            <w:tcW w:w="2315"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扶持创业专项资金（专项资金）</w:t>
            </w:r>
          </w:p>
        </w:tc>
        <w:tc>
          <w:tcPr>
            <w:tcW w:w="14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实施(主管）单位</w:t>
            </w:r>
          </w:p>
        </w:tc>
        <w:tc>
          <w:tcPr>
            <w:tcW w:w="3414"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石家庄市藁城区人力资源和社会保障局</w:t>
            </w:r>
          </w:p>
        </w:tc>
      </w:tr>
      <w:tr>
        <w:tblPrEx>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预算安排情况（调整后）</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资金到位情况</w:t>
            </w:r>
          </w:p>
        </w:tc>
        <w:tc>
          <w:tcPr>
            <w:tcW w:w="220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资金执行情况</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预算执行进度</w:t>
            </w:r>
          </w:p>
        </w:tc>
      </w:tr>
      <w:tr>
        <w:tblPrEx>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预算数：</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46.323553</w:t>
            </w:r>
          </w:p>
        </w:tc>
        <w:tc>
          <w:tcPr>
            <w:tcW w:w="1235"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到位数：</w:t>
            </w:r>
          </w:p>
        </w:tc>
        <w:tc>
          <w:tcPr>
            <w:tcW w:w="141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46.323553</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执行数：</w:t>
            </w:r>
          </w:p>
        </w:tc>
        <w:tc>
          <w:tcPr>
            <w:tcW w:w="1121"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cs="Calibri"/>
                <w:color w:val="000000"/>
                <w:szCs w:val="21"/>
              </w:rPr>
            </w:pPr>
            <w:r>
              <w:rPr>
                <w:rFonts w:cs="Calibri"/>
                <w:color w:val="000000"/>
                <w:kern w:val="0"/>
                <w:szCs w:val="21"/>
              </w:rPr>
              <w:t>46.323553</w:t>
            </w:r>
          </w:p>
        </w:tc>
        <w:tc>
          <w:tcPr>
            <w:tcW w:w="1213"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100%</w:t>
            </w:r>
          </w:p>
        </w:tc>
      </w:tr>
      <w:tr>
        <w:tblPrEx>
          <w:tblCellMar>
            <w:top w:w="0" w:type="dxa"/>
            <w:left w:w="108" w:type="dxa"/>
            <w:bottom w:w="0" w:type="dxa"/>
            <w:right w:w="108" w:type="dxa"/>
          </w:tblCellMar>
        </w:tblPrEx>
        <w:trPr>
          <w:trHeight w:val="461"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其中：财政资金</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46.323553</w:t>
            </w:r>
          </w:p>
        </w:tc>
        <w:tc>
          <w:tcPr>
            <w:tcW w:w="1235"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其中：财政资金</w:t>
            </w:r>
          </w:p>
        </w:tc>
        <w:tc>
          <w:tcPr>
            <w:tcW w:w="141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46.323553</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其中：财政资金</w:t>
            </w:r>
          </w:p>
        </w:tc>
        <w:tc>
          <w:tcPr>
            <w:tcW w:w="1121"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46.323553</w:t>
            </w:r>
          </w:p>
        </w:tc>
        <w:tc>
          <w:tcPr>
            <w:tcW w:w="121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r>
      <w:tr>
        <w:tblPrEx>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其他</w:t>
            </w: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cs="Calibri"/>
                <w:color w:val="000000"/>
                <w:szCs w:val="21"/>
              </w:rPr>
            </w:pPr>
          </w:p>
        </w:tc>
        <w:tc>
          <w:tcPr>
            <w:tcW w:w="1235"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其他</w:t>
            </w:r>
          </w:p>
        </w:tc>
        <w:tc>
          <w:tcPr>
            <w:tcW w:w="1412" w:type="dxa"/>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cs="宋体"/>
                <w:color w:val="000000"/>
                <w:sz w:val="16"/>
                <w:szCs w:val="16"/>
              </w:rPr>
            </w:pPr>
            <w:r>
              <w:rPr>
                <w:rFonts w:hint="eastAsia" w:ascii="宋体" w:hAnsi="宋体" w:cs="宋体"/>
                <w:color w:val="000000"/>
                <w:kern w:val="0"/>
                <w:sz w:val="16"/>
                <w:szCs w:val="16"/>
              </w:rPr>
              <w:t>其他</w:t>
            </w:r>
          </w:p>
        </w:tc>
        <w:tc>
          <w:tcPr>
            <w:tcW w:w="1121" w:type="dxa"/>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cs="宋体"/>
                <w:color w:val="000000"/>
                <w:sz w:val="16"/>
                <w:szCs w:val="16"/>
              </w:rPr>
            </w:pPr>
          </w:p>
        </w:tc>
        <w:tc>
          <w:tcPr>
            <w:tcW w:w="121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r>
      <w:tr>
        <w:tblPrEx>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三、目标完成情况</w:t>
            </w:r>
          </w:p>
        </w:tc>
        <w:tc>
          <w:tcPr>
            <w:tcW w:w="339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年度预期目标</w:t>
            </w:r>
          </w:p>
        </w:tc>
        <w:tc>
          <w:tcPr>
            <w:tcW w:w="3613"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具体完成情况</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c>
          <w:tcPr>
            <w:tcW w:w="3395"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color w:val="000000"/>
                <w:kern w:val="0"/>
                <w:sz w:val="16"/>
                <w:szCs w:val="16"/>
                <w:lang w:eastAsia="zh-CN"/>
              </w:rPr>
            </w:pPr>
            <w:r>
              <w:rPr>
                <w:rFonts w:hint="eastAsia" w:ascii="宋体" w:hAnsi="宋体" w:cs="宋体"/>
                <w:color w:val="000000"/>
                <w:kern w:val="0"/>
                <w:sz w:val="16"/>
                <w:szCs w:val="16"/>
              </w:rPr>
              <w:t>1、通过合理利用专项资金，达到提高补助覆盖率。</w:t>
            </w:r>
          </w:p>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2、提高受益对象满意度，提高经济收入的目标。</w:t>
            </w:r>
          </w:p>
        </w:tc>
        <w:tc>
          <w:tcPr>
            <w:tcW w:w="3613"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按规定完成</w:t>
            </w:r>
          </w:p>
        </w:tc>
        <w:tc>
          <w:tcPr>
            <w:tcW w:w="1213"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c>
          <w:tcPr>
            <w:tcW w:w="339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c>
          <w:tcPr>
            <w:tcW w:w="3613"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c>
          <w:tcPr>
            <w:tcW w:w="121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r>
      <w:tr>
        <w:tblPrEx>
          <w:tblCellMar>
            <w:top w:w="0" w:type="dxa"/>
            <w:left w:w="108" w:type="dxa"/>
            <w:bottom w:w="0" w:type="dxa"/>
            <w:right w:w="108" w:type="dxa"/>
          </w:tblCellMar>
        </w:tblPrEx>
        <w:trPr>
          <w:trHeight w:val="360" w:hRule="atLeast"/>
        </w:trPr>
        <w:tc>
          <w:tcPr>
            <w:tcW w:w="121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c>
          <w:tcPr>
            <w:tcW w:w="339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c>
          <w:tcPr>
            <w:tcW w:w="3613"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c>
          <w:tcPr>
            <w:tcW w:w="121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cs="宋体"/>
                <w:color w:val="000000"/>
                <w:sz w:val="16"/>
                <w:szCs w:val="16"/>
              </w:rPr>
            </w:pPr>
          </w:p>
        </w:tc>
      </w:tr>
      <w:tr>
        <w:tblPrEx>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nil"/>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四、</w:t>
            </w:r>
            <w:r>
              <w:rPr>
                <w:rFonts w:cs="Calibri"/>
                <w:color w:val="000000"/>
                <w:kern w:val="0"/>
                <w:sz w:val="16"/>
                <w:szCs w:val="16"/>
              </w:rPr>
              <w:t xml:space="preserve"> </w:t>
            </w:r>
            <w:r>
              <w:rPr>
                <w:rFonts w:hint="eastAsia" w:ascii="宋体" w:hAnsi="宋体" w:cs="宋体"/>
                <w:color w:val="000000"/>
                <w:kern w:val="0"/>
                <w:sz w:val="16"/>
                <w:szCs w:val="16"/>
              </w:rPr>
              <w:t>年度绩效指标完成情况</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一级指标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二级指标</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三级指标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预期指标值</w:t>
            </w:r>
          </w:p>
        </w:tc>
        <w:tc>
          <w:tcPr>
            <w:tcW w:w="112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实际完成值</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自评得分</w:t>
            </w:r>
          </w:p>
        </w:tc>
      </w:tr>
      <w:tr>
        <w:tblPrEx>
          <w:tblCellMar>
            <w:top w:w="0" w:type="dxa"/>
            <w:left w:w="108" w:type="dxa"/>
            <w:bottom w:w="0" w:type="dxa"/>
            <w:right w:w="108" w:type="dxa"/>
          </w:tblCellMar>
        </w:tblPrEx>
        <w:trPr>
          <w:trHeight w:val="42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1080" w:type="dxa"/>
            <w:vMerge w:val="restart"/>
            <w:tcBorders>
              <w:top w:val="single" w:color="000000" w:sz="4" w:space="0"/>
              <w:left w:val="single" w:color="000000" w:sz="4" w:space="0"/>
              <w:bottom w:val="nil"/>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产出指标（40）</w:t>
            </w:r>
          </w:p>
        </w:tc>
        <w:tc>
          <w:tcPr>
            <w:tcW w:w="1080" w:type="dxa"/>
            <w:tcBorders>
              <w:top w:val="single" w:color="000000" w:sz="4" w:space="0"/>
              <w:left w:val="single" w:color="000000" w:sz="4" w:space="0"/>
              <w:bottom w:val="nil"/>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数量指标</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人数发放率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≥90%</w:t>
            </w:r>
          </w:p>
        </w:tc>
        <w:tc>
          <w:tcPr>
            <w:tcW w:w="112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95%</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10</w:t>
            </w:r>
          </w:p>
        </w:tc>
      </w:tr>
      <w:tr>
        <w:tblPrEx>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1080" w:type="dxa"/>
            <w:vMerge w:val="continue"/>
            <w:tcBorders>
              <w:top w:val="single" w:color="000000" w:sz="4" w:space="0"/>
              <w:left w:val="single" w:color="000000" w:sz="4" w:space="0"/>
              <w:bottom w:val="nil"/>
              <w:right w:val="single" w:color="000000" w:sz="4" w:space="0"/>
            </w:tcBorders>
            <w:vAlign w:val="center"/>
          </w:tcPr>
          <w:p>
            <w:pPr>
              <w:jc w:val="center"/>
              <w:rPr>
                <w:rFonts w:hint="eastAsia"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质量指标</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资金到位率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≥90%</w:t>
            </w:r>
          </w:p>
        </w:tc>
        <w:tc>
          <w:tcPr>
            <w:tcW w:w="112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95%</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10</w:t>
            </w:r>
          </w:p>
        </w:tc>
      </w:tr>
      <w:tr>
        <w:tblPrEx>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1080" w:type="dxa"/>
            <w:vMerge w:val="continue"/>
            <w:tcBorders>
              <w:top w:val="single" w:color="000000" w:sz="4" w:space="0"/>
              <w:left w:val="single" w:color="000000" w:sz="4" w:space="0"/>
              <w:bottom w:val="nil"/>
              <w:right w:val="single" w:color="000000" w:sz="4" w:space="0"/>
            </w:tcBorders>
            <w:vAlign w:val="center"/>
          </w:tcPr>
          <w:p>
            <w:pPr>
              <w:jc w:val="center"/>
              <w:rPr>
                <w:rFonts w:hint="eastAsia"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时效指标</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用款及时率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≥90%</w:t>
            </w:r>
          </w:p>
        </w:tc>
        <w:tc>
          <w:tcPr>
            <w:tcW w:w="112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95%</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10</w:t>
            </w:r>
          </w:p>
        </w:tc>
      </w:tr>
      <w:tr>
        <w:tblPrEx>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1080" w:type="dxa"/>
            <w:vMerge w:val="continue"/>
            <w:tcBorders>
              <w:top w:val="single" w:color="000000" w:sz="4" w:space="0"/>
              <w:left w:val="single" w:color="000000" w:sz="4" w:space="0"/>
              <w:bottom w:val="nil"/>
              <w:right w:val="single" w:color="000000" w:sz="4" w:space="0"/>
            </w:tcBorders>
            <w:vAlign w:val="center"/>
          </w:tcPr>
          <w:p>
            <w:pPr>
              <w:jc w:val="center"/>
              <w:rPr>
                <w:rFonts w:hint="eastAsia"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成本指标</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项目实际支出率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≥90%</w:t>
            </w:r>
          </w:p>
        </w:tc>
        <w:tc>
          <w:tcPr>
            <w:tcW w:w="112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95%</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10</w:t>
            </w:r>
          </w:p>
        </w:tc>
      </w:tr>
      <w:tr>
        <w:tblPrEx>
          <w:tblCellMar>
            <w:top w:w="0" w:type="dxa"/>
            <w:left w:w="108" w:type="dxa"/>
            <w:bottom w:w="0" w:type="dxa"/>
            <w:right w:w="108" w:type="dxa"/>
          </w:tblCellMar>
        </w:tblPrEx>
        <w:trPr>
          <w:trHeight w:val="701"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color w:val="000000"/>
                <w:kern w:val="0"/>
                <w:sz w:val="16"/>
                <w:szCs w:val="16"/>
                <w:lang w:eastAsia="zh-CN"/>
              </w:rPr>
            </w:pPr>
            <w:r>
              <w:rPr>
                <w:rFonts w:hint="eastAsia" w:ascii="宋体" w:hAnsi="宋体" w:cs="宋体"/>
                <w:color w:val="000000"/>
                <w:kern w:val="0"/>
                <w:sz w:val="16"/>
                <w:szCs w:val="16"/>
              </w:rPr>
              <w:t>预算执行率指标</w:t>
            </w:r>
          </w:p>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（10分）</w:t>
            </w:r>
          </w:p>
        </w:tc>
        <w:tc>
          <w:tcPr>
            <w:tcW w:w="1080"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预算执行率</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预算支出比率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≥90%</w:t>
            </w:r>
          </w:p>
        </w:tc>
        <w:tc>
          <w:tcPr>
            <w:tcW w:w="112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95%</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10</w:t>
            </w:r>
          </w:p>
        </w:tc>
      </w:tr>
      <w:tr>
        <w:tblPrEx>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1080" w:type="dxa"/>
            <w:vMerge w:val="restart"/>
            <w:tcBorders>
              <w:top w:val="nil"/>
              <w:left w:val="single" w:color="000000" w:sz="4" w:space="0"/>
              <w:bottom w:val="nil"/>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效益指标（40）</w:t>
            </w:r>
          </w:p>
        </w:tc>
        <w:tc>
          <w:tcPr>
            <w:tcW w:w="1080" w:type="dxa"/>
            <w:tcBorders>
              <w:top w:val="single" w:color="000000" w:sz="4" w:space="0"/>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经济效益指标</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指标</w:t>
            </w:r>
            <w:r>
              <w:rPr>
                <w:rFonts w:cs="Calibri"/>
                <w:color w:val="000000"/>
                <w:kern w:val="0"/>
                <w:sz w:val="16"/>
                <w:szCs w:val="16"/>
              </w:rPr>
              <w:t xml:space="preserve"> </w:t>
            </w:r>
            <w:r>
              <w:rPr>
                <w:rFonts w:ascii="Arial Unicode MS" w:hAnsi="Arial Unicode MS" w:eastAsia="Arial Unicode MS" w:cs="Arial Unicode MS"/>
                <w:color w:val="000000"/>
                <w:kern w:val="0"/>
                <w:sz w:val="16"/>
                <w:szCs w:val="16"/>
              </w:rPr>
              <w:t>１</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cs="Calibri"/>
                <w:color w:val="000000"/>
                <w:szCs w:val="21"/>
              </w:rPr>
            </w:pPr>
          </w:p>
        </w:tc>
        <w:tc>
          <w:tcPr>
            <w:tcW w:w="1121" w:type="dxa"/>
            <w:tcBorders>
              <w:top w:val="single" w:color="000000" w:sz="4" w:space="0"/>
              <w:left w:val="single" w:color="000000" w:sz="4" w:space="0"/>
              <w:bottom w:val="single" w:color="000000" w:sz="4" w:space="0"/>
              <w:right w:val="single" w:color="000000" w:sz="4" w:space="0"/>
            </w:tcBorders>
            <w:vAlign w:val="center"/>
          </w:tcPr>
          <w:p>
            <w:pPr>
              <w:jc w:val="center"/>
              <w:rPr>
                <w:rFonts w:cs="Calibri"/>
                <w:color w:val="000000"/>
                <w:szCs w:val="21"/>
              </w:rPr>
            </w:pPr>
          </w:p>
        </w:tc>
        <w:tc>
          <w:tcPr>
            <w:tcW w:w="1213" w:type="dxa"/>
            <w:tcBorders>
              <w:top w:val="single" w:color="000000" w:sz="4" w:space="0"/>
              <w:left w:val="single" w:color="000000" w:sz="4" w:space="0"/>
              <w:bottom w:val="single" w:color="000000" w:sz="4" w:space="0"/>
              <w:right w:val="single" w:color="000000" w:sz="4" w:space="0"/>
            </w:tcBorders>
            <w:vAlign w:val="center"/>
          </w:tcPr>
          <w:p>
            <w:pPr>
              <w:jc w:val="center"/>
              <w:rPr>
                <w:rFonts w:cs="Calibri"/>
                <w:color w:val="000000"/>
                <w:szCs w:val="21"/>
              </w:rPr>
            </w:pPr>
          </w:p>
        </w:tc>
      </w:tr>
      <w:tr>
        <w:tblPrEx>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pPr>
              <w:jc w:val="center"/>
              <w:rPr>
                <w:rFonts w:hint="eastAsia" w:ascii="宋体" w:hAnsi="宋体" w:cs="宋体"/>
                <w:color w:val="000000"/>
                <w:sz w:val="16"/>
                <w:szCs w:val="16"/>
              </w:rPr>
            </w:pPr>
          </w:p>
        </w:tc>
        <w:tc>
          <w:tcPr>
            <w:tcW w:w="1080" w:type="dxa"/>
            <w:vMerge w:val="restart"/>
            <w:tcBorders>
              <w:top w:val="single" w:color="000000" w:sz="4" w:space="0"/>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社会效益指标</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经济收入增长</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≥90%</w:t>
            </w:r>
          </w:p>
        </w:tc>
        <w:tc>
          <w:tcPr>
            <w:tcW w:w="112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95%</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20</w:t>
            </w:r>
          </w:p>
        </w:tc>
      </w:tr>
      <w:tr>
        <w:tblPrEx>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pPr>
              <w:jc w:val="center"/>
              <w:rPr>
                <w:rFonts w:hint="eastAsia" w:ascii="宋体" w:hAnsi="宋体" w:cs="宋体"/>
                <w:color w:val="000000"/>
                <w:sz w:val="16"/>
                <w:szCs w:val="16"/>
              </w:rPr>
            </w:pPr>
          </w:p>
        </w:tc>
        <w:tc>
          <w:tcPr>
            <w:tcW w:w="108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cs="宋体"/>
                <w:color w:val="000000"/>
                <w:sz w:val="16"/>
                <w:szCs w:val="16"/>
              </w:rPr>
            </w:pP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补助覆盖率(%)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≥90%</w:t>
            </w:r>
          </w:p>
        </w:tc>
        <w:tc>
          <w:tcPr>
            <w:tcW w:w="112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95%</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20</w:t>
            </w:r>
          </w:p>
        </w:tc>
      </w:tr>
      <w:tr>
        <w:tblPrEx>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pPr>
              <w:jc w:val="center"/>
              <w:rPr>
                <w:rFonts w:hint="eastAsia" w:ascii="宋体" w:hAnsi="宋体" w:cs="宋体"/>
                <w:color w:val="000000"/>
                <w:sz w:val="16"/>
                <w:szCs w:val="16"/>
              </w:rPr>
            </w:pPr>
          </w:p>
        </w:tc>
        <w:tc>
          <w:tcPr>
            <w:tcW w:w="1080" w:type="dxa"/>
            <w:tcBorders>
              <w:top w:val="single" w:color="000000" w:sz="4" w:space="0"/>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生态效益指标</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指标</w:t>
            </w:r>
            <w:r>
              <w:rPr>
                <w:rFonts w:cs="Calibri"/>
                <w:color w:val="000000"/>
                <w:kern w:val="0"/>
                <w:sz w:val="16"/>
                <w:szCs w:val="16"/>
              </w:rPr>
              <w:t xml:space="preserve"> </w:t>
            </w:r>
            <w:r>
              <w:rPr>
                <w:rFonts w:ascii="Arial Unicode MS" w:hAnsi="Arial Unicode MS" w:eastAsia="Arial Unicode MS" w:cs="Arial Unicode MS"/>
                <w:color w:val="000000"/>
                <w:kern w:val="0"/>
                <w:sz w:val="16"/>
                <w:szCs w:val="16"/>
              </w:rPr>
              <w:t>１</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cs="Calibri"/>
                <w:color w:val="000000"/>
                <w:szCs w:val="21"/>
              </w:rPr>
            </w:pPr>
          </w:p>
        </w:tc>
        <w:tc>
          <w:tcPr>
            <w:tcW w:w="1121" w:type="dxa"/>
            <w:tcBorders>
              <w:top w:val="single" w:color="000000" w:sz="4" w:space="0"/>
              <w:left w:val="single" w:color="000000" w:sz="4" w:space="0"/>
              <w:bottom w:val="single" w:color="000000" w:sz="4" w:space="0"/>
              <w:right w:val="single" w:color="000000" w:sz="4" w:space="0"/>
            </w:tcBorders>
            <w:vAlign w:val="center"/>
          </w:tcPr>
          <w:p>
            <w:pPr>
              <w:jc w:val="center"/>
              <w:rPr>
                <w:rFonts w:cs="Calibri"/>
                <w:color w:val="000000"/>
                <w:szCs w:val="21"/>
              </w:rPr>
            </w:pPr>
          </w:p>
        </w:tc>
        <w:tc>
          <w:tcPr>
            <w:tcW w:w="1213" w:type="dxa"/>
            <w:tcBorders>
              <w:top w:val="single" w:color="000000" w:sz="4" w:space="0"/>
              <w:left w:val="single" w:color="000000" w:sz="4" w:space="0"/>
              <w:bottom w:val="single" w:color="000000" w:sz="4" w:space="0"/>
              <w:right w:val="single" w:color="000000" w:sz="4" w:space="0"/>
            </w:tcBorders>
            <w:vAlign w:val="center"/>
          </w:tcPr>
          <w:p>
            <w:pPr>
              <w:jc w:val="center"/>
              <w:rPr>
                <w:rFonts w:cs="Calibri"/>
                <w:color w:val="000000"/>
                <w:szCs w:val="21"/>
              </w:rPr>
            </w:pPr>
          </w:p>
        </w:tc>
      </w:tr>
      <w:tr>
        <w:tblPrEx>
          <w:tblCellMar>
            <w:top w:w="0" w:type="dxa"/>
            <w:left w:w="108" w:type="dxa"/>
            <w:bottom w:w="0" w:type="dxa"/>
            <w:right w:w="108" w:type="dxa"/>
          </w:tblCellMar>
        </w:tblPrEx>
        <w:trPr>
          <w:trHeight w:val="42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pPr>
              <w:jc w:val="center"/>
              <w:rPr>
                <w:rFonts w:hint="eastAsia" w:ascii="宋体" w:hAnsi="宋体" w:cs="宋体"/>
                <w:color w:val="000000"/>
                <w:sz w:val="16"/>
                <w:szCs w:val="16"/>
              </w:rPr>
            </w:pPr>
          </w:p>
        </w:tc>
        <w:tc>
          <w:tcPr>
            <w:tcW w:w="1080" w:type="dxa"/>
            <w:tcBorders>
              <w:top w:val="single" w:color="000000" w:sz="4" w:space="0"/>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可持续影响指标</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项目预算与实际支出率</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≥90%</w:t>
            </w:r>
          </w:p>
        </w:tc>
        <w:tc>
          <w:tcPr>
            <w:tcW w:w="1121" w:type="dxa"/>
            <w:tcBorders>
              <w:top w:val="single" w:color="000000" w:sz="4" w:space="0"/>
              <w:left w:val="single" w:color="000000" w:sz="4" w:space="0"/>
              <w:bottom w:val="single" w:color="000000" w:sz="4" w:space="0"/>
              <w:right w:val="single" w:color="000000" w:sz="4" w:space="0"/>
            </w:tcBorders>
            <w:vAlign w:val="center"/>
          </w:tcPr>
          <w:p>
            <w:pPr>
              <w:jc w:val="center"/>
              <w:rPr>
                <w:rFonts w:cs="Calibri"/>
                <w:color w:val="000000"/>
                <w:szCs w:val="21"/>
              </w:rPr>
            </w:pPr>
          </w:p>
        </w:tc>
        <w:tc>
          <w:tcPr>
            <w:tcW w:w="1213" w:type="dxa"/>
            <w:tcBorders>
              <w:top w:val="single" w:color="000000" w:sz="4" w:space="0"/>
              <w:left w:val="single" w:color="000000" w:sz="4" w:space="0"/>
              <w:bottom w:val="single" w:color="000000" w:sz="4" w:space="0"/>
              <w:right w:val="single" w:color="000000" w:sz="4" w:space="0"/>
            </w:tcBorders>
            <w:vAlign w:val="center"/>
          </w:tcPr>
          <w:p>
            <w:pPr>
              <w:jc w:val="center"/>
              <w:rPr>
                <w:rFonts w:cs="Calibri"/>
                <w:color w:val="000000"/>
                <w:szCs w:val="21"/>
              </w:rPr>
            </w:pPr>
          </w:p>
        </w:tc>
      </w:tr>
      <w:tr>
        <w:tblPrEx>
          <w:tblCellMar>
            <w:top w:w="0" w:type="dxa"/>
            <w:left w:w="108" w:type="dxa"/>
            <w:bottom w:w="0" w:type="dxa"/>
            <w:right w:w="108" w:type="dxa"/>
          </w:tblCellMar>
        </w:tblPrEx>
        <w:trPr>
          <w:trHeight w:val="420"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color w:val="000000"/>
                <w:kern w:val="0"/>
                <w:sz w:val="16"/>
                <w:szCs w:val="16"/>
                <w:lang w:eastAsia="zh-CN"/>
              </w:rPr>
            </w:pPr>
            <w:r>
              <w:rPr>
                <w:rFonts w:hint="eastAsia" w:ascii="宋体" w:hAnsi="宋体" w:cs="宋体"/>
                <w:color w:val="000000"/>
                <w:kern w:val="0"/>
                <w:sz w:val="16"/>
                <w:szCs w:val="16"/>
              </w:rPr>
              <w:t>满意度指标</w:t>
            </w:r>
          </w:p>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（10分）</w:t>
            </w:r>
          </w:p>
        </w:tc>
        <w:tc>
          <w:tcPr>
            <w:tcW w:w="1080" w:type="dxa"/>
            <w:tcBorders>
              <w:top w:val="single" w:color="000000" w:sz="4" w:space="0"/>
              <w:left w:val="nil"/>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满意度指标</w:t>
            </w:r>
          </w:p>
        </w:tc>
        <w:tc>
          <w:tcPr>
            <w:tcW w:w="264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受益对象满意度(%)</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≥90%</w:t>
            </w:r>
          </w:p>
        </w:tc>
        <w:tc>
          <w:tcPr>
            <w:tcW w:w="112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95%</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10</w:t>
            </w:r>
          </w:p>
        </w:tc>
      </w:tr>
      <w:tr>
        <w:tblPrEx>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vAlign w:val="center"/>
          </w:tcPr>
          <w:p>
            <w:pPr>
              <w:jc w:val="center"/>
              <w:rPr>
                <w:rFonts w:hint="eastAsia" w:ascii="宋体" w:hAnsi="宋体" w:cs="宋体"/>
                <w:color w:val="000000"/>
                <w:sz w:val="16"/>
                <w:szCs w:val="16"/>
              </w:rPr>
            </w:pPr>
          </w:p>
        </w:tc>
        <w:tc>
          <w:tcPr>
            <w:tcW w:w="7008"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cs="宋体"/>
                <w:color w:val="000000"/>
                <w:sz w:val="16"/>
                <w:szCs w:val="16"/>
              </w:rPr>
            </w:pPr>
            <w:r>
              <w:rPr>
                <w:rFonts w:hint="eastAsia" w:ascii="宋体" w:hAnsi="宋体" w:cs="宋体"/>
                <w:color w:val="000000"/>
                <w:kern w:val="0"/>
                <w:sz w:val="16"/>
                <w:szCs w:val="16"/>
              </w:rPr>
              <w:t>总分</w:t>
            </w:r>
          </w:p>
        </w:tc>
        <w:tc>
          <w:tcPr>
            <w:tcW w:w="1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cs="Calibri"/>
                <w:color w:val="000000"/>
                <w:szCs w:val="21"/>
              </w:rPr>
            </w:pPr>
            <w:r>
              <w:rPr>
                <w:rFonts w:cs="Calibri"/>
                <w:color w:val="000000"/>
                <w:kern w:val="0"/>
                <w:szCs w:val="21"/>
              </w:rPr>
              <w:t>100</w:t>
            </w:r>
          </w:p>
        </w:tc>
      </w:tr>
      <w:tr>
        <w:tblPrEx>
          <w:tblCellMar>
            <w:top w:w="0" w:type="dxa"/>
            <w:left w:w="108" w:type="dxa"/>
            <w:bottom w:w="0" w:type="dxa"/>
            <w:right w:w="108" w:type="dxa"/>
          </w:tblCellMar>
        </w:tblPrEx>
        <w:trPr>
          <w:trHeight w:val="735" w:hRule="atLeast"/>
        </w:trPr>
        <w:tc>
          <w:tcPr>
            <w:tcW w:w="1218"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五、</w:t>
            </w:r>
            <w:r>
              <w:rPr>
                <w:rFonts w:cs="Calibri"/>
                <w:color w:val="000000"/>
                <w:kern w:val="0"/>
                <w:sz w:val="16"/>
                <w:szCs w:val="16"/>
              </w:rPr>
              <w:t xml:space="preserve"> </w:t>
            </w:r>
            <w:r>
              <w:rPr>
                <w:rFonts w:hint="eastAsia" w:ascii="宋体" w:hAnsi="宋体" w:cs="宋体"/>
                <w:color w:val="000000"/>
                <w:kern w:val="0"/>
                <w:sz w:val="16"/>
                <w:szCs w:val="16"/>
              </w:rPr>
              <w:t>存在问题、原因及下一步整改措施</w:t>
            </w:r>
          </w:p>
        </w:tc>
        <w:tc>
          <w:tcPr>
            <w:tcW w:w="8221" w:type="dxa"/>
            <w:gridSpan w:val="7"/>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cs="宋体"/>
                <w:color w:val="000000"/>
                <w:sz w:val="16"/>
                <w:szCs w:val="16"/>
              </w:rPr>
            </w:pPr>
            <w:r>
              <w:rPr>
                <w:rFonts w:hint="eastAsia" w:ascii="宋体" w:hAnsi="宋体" w:cs="宋体"/>
                <w:color w:val="000000"/>
                <w:kern w:val="0"/>
                <w:sz w:val="16"/>
                <w:szCs w:val="16"/>
              </w:rPr>
              <w:t>完善相关文件制度，推动工作更好开展。</w:t>
            </w:r>
          </w:p>
        </w:tc>
      </w:tr>
    </w:tbl>
    <w:p>
      <w:pPr>
        <w:adjustRightInd w:val="0"/>
        <w:snapToGrid w:val="0"/>
        <w:spacing w:line="600" w:lineRule="exact"/>
        <w:ind w:firstLine="321" w:firstLineChars="1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（三）财政评价项目绩效评价结果</w:t>
      </w:r>
    </w:p>
    <w:p>
      <w:pPr>
        <w:adjustRightInd w:val="0"/>
        <w:snapToGrid w:val="0"/>
        <w:spacing w:line="600" w:lineRule="exact"/>
        <w:ind w:left="420" w:leftChars="200"/>
        <w:rPr>
          <w:rFonts w:ascii="仿宋_GB2312" w:hAnsi="仿宋_GB2312" w:eastAsia="仿宋_GB2312" w:cs="仿宋_GB2312"/>
          <w:color w:val="000000"/>
          <w:sz w:val="32"/>
          <w:szCs w:val="32"/>
        </w:rPr>
      </w:pPr>
      <w:r>
        <w:rPr>
          <w:rFonts w:ascii="仿宋_GB2312" w:hAnsi="仿宋_GB2312" w:eastAsia="仿宋_GB2312" w:cs="仿宋_GB2312"/>
          <w:b/>
          <w:sz w:val="32"/>
        </w:rPr>
        <w:t xml:space="preserve"> </w:t>
      </w:r>
      <w:r>
        <w:rPr>
          <w:rFonts w:ascii="宋体" w:hAnsi="宋体" w:cs="宋体"/>
          <w:sz w:val="32"/>
        </w:rPr>
        <w:t>本部门无财政评价项目。</w:t>
      </w:r>
    </w:p>
    <w:p>
      <w:pPr>
        <w:keepNext/>
        <w:keepLines/>
        <w:snapToGrid w:val="0"/>
        <w:spacing w:line="600" w:lineRule="exact"/>
        <w:ind w:firstLine="640" w:firstLineChars="200"/>
        <w:outlineLvl w:val="1"/>
        <w:rPr>
          <w:rFonts w:ascii="黑体" w:hAnsi="黑体" w:eastAsia="黑体"/>
          <w:b/>
          <w:bCs/>
          <w:color w:val="000000"/>
          <w:sz w:val="32"/>
          <w:szCs w:val="32"/>
        </w:rPr>
      </w:pPr>
      <w:r>
        <w:rPr>
          <w:rFonts w:hint="eastAsia" w:ascii="黑体" w:hAnsi="黑体" w:eastAsia="黑体"/>
          <w:color w:val="000000"/>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本部门2020年度机关运行经费支出39.63万元，比2019年度增加24.47万元，增长161.32%。</w:t>
      </w:r>
      <w:r>
        <w:rPr>
          <w:rFonts w:hint="eastAsia" w:ascii="仿宋_GB2312" w:hAnsi="Times New Roman" w:eastAsia="仿宋_GB2312" w:cs="Wingdings"/>
          <w:color w:val="000000"/>
          <w:sz w:val="32"/>
          <w:szCs w:val="32"/>
        </w:rPr>
        <w:t>主要原因是支出项目及人员经费增加。</w:t>
      </w:r>
    </w:p>
    <w:p>
      <w:pPr>
        <w:keepNext/>
        <w:keepLines/>
        <w:snapToGrid w:val="0"/>
        <w:spacing w:line="600" w:lineRule="exact"/>
        <w:ind w:firstLine="640" w:firstLineChars="200"/>
        <w:outlineLvl w:val="2"/>
        <w:rPr>
          <w:rFonts w:ascii="黑体" w:hAnsi="黑体" w:eastAsia="黑体"/>
          <w:color w:val="000000"/>
          <w:sz w:val="32"/>
          <w:szCs w:val="32"/>
        </w:rPr>
      </w:pPr>
      <w:r>
        <w:rPr>
          <w:rFonts w:hint="eastAsia" w:ascii="黑体" w:hAnsi="黑体" w:eastAsia="黑体"/>
          <w:color w:val="000000"/>
          <w:sz w:val="32"/>
          <w:szCs w:val="32"/>
        </w:rPr>
        <w:t>八、政府采购情况</w:t>
      </w:r>
    </w:p>
    <w:p>
      <w:pPr>
        <w:keepNext/>
        <w:keepLines/>
        <w:snapToGrid w:val="0"/>
        <w:spacing w:line="600" w:lineRule="exact"/>
        <w:ind w:firstLine="640" w:firstLineChars="200"/>
        <w:outlineLvl w:val="2"/>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sz w:val="32"/>
          <w:szCs w:val="32"/>
        </w:rPr>
        <w:t>本部门2020年度政府采购支出总额303.72万元，从采购类型来看，</w:t>
      </w:r>
      <w:r>
        <w:rPr>
          <w:rFonts w:hint="eastAsia" w:ascii="仿宋_GB2312" w:hAnsi="仿宋_GB2312" w:eastAsia="仿宋_GB2312" w:cs="仿宋_GB2312"/>
          <w:color w:val="000000"/>
          <w:kern w:val="0"/>
          <w:sz w:val="32"/>
          <w:szCs w:val="32"/>
        </w:rPr>
        <w:t>政府采购货物支出11.53万元、政府采购工程支出23.86万元、政府采购服务支出 268.33万元。授予中小企业合同金303.72万元，占政府采购支出总额的100%，其中授予小微企业合同金额70.09万元，占政府采购支出总额的 23.08%。</w:t>
      </w:r>
    </w:p>
    <w:p>
      <w:pPr>
        <w:keepNext/>
        <w:keepLines/>
        <w:snapToGrid w:val="0"/>
        <w:spacing w:line="600" w:lineRule="exact"/>
        <w:ind w:firstLine="640" w:firstLineChars="200"/>
        <w:outlineLvl w:val="2"/>
        <w:rPr>
          <w:rFonts w:ascii="黑体" w:hAnsi="黑体" w:eastAsia="黑体"/>
          <w:color w:val="000000"/>
          <w:sz w:val="32"/>
          <w:szCs w:val="32"/>
        </w:rPr>
      </w:pPr>
      <w:r>
        <w:rPr>
          <w:rFonts w:hint="eastAsia" w:ascii="黑体" w:hAnsi="黑体" w:eastAsia="黑体"/>
          <w:color w:val="000000"/>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截至2020年12月31日，本部门共有车辆1辆，与上年持平。该车辆为其他用车。</w:t>
      </w:r>
    </w:p>
    <w:p>
      <w:pPr>
        <w:keepNext/>
        <w:keepLines/>
        <w:snapToGrid w:val="0"/>
        <w:spacing w:line="600" w:lineRule="exact"/>
        <w:ind w:firstLine="640" w:firstLineChars="200"/>
        <w:outlineLvl w:val="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本部门没有单价50万元（含）以上的通用设备，以及单价100万元（含）以上的专用设备。</w:t>
      </w:r>
    </w:p>
    <w:p>
      <w:pPr>
        <w:keepNext/>
        <w:keepLines/>
        <w:snapToGrid w:val="0"/>
        <w:spacing w:line="600" w:lineRule="exact"/>
        <w:ind w:firstLine="640" w:firstLineChars="200"/>
        <w:outlineLvl w:val="2"/>
        <w:rPr>
          <w:rFonts w:ascii="黑体" w:hAnsi="黑体" w:eastAsia="黑体"/>
          <w:color w:val="000000"/>
          <w:sz w:val="32"/>
          <w:szCs w:val="32"/>
        </w:rPr>
      </w:pPr>
      <w:r>
        <w:rPr>
          <w:rFonts w:hint="eastAsia" w:ascii="黑体" w:hAnsi="黑体" w:eastAsia="黑体"/>
          <w:color w:val="000000"/>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1.本部门2020年度未发生政府性基金预算财政拨款收入支出情况，故政府性基金预算财政拨款收入支出决算表以空表列示。</w:t>
      </w:r>
    </w:p>
    <w:p>
      <w:pPr>
        <w:adjustRightInd w:val="0"/>
        <w:snapToGrid w:val="0"/>
        <w:spacing w:line="60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color w:val="000000"/>
          <w:sz w:val="32"/>
          <w:szCs w:val="32"/>
        </w:rPr>
      </w:pPr>
      <w:r>
        <w:rPr>
          <w:rFonts w:ascii="仿宋_GB2312" w:hAnsi="宋体" w:eastAsia="仿宋_GB2312" w:cs="Arial Black"/>
          <w:color w:val="000000"/>
          <w:sz w:val="32"/>
          <w:szCs w:val="32"/>
        </w:rPr>
        <w:br w:type="page"/>
      </w:r>
    </w:p>
    <w:p>
      <w:pPr>
        <w:rPr>
          <w:rFonts w:ascii="仿宋_GB2312" w:hAnsi="宋体" w:eastAsia="仿宋_GB2312" w:cs="Arial Black"/>
          <w:color w:val="000000"/>
          <w:sz w:val="32"/>
          <w:szCs w:val="32"/>
        </w:rPr>
      </w:pPr>
    </w:p>
    <w:p>
      <w:pPr>
        <w:rPr>
          <w:rFonts w:ascii="仿宋_GB2312" w:hAnsi="宋体" w:eastAsia="仿宋_GB2312" w:cs="Arial Black"/>
          <w:color w:val="000000"/>
          <w:sz w:val="32"/>
          <w:szCs w:val="32"/>
        </w:rPr>
      </w:pPr>
    </w:p>
    <w:p>
      <w:pPr>
        <w:rPr>
          <w:rFonts w:ascii="仿宋_GB2312" w:hAnsi="宋体" w:eastAsia="仿宋_GB2312" w:cs="Arial Black"/>
          <w:color w:val="000000"/>
          <w:sz w:val="32"/>
          <w:szCs w:val="32"/>
        </w:rPr>
      </w:pPr>
    </w:p>
    <w:p>
      <w:pPr>
        <w:rPr>
          <w:rFonts w:ascii="仿宋_GB2312" w:hAnsi="宋体" w:eastAsia="仿宋_GB2312" w:cs="Arial Black"/>
          <w:color w:val="000000"/>
          <w:sz w:val="32"/>
          <w:szCs w:val="32"/>
        </w:rPr>
      </w:pPr>
    </w:p>
    <w:p>
      <w:pPr>
        <w:rPr>
          <w:rFonts w:ascii="仿宋_GB2312" w:hAnsi="宋体" w:eastAsia="仿宋_GB2312" w:cs="Arial Black"/>
          <w:color w:val="000000"/>
          <w:sz w:val="32"/>
          <w:szCs w:val="32"/>
        </w:rPr>
      </w:pPr>
    </w:p>
    <w:p>
      <w:pPr>
        <w:rPr>
          <w:rFonts w:ascii="仿宋_GB2312" w:hAnsi="宋体" w:eastAsia="仿宋_GB2312" w:cs="Arial Black"/>
          <w:color w:val="000000"/>
          <w:sz w:val="32"/>
          <w:szCs w:val="32"/>
          <w:highlight w:val="yellow"/>
        </w:rPr>
      </w:pPr>
      <w:r>
        <w:rPr>
          <w:color w:val="000000"/>
          <w:sz w:val="72"/>
        </w:rPr>
        <w:pict>
          <v:rect id="矩形 13" o:spid="_x0000_s2052" o:spt="1" style="position:absolute;left:0pt;margin-left:-81.9pt;margin-top:2.05pt;height:263.1pt;width:613.65pt;z-index:251661312;mso-width-relative:page;mso-height-relative:page;" fillcolor="#7F7F7F" filled="t" stroked="t" coordsize="21600,21600" o:gfxdata="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cI8Ct2gAAAAsBAAAPAAAAAAAAAAEAIAAAACIAAABkcnMvZG93bnJldi54bWxQ&#10;SwECFAAUAAAACACHTuJAaOlUmS4CAACXBAAADgAAAAAAAAABACAAAAApAQAAZHJzL2Uyb0RvYy54&#10;bWxQSwUGAAAAAAYABgBZAQAAyQUAAAAA&#10;">
            <v:path/>
            <v:fill type="pattern" on="t" focussize="0,0" r:id="rId14"/>
            <v:stroke weight="0.5pt" color="#7F7F7F"/>
            <v:imagedata o:title=""/>
            <o:lock v:ext="edit"/>
            <v:textbox>
              <w:txbxContent>
                <w:p>
                  <w:pPr>
                    <w:widowControl/>
                    <w:jc w:val="center"/>
                  </w:pPr>
                  <w:r>
                    <w:rPr>
                      <w:rFonts w:hint="eastAsia" w:ascii="黑体" w:hAnsi="黑体" w:eastAsia="黑体"/>
                      <w:color w:val="000000"/>
                      <w:sz w:val="90"/>
                      <w:szCs w:val="90"/>
                    </w:rPr>
                    <w:t>第三部分 相关名词解释</w:t>
                  </w:r>
                </w:p>
              </w:txbxContent>
            </v:textbox>
          </v:rect>
        </w:pict>
      </w:r>
      <w:r>
        <w:rPr>
          <w:rFonts w:hint="eastAsia" w:ascii="仿宋_GB2312" w:hAnsi="宋体" w:eastAsia="仿宋_GB2312" w:cs="Arial Black"/>
          <w:color w:val="000000"/>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color w:val="000000"/>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color w:val="000000"/>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720" w:num="1"/>
          <w:titlePg/>
          <w:docGrid w:type="lines" w:linePitch="312" w:charSpace="0"/>
        </w:sectPr>
      </w:pPr>
    </w:p>
    <w:p>
      <w:r>
        <w:rPr>
          <w:sz w:val="72"/>
        </w:rPr>
        <w:pict>
          <v:rect id="矩形 14" o:spid="_x0000_s2056" o:spt="1" style="position:absolute;left:0pt;margin-left:-80.9pt;margin-top:90.65pt;height:263.1pt;width:613.65pt;z-index:251665408;mso-width-relative:page;mso-height-relative:page;" fillcolor="#7F7F7F" filled="t" stroked="t" coordsize="21600,21600" o:gfxdata="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x7Uq39oAAAANAQAADwAAAAAAAAABACAAAAAiAAAAZHJzL2Rvd25yZXYu&#10;eG1sUEsBAhQAFAAAAAgAh07iQE5L/gQyAgAAmAQAAA4AAAAAAAAAAQAgAAAAKQEAAGRycy9lMm9E&#10;b2MueG1sUEsFBgAAAAAGAAYAWQEAAM0FAAAAAA==&#10;">
            <v:path/>
            <v:fill type="pattern" on="t" focussize="0,0" r:id="rId14"/>
            <v:stroke weight="1pt" color="#A5A5A5"/>
            <v:imagedata o:title=""/>
            <o:lock v:ext="edit"/>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pPr>
                    <w:widowControl/>
                    <w:jc w:val="center"/>
                  </w:pPr>
                  <w:r>
                    <w:rPr>
                      <w:rFonts w:hint="eastAsia" w:ascii="黑体" w:hAnsi="黑体" w:eastAsia="黑体"/>
                      <w:color w:val="000000"/>
                      <w:sz w:val="90"/>
                      <w:szCs w:val="90"/>
                    </w:rPr>
                    <w:t>2020年度部门决算报表</w:t>
                  </w:r>
                </w:p>
                <w:p/>
              </w:txbxContent>
            </v:textbox>
          </v:rect>
        </w:pict>
      </w: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jc w:val="left"/>
        <w:rPr>
          <w:rFonts w:hint="eastAsia" w:ascii="仿宋_GB2312" w:hAnsi="Cambria" w:eastAsia="仿宋_GB2312" w:cs="Arial Black"/>
          <w:kern w:val="0"/>
          <w:sz w:val="32"/>
          <w:szCs w:val="32"/>
        </w:rPr>
        <w:sectPr>
          <w:type w:val="continuous"/>
          <w:pgSz w:w="11906" w:h="16838"/>
          <w:pgMar w:top="2098" w:right="1531" w:bottom="1984" w:left="1531" w:header="851" w:footer="992" w:gutter="0"/>
          <w:pgNumType w:fmt="numberInDash"/>
          <w:cols w:space="720" w:num="1"/>
          <w:titlePg/>
          <w:docGrid w:type="lines" w:linePitch="312" w:charSpace="0"/>
        </w:sectPr>
      </w:pPr>
      <w:r>
        <w:rPr>
          <w:rFonts w:hint="eastAsia" w:ascii="仿宋_GB2312" w:hAnsi="Cambria" w:eastAsia="仿宋_GB2312" w:cs="Arial Black"/>
          <w:kern w:val="0"/>
          <w:sz w:val="32"/>
          <w:szCs w:val="32"/>
        </w:rPr>
        <w:t>详见附表</w:t>
      </w: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w:pict>
          <v:rect id="矩形 15" o:spid="_x0000_s2055" o:spt="1" style="position:absolute;left:0pt;margin-left:-78.2pt;margin-top:-106.6pt;height:842.2pt;width:601pt;z-index:251664384;mso-width-relative:page;mso-height-relative:page;" fillcolor="#BBD6EE" filled="t" stroked="f" coordsize="21600,21600" o:gfxdata="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MHOsA3QAAAA8BAAAPAAAAAAAAAAEAIAAAACIAAABkcnMvZG93bnJldi54bWxQ&#10;SwECFAAUAAAACACHTuJAPEoVbrkBAABjAwAADgAAAAAAAAABACAAAAAsAQAAZHJzL2Uyb0RvYy54&#10;bWxQSwUGAAAAAAYABgBZAQAAVwUAAAAA&#10;">
            <v:path/>
            <v:fill on="t" focussize="0,0"/>
            <v:stroke on="f"/>
            <v:imagedata o:title=""/>
            <o:lock v:ext="edit"/>
            <v:textbox>
              <w:txbxContent>
                <w:p/>
              </w:txbxContent>
            </v:textbox>
          </v:rect>
        </w:pict>
      </w:r>
    </w:p>
    <w:p/>
    <w:p>
      <w:pPr>
        <w:rPr>
          <w:rFonts w:ascii="宋体" w:hAnsi="宋体"/>
          <w:sz w:val="32"/>
          <w:szCs w:val="32"/>
        </w:rPr>
      </w:pPr>
      <w:r>
        <w:rPr>
          <w:rFonts w:hint="eastAsia" w:ascii="宋体" w:hAnsi="宋体"/>
          <w:sz w:val="32"/>
          <w:szCs w:val="32"/>
        </w:rPr>
        <w:t>1</w:t>
      </w:r>
    </w:p>
    <w:sectPr>
      <w:pgSz w:w="11906" w:h="16838"/>
      <w:pgMar w:top="2098"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Arial Unicode MS">
    <w:altName w:val="Arial"/>
    <w:panose1 w:val="020B0604020202020204"/>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C"/>
    <w:multiLevelType w:val="singleLevel"/>
    <w:tmpl w:val="0000000C"/>
    <w:lvl w:ilvl="0" w:tentative="0">
      <w:start w:val="1"/>
      <w:numFmt w:val="decimal"/>
      <w:suff w:val="nothing"/>
      <w:lvlText w:val="（%1）"/>
      <w:lvlJc w:val="left"/>
    </w:lvl>
  </w:abstractNum>
  <w:abstractNum w:abstractNumId="1">
    <w:nsid w:val="0000000D"/>
    <w:multiLevelType w:val="singleLevel"/>
    <w:tmpl w:val="0000000D"/>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zZlYjJlMTFjZGMyZmUyNWRhZWUwZGUxMjUwY2E1MTIifQ=="/>
  </w:docVars>
  <w:rsids>
    <w:rsidRoot w:val="00990A73"/>
    <w:rsid w:val="000D59FE"/>
    <w:rsid w:val="001C39E7"/>
    <w:rsid w:val="0022715A"/>
    <w:rsid w:val="006A61ED"/>
    <w:rsid w:val="00990A73"/>
    <w:rsid w:val="00B07E46"/>
    <w:rsid w:val="00C911FF"/>
    <w:rsid w:val="00CA2213"/>
    <w:rsid w:val="00D977C6"/>
    <w:rsid w:val="00F021D6"/>
    <w:rsid w:val="00F2648F"/>
    <w:rsid w:val="00F66EF6"/>
    <w:rsid w:val="043F3F42"/>
    <w:rsid w:val="0A973F14"/>
    <w:rsid w:val="18AE551D"/>
    <w:rsid w:val="297960E3"/>
    <w:rsid w:val="2E763182"/>
    <w:rsid w:val="35232B15"/>
    <w:rsid w:val="37C82877"/>
    <w:rsid w:val="5182713F"/>
    <w:rsid w:val="7CAA6D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8"/>
    <w:unhideWhenUsed/>
    <w:qFormat/>
    <w:uiPriority w:val="0"/>
    <w:pPr>
      <w:tabs>
        <w:tab w:val="center" w:pos="4153"/>
        <w:tab w:val="right" w:pos="8306"/>
      </w:tabs>
      <w:snapToGrid w:val="0"/>
      <w:jc w:val="left"/>
    </w:pPr>
    <w:rPr>
      <w:sz w:val="18"/>
      <w:szCs w:val="18"/>
    </w:rPr>
  </w:style>
  <w:style w:type="paragraph" w:styleId="4">
    <w:name w:val="header"/>
    <w:basedOn w:val="1"/>
    <w:link w:val="7"/>
    <w:unhideWhenUsed/>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character" w:customStyle="1" w:styleId="9">
    <w:name w:val="标题 1 Char"/>
    <w:basedOn w:val="6"/>
    <w:link w:val="2"/>
    <w:qFormat/>
    <w:uiPriority w:val="0"/>
    <w:rPr>
      <w:rFonts w:ascii="Calibri" w:hAnsi="Calibri" w:eastAsia="宋体" w:cs="黑体"/>
      <w:b/>
      <w:bCs/>
      <w:kern w:val="44"/>
      <w:sz w:val="44"/>
      <w:szCs w:val="44"/>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8.emf"/><Relationship Id="rId25" Type="http://schemas.openxmlformats.org/officeDocument/2006/relationships/oleObject" Target="embeddings/oleObject6.bin"/><Relationship Id="rId24" Type="http://schemas.openxmlformats.org/officeDocument/2006/relationships/image" Target="media/image7.emf"/><Relationship Id="rId23" Type="http://schemas.openxmlformats.org/officeDocument/2006/relationships/oleObject" Target="embeddings/oleObject5.bin"/><Relationship Id="rId22" Type="http://schemas.openxmlformats.org/officeDocument/2006/relationships/image" Target="media/image6.emf"/><Relationship Id="rId21" Type="http://schemas.openxmlformats.org/officeDocument/2006/relationships/oleObject" Target="embeddings/oleObject4.bin"/><Relationship Id="rId20" Type="http://schemas.openxmlformats.org/officeDocument/2006/relationships/image" Target="media/image5.emf"/><Relationship Id="rId2" Type="http://schemas.openxmlformats.org/officeDocument/2006/relationships/settings" Target="settings.xml"/><Relationship Id="rId19" Type="http://schemas.openxmlformats.org/officeDocument/2006/relationships/oleObject" Target="embeddings/oleObject3.bin"/><Relationship Id="rId18" Type="http://schemas.openxmlformats.org/officeDocument/2006/relationships/image" Target="media/image4.emf"/><Relationship Id="rId17" Type="http://schemas.openxmlformats.org/officeDocument/2006/relationships/oleObject" Target="embeddings/oleObject2.bin"/><Relationship Id="rId16" Type="http://schemas.openxmlformats.org/officeDocument/2006/relationships/image" Target="media/image3.emf"/><Relationship Id="rId15" Type="http://schemas.openxmlformats.org/officeDocument/2006/relationships/oleObject" Target="embeddings/oleObject1.bin"/><Relationship Id="rId14" Type="http://schemas.openxmlformats.org/officeDocument/2006/relationships/image" Target="media/image2.GIF"/><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2057"/>
    <customShpInfo spid="_x0000_s2051"/>
    <customShpInfo spid="_x0000_s2053"/>
    <customShpInfo spid="_x0000_s2054"/>
    <customShpInfo spid="_x0000_s2059"/>
    <customShpInfo spid="_x0000_s2060"/>
    <customShpInfo spid="_x0000_s2058"/>
    <customShpInfo spid="_x0000_s2061"/>
    <customShpInfo spid="_x0000_s2062"/>
    <customShpInfo spid="_x0000_s2063"/>
    <customShpInfo spid="_x0000_s2052"/>
    <customShpInfo spid="_x0000_s2056"/>
    <customShpInfo spid="_x0000_s205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7120</Words>
  <Characters>7776</Characters>
  <Lines>59</Lines>
  <Paragraphs>16</Paragraphs>
  <TotalTime>61</TotalTime>
  <ScaleCrop>false</ScaleCrop>
  <LinksUpToDate>false</LinksUpToDate>
  <CharactersWithSpaces>7900</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2022-06-22T06:09:00Z</dcterms:created>
  <dc:creator>HW</dc:creator>
  <cp:lastModifiedBy>rsj</cp:lastModifiedBy>
  <dcterms:modified xsi:type="dcterms:W3CDTF">2022-08-30T07:38:37Z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164E8BDDEE704048A161AC373CF18B29</vt:lpwstr>
  </property>
</Properties>
</file>