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gif" ContentType="image/gi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r>
        <w:pict>
          <v:rect id="文本框 5" o:spid="_x0000_s1026" o:spt="1" style="position:absolute;left:0pt;margin-left:128.25pt;margin-top:619.9pt;height:40.75pt;width:167.85pt;z-index:251664384;mso-width-relative:page;mso-height-relative:page;" filled="f" stroked="f" coordsize="21600,21600">
            <v:path/>
            <v:fill on="f" focussize="0,0"/>
            <v:stroke on="f"/>
            <v:imagedata o:title=""/>
            <o:lock v:ext="edit"/>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color w:val="auto"/>
                      <w:sz w:val="44"/>
                      <w:szCs w:val="52"/>
                      <w:lang w:val="en-US" w:eastAsia="zh-CN"/>
                    </w:rPr>
                    <w:t>10</w:t>
                  </w:r>
                  <w:r>
                    <w:rPr>
                      <w:rFonts w:hint="eastAsia" w:ascii="楷体_GB2312" w:hAnsi="楷体_GB2312" w:eastAsia="楷体_GB2312" w:cs="楷体_GB2312"/>
                      <w:sz w:val="44"/>
                      <w:szCs w:val="52"/>
                    </w:rPr>
                    <w:t>月</w:t>
                  </w:r>
                </w:p>
              </w:txbxContent>
            </v:textbox>
          </v:rect>
        </w:pict>
      </w:r>
      <w:r>
        <w:drawing>
          <wp:anchor distT="0" distB="0" distL="114300" distR="114300" simplePos="0" relativeHeight="251665408" behindDoc="1" locked="0" layoutInCell="1" allowOverlap="1">
            <wp:simplePos x="0" y="0"/>
            <wp:positionH relativeFrom="column">
              <wp:posOffset>-997585</wp:posOffset>
            </wp:positionH>
            <wp:positionV relativeFrom="paragraph">
              <wp:posOffset>-1360170</wp:posOffset>
            </wp:positionV>
            <wp:extent cx="7592060" cy="10739755"/>
            <wp:effectExtent l="19050" t="0" r="8890" b="0"/>
            <wp:wrapNone/>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noChangeArrowheads="1"/>
                    </pic:cNvPicPr>
                  </pic:nvPicPr>
                  <pic:blipFill>
                    <a:blip r:embed="rId14" cstate="print"/>
                    <a:srcRect/>
                    <a:stretch>
                      <a:fillRect/>
                    </a:stretch>
                  </pic:blipFill>
                  <pic:spPr>
                    <a:xfrm>
                      <a:off x="0" y="0"/>
                      <a:ext cx="7592060" cy="10739755"/>
                    </a:xfrm>
                    <a:prstGeom prst="rect">
                      <a:avLst/>
                    </a:prstGeom>
                    <a:noFill/>
                    <a:ln w="9525">
                      <a:noFill/>
                      <a:miter lim="800000"/>
                      <a:headEnd/>
                      <a:tailEnd/>
                    </a:ln>
                  </pic:spPr>
                </pic:pic>
              </a:graphicData>
            </a:graphic>
          </wp:anchor>
        </w:drawing>
      </w:r>
      <w:r>
        <w:br w:type="page"/>
      </w:r>
    </w:p>
    <w:p>
      <w:pPr>
        <w:jc w:val="center"/>
        <w:rPr>
          <w:rFonts w:ascii="黑体" w:hAnsi="黑体" w:eastAsia="黑体"/>
          <w:sz w:val="72"/>
          <w:szCs w:val="96"/>
          <w:highlight w:val="yellow"/>
        </w:rPr>
      </w:pPr>
      <w:r>
        <w:rPr>
          <w:rFonts w:hint="eastAsia" w:ascii="黑体" w:hAnsi="黑体" w:eastAsia="黑体"/>
          <w:sz w:val="72"/>
          <w:szCs w:val="96"/>
        </w:rPr>
        <w:t>工商业联合会</w:t>
      </w:r>
    </w:p>
    <w:p>
      <w:pPr>
        <w:rPr>
          <w:rFonts w:ascii="黑体" w:hAnsi="黑体" w:eastAsia="黑体"/>
          <w:sz w:val="72"/>
          <w:szCs w:val="96"/>
        </w:rPr>
      </w:pPr>
      <w:r>
        <w:rPr>
          <w:rFonts w:hint="eastAsia" w:ascii="黑体" w:hAnsi="黑体" w:eastAsia="黑体"/>
          <w:sz w:val="72"/>
          <w:szCs w:val="96"/>
        </w:rPr>
        <w:t>2020年度部门决算公开文本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pPr>
    </w:p>
    <w:p>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eastAsia="zh-CN"/>
        </w:rPr>
        <w:t>十</w:t>
      </w:r>
      <w:r>
        <w:rPr>
          <w:rFonts w:hint="eastAsia" w:ascii="楷体_GB2312" w:hAnsi="楷体_GB2312" w:eastAsia="楷体_GB2312" w:cs="楷体_GB2312"/>
          <w:color w:val="000000"/>
          <w:kern w:val="0"/>
          <w:sz w:val="40"/>
          <w:szCs w:val="40"/>
        </w:rPr>
        <w:t>月</w:t>
      </w:r>
    </w:p>
    <w:p>
      <w:pPr>
        <w:jc w:val="center"/>
        <w:rPr>
          <w:rFonts w:ascii="黑体" w:hAnsi="黑体" w:eastAsia="黑体"/>
          <w:sz w:val="56"/>
          <w:szCs w:val="72"/>
          <w:highlight w:val="yellow"/>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720" w:num="1"/>
          <w:titlePg/>
          <w:docGrid w:type="lines" w:linePitch="312" w:charSpace="0"/>
        </w:sectPr>
      </w:pPr>
    </w:p>
    <w:p>
      <w:pPr>
        <w:tabs>
          <w:tab w:val="left" w:pos="2728"/>
        </w:tabs>
        <w:jc w:val="center"/>
        <w:rPr>
          <w:rFonts w:hint="eastAsia" w:ascii="黑体" w:hAnsi="Times New Roman" w:eastAsia="黑体" w:cs="Times New Roman"/>
          <w:sz w:val="48"/>
          <w:szCs w:val="48"/>
        </w:rPr>
      </w:pP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rPr>
          <w:rFonts w:ascii="黑体" w:eastAsia="黑体"/>
          <w:kern w:val="0"/>
          <w:sz w:val="32"/>
          <w:szCs w:val="32"/>
        </w:rPr>
      </w:pPr>
      <w:r>
        <w:rPr>
          <w:sz w:val="72"/>
        </w:rPr>
        <w:pict>
          <v:rect id="文本框 143" o:spid="_x0000_s1028" o:spt="1" style="position:absolute;left:0pt;margin-left:-85.7pt;margin-top:80.7pt;height:263.1pt;width:613.65pt;z-index:251659264;mso-width-relative:page;mso-height-relative:page;" fillcolor="#7F7F7F" filled="t" stroked="t" coordsize="21600,21600">
            <v:path/>
            <v:fill type="pattern" on="t" focussize="0,0" r:id="rId15"/>
            <v:stroke weight="1pt" color="#A5A5A5"/>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w:r>
      <w:r>
        <w:br w:type="page"/>
      </w:r>
      <w:r>
        <w:rPr>
          <w:rFonts w:hint="eastAsia" w:ascii="黑体" w:eastAsia="黑体"/>
          <w:kern w:val="0"/>
          <w:sz w:val="32"/>
          <w:szCs w:val="32"/>
        </w:rPr>
        <w:t>一、部门职责</w:t>
      </w:r>
    </w:p>
    <w:p>
      <w:pPr>
        <w:autoSpaceDE w:val="0"/>
        <w:autoSpaceDN w:val="0"/>
        <w:adjustRightInd w:val="0"/>
        <w:spacing w:line="560" w:lineRule="exact"/>
        <w:ind w:firstLine="640" w:firstLineChars="200"/>
        <w:jc w:val="left"/>
        <w:rPr>
          <w:rFonts w:ascii="仿宋" w:hAnsi="仿宋" w:eastAsia="仿宋" w:cs="仿宋"/>
          <w:color w:val="000000"/>
          <w:sz w:val="32"/>
          <w:szCs w:val="32"/>
        </w:rPr>
      </w:pPr>
      <w:bookmarkStart w:id="0" w:name="_Toc441517130"/>
      <w:bookmarkStart w:id="1" w:name="_Toc441517131"/>
      <w:r>
        <w:rPr>
          <w:rFonts w:hint="eastAsia" w:ascii="仿宋" w:hAnsi="仿宋" w:eastAsia="仿宋" w:cs="仿宋"/>
          <w:sz w:val="32"/>
          <w:szCs w:val="32"/>
        </w:rPr>
        <w:t>1、对会员进行团结、帮助、教育、引导，提高会员素质。</w:t>
      </w:r>
    </w:p>
    <w:p>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2、</w:t>
      </w:r>
      <w:r>
        <w:rPr>
          <w:rFonts w:hint="eastAsia" w:ascii="仿宋" w:hAnsi="仿宋" w:eastAsia="仿宋" w:cs="仿宋"/>
          <w:sz w:val="32"/>
          <w:szCs w:val="32"/>
        </w:rPr>
        <w:t>维护会员的合法权益，反映会员的意见、要求和建议，在会员政府之间发挥桥梁作用，当好政府管理非公有制经济的 助手。</w:t>
      </w:r>
    </w:p>
    <w:p>
      <w:pPr>
        <w:ind w:firstLine="640"/>
        <w:rPr>
          <w:rFonts w:ascii="仿宋" w:hAnsi="仿宋" w:eastAsia="仿宋" w:cs="仿宋"/>
          <w:sz w:val="32"/>
          <w:szCs w:val="32"/>
        </w:rPr>
      </w:pPr>
      <w:r>
        <w:rPr>
          <w:rFonts w:hint="eastAsia" w:ascii="仿宋" w:hAnsi="仿宋" w:eastAsia="仿宋" w:cs="仿宋"/>
          <w:sz w:val="32"/>
          <w:szCs w:val="32"/>
        </w:rPr>
        <w:t>3、开展工商专业培训，提供信息、科技法律咨询等服务。</w:t>
      </w:r>
    </w:p>
    <w:p>
      <w:pPr>
        <w:ind w:firstLine="627" w:firstLineChars="196"/>
        <w:rPr>
          <w:rFonts w:ascii="仿宋" w:hAnsi="仿宋" w:eastAsia="仿宋" w:cs="仿宋"/>
          <w:color w:val="000000"/>
          <w:sz w:val="32"/>
          <w:szCs w:val="32"/>
        </w:rPr>
      </w:pPr>
      <w:r>
        <w:rPr>
          <w:rFonts w:hint="eastAsia" w:ascii="仿宋" w:hAnsi="仿宋" w:eastAsia="仿宋" w:cs="仿宋"/>
          <w:sz w:val="32"/>
          <w:szCs w:val="32"/>
        </w:rPr>
        <w:t>4、组织会员举办和参加各种展销会、交易会，开拓国内、国际市场，加强与国外工商社团的联系，引进人才、资金技术。</w:t>
      </w:r>
    </w:p>
    <w:p>
      <w:pPr>
        <w:pStyle w:val="11"/>
        <w:spacing w:line="360" w:lineRule="auto"/>
        <w:ind w:firstLine="640"/>
        <w:rPr>
          <w:rFonts w:ascii="仿宋" w:hAnsi="仿宋" w:eastAsia="仿宋" w:cs="仿宋"/>
          <w:sz w:val="32"/>
          <w:szCs w:val="32"/>
        </w:rPr>
      </w:pPr>
      <w:r>
        <w:rPr>
          <w:rFonts w:hint="eastAsia" w:ascii="仿宋" w:hAnsi="仿宋" w:eastAsia="仿宋" w:cs="仿宋"/>
          <w:sz w:val="32"/>
          <w:szCs w:val="32"/>
        </w:rPr>
        <w:t>5、做好工商界代表人士政治安排的推荐工作。</w:t>
      </w:r>
    </w:p>
    <w:p>
      <w:pPr>
        <w:pStyle w:val="11"/>
        <w:spacing w:line="360" w:lineRule="auto"/>
        <w:ind w:firstLine="640"/>
        <w:rPr>
          <w:rFonts w:ascii="仿宋" w:hAnsi="仿宋" w:eastAsia="仿宋" w:cs="仿宋"/>
          <w:sz w:val="32"/>
          <w:szCs w:val="32"/>
        </w:rPr>
      </w:pPr>
      <w:r>
        <w:rPr>
          <w:rFonts w:hint="eastAsia" w:ascii="仿宋" w:hAnsi="仿宋" w:eastAsia="仿宋" w:cs="仿宋"/>
          <w:sz w:val="32"/>
          <w:szCs w:val="32"/>
        </w:rPr>
        <w:t>6、为会员提供有关证明，协调关系，调解纠纷。</w:t>
      </w:r>
    </w:p>
    <w:p>
      <w:pPr>
        <w:pStyle w:val="11"/>
        <w:spacing w:line="360" w:lineRule="auto"/>
        <w:ind w:firstLine="640"/>
        <w:rPr>
          <w:rFonts w:ascii="仿宋" w:hAnsi="仿宋" w:eastAsia="仿宋" w:cs="仿宋"/>
          <w:sz w:val="32"/>
          <w:szCs w:val="32"/>
        </w:rPr>
      </w:pPr>
      <w:r>
        <w:rPr>
          <w:rFonts w:hint="eastAsia" w:ascii="仿宋" w:hAnsi="仿宋" w:eastAsia="仿宋" w:cs="仿宋"/>
          <w:sz w:val="32"/>
          <w:szCs w:val="32"/>
        </w:rPr>
        <w:t>7、承办政府和有关部门委托的事项。</w:t>
      </w:r>
    </w:p>
    <w:bookmarkEnd w:id="0"/>
    <w:bookmarkEnd w:id="1"/>
    <w:p>
      <w:pPr>
        <w:keepNext/>
        <w:keepLines/>
        <w:spacing w:line="580" w:lineRule="exact"/>
        <w:ind w:firstLine="640" w:firstLineChars="200"/>
        <w:jc w:val="left"/>
        <w:outlineLvl w:val="0"/>
        <w:rPr>
          <w:rFonts w:ascii="黑体" w:eastAsia="黑体"/>
          <w:kern w:val="0"/>
          <w:sz w:val="32"/>
          <w:szCs w:val="32"/>
        </w:rPr>
      </w:pPr>
      <w:r>
        <w:rPr>
          <w:rFonts w:hint="eastAsia" w:ascii="黑体" w:eastAsia="黑体"/>
          <w:kern w:val="0"/>
          <w:sz w:val="32"/>
          <w:szCs w:val="32"/>
        </w:rPr>
        <w:t>二、机构设置</w:t>
      </w:r>
    </w:p>
    <w:p>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20</w:t>
      </w:r>
      <w:r>
        <w:rPr>
          <w:rFonts w:hint="eastAsia" w:ascii="仿宋_GB2312" w:eastAsia="仿宋_GB2312" w:cs="Arial Black"/>
          <w:kern w:val="0"/>
          <w:sz w:val="32"/>
          <w:szCs w:val="32"/>
        </w:rPr>
        <w:t>年度本部门决算汇编范围的独立核算单位（以下简称“单位”）共1个，具体情况如下：</w:t>
      </w:r>
    </w:p>
    <w:tbl>
      <w:tblPr>
        <w:tblStyle w:val="6"/>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eastAsia="仿宋_GB2312" w:cs="Arial Black"/>
                <w:kern w:val="0"/>
                <w:sz w:val="28"/>
                <w:szCs w:val="28"/>
              </w:rPr>
            </w:pPr>
            <w:r>
              <w:rPr>
                <w:rFonts w:hint="eastAsia" w:ascii="仿宋_GB2312" w:eastAsia="仿宋_GB2312" w:cs="Arial Black"/>
                <w:kern w:val="0"/>
                <w:sz w:val="28"/>
                <w:szCs w:val="28"/>
              </w:rPr>
              <w:t>1</w:t>
            </w:r>
          </w:p>
        </w:tc>
        <w:tc>
          <w:tcPr>
            <w:tcW w:w="3426"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藁城区工商业联合会</w:t>
            </w:r>
          </w:p>
        </w:tc>
        <w:tc>
          <w:tcPr>
            <w:tcW w:w="2404"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22"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eastAsia="仿宋_GB2312" w:cs="Arial Black"/>
                <w:kern w:val="0"/>
                <w:sz w:val="28"/>
                <w:szCs w:val="28"/>
              </w:rPr>
            </w:pPr>
            <w:r>
              <w:rPr>
                <w:rFonts w:hint="eastAsia" w:ascii="仿宋_GB2312" w:eastAsia="仿宋_GB2312" w:cs="Arial Black"/>
                <w:kern w:val="0"/>
                <w:sz w:val="28"/>
                <w:szCs w:val="28"/>
              </w:rPr>
              <w:t>2、经费形式分为财政拨款、财政性资金基本保证、财政性资金定额或定项补助、财政性资金零补助四类。</w:t>
            </w:r>
          </w:p>
        </w:tc>
      </w:tr>
    </w:tbl>
    <w:p/>
    <w:p>
      <w:pPr>
        <w:widowControl/>
        <w:spacing w:after="160"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r>
        <w:rPr>
          <w:sz w:val="72"/>
        </w:rPr>
        <w:pict>
          <v:rect id="文本框 151" o:spid="_x0000_s1029" o:spt="1" style="position:absolute;left:0pt;margin-left:-85.7pt;margin-top:238.15pt;height:173.25pt;width:613.65pt;z-index:251661312;mso-width-relative:page;mso-height-relative:page;" filled="f" stroked="f" coordsize="21600,21600">
            <v:path/>
            <v:fill on="f" focussize="0,0"/>
            <v:stroke on="f"/>
            <v:imagedata o:title=""/>
            <o:lock v:ext="edit"/>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 xml:space="preserve"> </w:t>
                  </w:r>
                </w:p>
                <w:p>
                  <w:pPr>
                    <w:widowControl/>
                    <w:jc w:val="center"/>
                    <w:rPr>
                      <w:rFonts w:ascii="黑体" w:hAnsi="黑体" w:eastAsia="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w:pict>
          <v:rect id="文本框 2" o:spid="_x0000_s1030" o:spt="1" style="position:absolute;left:0pt;margin-left:-80.95pt;margin-top:-207.65pt;height:263.1pt;width:613.65pt;z-index:251662336;mso-width-relative:page;mso-height-relative:page;" fillcolor="#7F7F7F" filled="t" stroked="t" coordsize="21600,21600">
            <v:path/>
            <v:fill type="pattern" on="t" focussize="0,0" r:id="rId15"/>
            <v:stroke weight="1pt" color="#A5A5A5"/>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2020年部门决算情况说明</w:t>
                  </w:r>
                </w:p>
                <w:p>
                  <w:pPr>
                    <w:widowControl/>
                    <w:jc w:val="center"/>
                  </w:pPr>
                </w:p>
                <w:p/>
              </w:txbxContent>
            </v:textbox>
          </v:rect>
        </w:pict>
      </w:r>
    </w:p>
    <w:p>
      <w:pPr>
        <w:jc w:val="center"/>
        <w:rPr>
          <w:rFonts w:ascii="黑体" w:hAnsi="黑体" w:eastAsia="黑体"/>
          <w:sz w:val="56"/>
          <w:szCs w:val="72"/>
        </w:rPr>
      </w:pPr>
    </w:p>
    <w:p>
      <w:pPr>
        <w:keepNext/>
        <w:keepLines/>
        <w:snapToGrid w:val="0"/>
        <w:spacing w:line="600" w:lineRule="exact"/>
        <w:ind w:firstLine="420" w:firstLineChars="200"/>
        <w:outlineLvl w:val="1"/>
        <w:rPr>
          <w:rFonts w:ascii="黑体" w:eastAsia="黑体" w:cs="Times New Roman"/>
          <w:sz w:val="32"/>
          <w:szCs w:val="32"/>
        </w:rPr>
      </w:pPr>
      <w:r>
        <w:br w:type="page"/>
      </w:r>
      <w:r>
        <w:rPr>
          <w:rFonts w:hint="eastAsia" w:ascii="黑体" w:eastAsia="黑体" w:cs="Times New Roman"/>
          <w:sz w:val="32"/>
          <w:szCs w:val="32"/>
        </w:rPr>
        <w:t>一、收入</w:t>
      </w:r>
      <w:r>
        <w:rPr>
          <w:rFonts w:hint="eastAsia" w:ascii="黑体" w:hAnsi="Cambria" w:eastAsia="黑体"/>
          <w:kern w:val="0"/>
          <w:sz w:val="32"/>
          <w:szCs w:val="32"/>
        </w:rPr>
        <w:t>支出</w:t>
      </w:r>
      <w:r>
        <w:rPr>
          <w:rFonts w:hint="eastAsia" w:ascii="黑体" w:eastAsia="黑体" w:cs="Times New Roman"/>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9504" behindDoc="0" locked="0" layoutInCell="1" allowOverlap="1">
            <wp:simplePos x="0" y="0"/>
            <wp:positionH relativeFrom="column">
              <wp:posOffset>370840</wp:posOffset>
            </wp:positionH>
            <wp:positionV relativeFrom="paragraph">
              <wp:posOffset>1334770</wp:posOffset>
            </wp:positionV>
            <wp:extent cx="5257800" cy="3038475"/>
            <wp:effectExtent l="19050" t="0" r="0" b="0"/>
            <wp:wrapTopAndBottom/>
            <wp:docPr id="1"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hAnsi="Times New Roman" w:eastAsia="仿宋_GB2312" w:cs="Wingdings"/>
          <w:sz w:val="32"/>
          <w:szCs w:val="32"/>
        </w:rPr>
        <w:t>本部门2020年度收、支总计（含结转和结余）40.22万元。与2019年度决算相比，收支各减少23.07万元，下降36.5%，主要原因是人员减少；压减支出，厉行节约。</w:t>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部门2020年度本年收入合计40.22万元，其中：财政拨款收入40.22万元，占100%；上级补助收入0万元，占0%；事业收入0万元，占0%；经营收入0万元，占0%；附属单位上缴收入0万元，占0%；其他收入0万元，占0%。</w:t>
      </w:r>
    </w:p>
    <w:p>
      <w:pPr>
        <w:snapToGrid w:val="0"/>
        <w:spacing w:line="600" w:lineRule="exact"/>
        <w:ind w:firstLine="640" w:firstLineChars="200"/>
        <w:outlineLvl w:val="1"/>
        <w:rPr>
          <w:rFonts w:hint="eastAsia" w:ascii="黑体" w:eastAsia="黑体" w:cs="Times New Roman"/>
          <w:sz w:val="32"/>
          <w:szCs w:val="32"/>
        </w:rPr>
      </w:pPr>
      <w:r>
        <w:rPr>
          <w:rFonts w:hint="eastAsia" w:ascii="黑体"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本部门2020年度本年支出合计40.22万元，其中：基本支出35.03万元，占87.1%；项目支出5.18万元，占12.9%；上缴上级支出0万元，占0%；经营支出0万元，占0%；对附属单位补助支出0万元，占0%。如图所示：</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70528" behindDoc="0" locked="0" layoutInCell="1" allowOverlap="1">
            <wp:simplePos x="0" y="0"/>
            <wp:positionH relativeFrom="column">
              <wp:posOffset>460375</wp:posOffset>
            </wp:positionH>
            <wp:positionV relativeFrom="paragraph">
              <wp:posOffset>145415</wp:posOffset>
            </wp:positionV>
            <wp:extent cx="4572000" cy="2743200"/>
            <wp:effectExtent l="0" t="0" r="0" b="0"/>
            <wp:wrapTopAndBottom/>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kern w:val="0"/>
          <w:sz w:val="32"/>
          <w:szCs w:val="32"/>
        </w:rPr>
        <w:t>财政</w:t>
      </w:r>
      <w:r>
        <w:rPr>
          <w:rFonts w:hint="eastAsia" w:ascii="黑体"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40.22万元,比2019年度减少23.07万元，降低36.5%，主要是人员减少；压减支出，厉行节约。本年支出40.22万元，减少23.07万元，降低36.5%，主要是人员减少；压减支出，厉行节约。</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7456" behindDoc="0" locked="0" layoutInCell="1" allowOverlap="1">
            <wp:simplePos x="0" y="0"/>
            <wp:positionH relativeFrom="column">
              <wp:posOffset>456565</wp:posOffset>
            </wp:positionH>
            <wp:positionV relativeFrom="paragraph">
              <wp:posOffset>258445</wp:posOffset>
            </wp:positionV>
            <wp:extent cx="5486400" cy="3200400"/>
            <wp:effectExtent l="19050" t="0" r="0" b="0"/>
            <wp:wrapTopAndBottom/>
            <wp:docPr id="8"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40.22万元，完成年初预算的96.3%,比年初预算减少1.53万元，决算数小于预算数主要原因是压减支出；本年支出40.22万元，完成年初预算的96.3%,比年初预算减少1.53万元，决算数小于预算数主要原因是厉行节约，压减支出。</w:t>
      </w: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drawing>
          <wp:anchor distT="0" distB="0" distL="114300" distR="114300" simplePos="0" relativeHeight="251668480" behindDoc="0" locked="0" layoutInCell="1" allowOverlap="1">
            <wp:simplePos x="0" y="0"/>
            <wp:positionH relativeFrom="column">
              <wp:posOffset>396875</wp:posOffset>
            </wp:positionH>
            <wp:positionV relativeFrom="paragraph">
              <wp:posOffset>19685</wp:posOffset>
            </wp:positionV>
            <wp:extent cx="5488305" cy="3200400"/>
            <wp:effectExtent l="19050" t="0" r="0" b="0"/>
            <wp:wrapTopAndBottom/>
            <wp:docPr id="9"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2020年度财政拨款支出40.22万元，主要用于一般公共服务（类）支出40.22万元，占100%。</w:t>
      </w: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基本支出35.03万元，其中：人员经费31.46万元，主要包括基本工资、津贴补贴、奖金、机关事业单位基本养老保险缴费、职业年金缴费、职工基本医疗保险缴费、公务员医疗补助缴费、住房公积金、其他社会保障缴费、其他工资福利支出、退休费；公用经费3.57万元，主要包括办公费、邮电费、工会经费、福利费、其他交通费用、其他商品和服务支出。</w:t>
      </w:r>
    </w:p>
    <w:p>
      <w:pPr>
        <w:keepNext/>
        <w:keepLines/>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本部门2020年度“三公”经费财政拨款支出预算为0万元，支出决算为0元，</w:t>
      </w:r>
      <w:r>
        <w:rPr>
          <w:rFonts w:hint="eastAsia" w:ascii="仿宋_GB2312" w:hAnsi="Times New Roman" w:eastAsia="仿宋_GB2312" w:cs="Wingdings"/>
          <w:color w:val="000000"/>
          <w:sz w:val="32"/>
          <w:szCs w:val="32"/>
        </w:rPr>
        <w:t>与预算持平，与2019年度决算支出持平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val="en-US" w:eastAsia="zh-CN"/>
        </w:rPr>
        <w:t>度</w:t>
      </w:r>
      <w:r>
        <w:rPr>
          <w:rFonts w:hint="eastAsia" w:ascii="仿宋_GB2312" w:hAnsi="仿宋_GB2312" w:eastAsia="仿宋_GB2312" w:cs="仿宋_GB2312"/>
          <w:sz w:val="32"/>
          <w:szCs w:val="32"/>
        </w:rPr>
        <w:t>因公出国（境）费支出0万元。</w:t>
      </w:r>
      <w:r>
        <w:rPr>
          <w:rFonts w:hint="eastAsia" w:ascii="仿宋_GB2312" w:hAnsi="Times New Roman" w:eastAsia="仿宋_GB2312" w:cs="Wingdings"/>
          <w:sz w:val="32"/>
          <w:szCs w:val="32"/>
        </w:rPr>
        <w:t>因公出国（境）团组0个、共0人、参加其他单位组织的因公出国（境）团组0个、共0人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无本单位组织的出国（境）团组。因公出国（境）费支出与</w:t>
      </w:r>
      <w:r>
        <w:rPr>
          <w:rFonts w:hint="eastAsia" w:ascii="仿宋_GB2312" w:hAnsi="Times New Roman" w:eastAsia="仿宋_GB2312" w:cs="Wingdings"/>
          <w:color w:val="000000"/>
          <w:sz w:val="32"/>
          <w:szCs w:val="32"/>
        </w:rPr>
        <w:t>预算持平</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val="en-US" w:eastAsia="zh-CN"/>
        </w:rPr>
        <w:t>度</w:t>
      </w:r>
      <w:r>
        <w:rPr>
          <w:rFonts w:hint="eastAsia" w:ascii="仿宋_GB2312" w:hAnsi="仿宋_GB2312" w:eastAsia="仿宋_GB2312" w:cs="仿宋_GB2312"/>
          <w:sz w:val="32"/>
          <w:szCs w:val="32"/>
        </w:rPr>
        <w:t>公务用车购置及运行维护费支出0万元，</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预算持平</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2019年度决算支出持平</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w:t>
      </w:r>
      <w:r>
        <w:rPr>
          <w:rFonts w:hint="eastAsia" w:ascii="仿宋_GB2312" w:hAnsi="Times New Roman" w:eastAsia="仿宋_GB2312" w:cs="Wingdings"/>
          <w:color w:val="000000"/>
          <w:sz w:val="32"/>
          <w:szCs w:val="32"/>
        </w:rPr>
        <w:t>未发生‘公务用车购置’经费支出</w:t>
      </w:r>
      <w:r>
        <w:rPr>
          <w:rFonts w:hint="eastAsia" w:ascii="仿宋_GB2312" w:hAnsi="Times New Roman" w:eastAsia="仿宋_GB2312" w:cs="Wingdings"/>
          <w:sz w:val="32"/>
          <w:szCs w:val="32"/>
        </w:rPr>
        <w:t>。公务用车购置费支出与</w:t>
      </w:r>
      <w:r>
        <w:rPr>
          <w:rFonts w:hint="eastAsia" w:ascii="仿宋_GB2312" w:hAnsi="Times New Roman" w:eastAsia="仿宋_GB2312" w:cs="Wingdings"/>
          <w:color w:val="000000"/>
          <w:sz w:val="32"/>
          <w:szCs w:val="32"/>
        </w:rPr>
        <w:t>预算持平</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本部门2020年度单位公务用车保有量0辆,发生运行维护费支出0万元。公车运行维护费支出与</w:t>
      </w:r>
      <w:r>
        <w:rPr>
          <w:rFonts w:hint="eastAsia" w:ascii="仿宋_GB2312" w:hAnsi="Times New Roman" w:eastAsia="仿宋_GB2312" w:cs="Wingdings"/>
          <w:color w:val="000000"/>
          <w:sz w:val="32"/>
          <w:szCs w:val="32"/>
        </w:rPr>
        <w:t>预算持平</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2019年度决算支出持平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w:t>
      </w:r>
      <w:r>
        <w:rPr>
          <w:rFonts w:hint="eastAsia" w:ascii="仿宋_GB2312" w:hAnsi="仿宋_GB2312" w:eastAsia="仿宋_GB2312" w:cs="仿宋_GB2312"/>
          <w:sz w:val="32"/>
          <w:szCs w:val="32"/>
          <w:lang w:val="en-US" w:eastAsia="zh-CN"/>
        </w:rPr>
        <w:t>度</w:t>
      </w:r>
      <w:r>
        <w:rPr>
          <w:rFonts w:hint="eastAsia" w:ascii="仿宋_GB2312" w:hAnsi="仿宋_GB2312" w:eastAsia="仿宋_GB2312" w:cs="仿宋_GB2312"/>
          <w:sz w:val="32"/>
          <w:szCs w:val="32"/>
        </w:rPr>
        <w:t>公务接待费支出0万元，发生</w:t>
      </w:r>
      <w:r>
        <w:rPr>
          <w:rFonts w:hint="eastAsia" w:ascii="仿宋_GB2312" w:hAnsi="Times New Roman" w:eastAsia="仿宋_GB2312" w:cs="Wingdings"/>
          <w:sz w:val="32"/>
          <w:szCs w:val="32"/>
        </w:rPr>
        <w:t>公务接待共0批次、0人次。公务接待费支出与</w:t>
      </w:r>
      <w:r>
        <w:rPr>
          <w:rFonts w:hint="eastAsia" w:ascii="仿宋_GB2312" w:hAnsi="Times New Roman" w:eastAsia="仿宋_GB2312" w:cs="Wingdings"/>
          <w:color w:val="000000"/>
          <w:sz w:val="32"/>
          <w:szCs w:val="32"/>
        </w:rPr>
        <w:t>预算持平</w:t>
      </w:r>
      <w:r>
        <w:rPr>
          <w:rFonts w:hint="eastAsia" w:ascii="仿宋_GB2312" w:hAnsi="Times New Roman" w:eastAsia="仿宋_GB2312" w:cs="Wingdings"/>
          <w:sz w:val="32"/>
          <w:szCs w:val="32"/>
        </w:rPr>
        <w:t>，与</w:t>
      </w:r>
      <w:r>
        <w:rPr>
          <w:rFonts w:hint="eastAsia" w:ascii="仿宋_GB2312" w:hAnsi="Times New Roman" w:eastAsia="仿宋_GB2312" w:cs="Wingdings"/>
          <w:color w:val="000000"/>
          <w:sz w:val="32"/>
          <w:szCs w:val="32"/>
        </w:rPr>
        <w:t>2019年度决算支出持平</w:t>
      </w:r>
      <w:r>
        <w:rPr>
          <w:rFonts w:hint="eastAsia" w:ascii="仿宋_GB2312" w:hAnsi="Times New Roman" w:eastAsia="仿宋_GB2312" w:cs="Wingdings"/>
          <w:sz w:val="32"/>
          <w:szCs w:val="32"/>
        </w:rPr>
        <w:t>。</w:t>
      </w:r>
      <w:bookmarkStart w:id="2" w:name="_GoBack"/>
      <w:bookmarkEnd w:id="2"/>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根据预算绩效管理要求，本部门组织对2020年度项目支出全面开展绩效自评，其中，一般公共预算项目1个，共涉及资金5.18万元，占一般公共预算项目支出总额的100%。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组织对“执委活动经费”项目开展了部门重点评价，涉及一般公共预算支出5.18万元。从评价情况来看，评价结果为优秀。</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执委活动经费项目绩效自评综述：根据年初设定的绩效目标，执委活动经费项目绩效自评得分为96分（绩效自评表附后）。全年预算数为5.18万元，执行数为5.18万元，完成预算的100%。项目绩效目标完成情况：一是</w:t>
      </w:r>
      <w:r>
        <w:rPr>
          <w:rFonts w:hint="eastAsia" w:ascii="仿宋_GB2312" w:hAnsi="仿宋" w:eastAsia="仿宋_GB2312"/>
          <w:sz w:val="32"/>
          <w:szCs w:val="32"/>
        </w:rPr>
        <w:t>召开会议、调研、培训等7次</w:t>
      </w:r>
      <w:r>
        <w:rPr>
          <w:rFonts w:hint="eastAsia" w:ascii="仿宋_GB2312" w:hAnsi="仿宋_GB2312" w:eastAsia="仿宋_GB2312" w:cs="仿宋_GB2312"/>
          <w:sz w:val="32"/>
          <w:szCs w:val="32"/>
        </w:rPr>
        <w:t>；二是</w:t>
      </w:r>
      <w:r>
        <w:rPr>
          <w:rFonts w:hint="eastAsia" w:ascii="仿宋_GB2312" w:hAnsi="仿宋" w:eastAsia="仿宋_GB2312"/>
          <w:sz w:val="32"/>
          <w:szCs w:val="32"/>
        </w:rPr>
        <w:t>完成高质量调研报告1篇</w:t>
      </w:r>
      <w:r>
        <w:rPr>
          <w:rFonts w:hint="eastAsia" w:ascii="仿宋_GB2312" w:hAnsi="仿宋_GB2312" w:eastAsia="仿宋_GB2312" w:cs="仿宋_GB2312"/>
          <w:sz w:val="32"/>
          <w:szCs w:val="32"/>
        </w:rPr>
        <w:t>；三是</w:t>
      </w:r>
      <w:r>
        <w:rPr>
          <w:rFonts w:hint="eastAsia" w:ascii="仿宋_GB2312" w:hAnsi="仿宋" w:eastAsia="仿宋_GB2312"/>
          <w:sz w:val="32"/>
          <w:szCs w:val="32"/>
        </w:rPr>
        <w:t>通过执委会培训、学习，听取报告、增补委员，总结上年度工作、部署下年度工作；充分发挥工商联桥梁纽带作用、切实有效地服务企业</w:t>
      </w:r>
      <w:r>
        <w:rPr>
          <w:rFonts w:hint="eastAsia" w:ascii="仿宋_GB2312" w:hAnsi="仿宋_GB2312" w:eastAsia="仿宋_GB2312" w:cs="仿宋_GB2312"/>
          <w:sz w:val="32"/>
          <w:szCs w:val="32"/>
        </w:rPr>
        <w:t>。发现的主要问题及原因：</w:t>
      </w:r>
      <w:r>
        <w:rPr>
          <w:rFonts w:hint="eastAsia" w:ascii="仿宋_GB2312" w:hAnsi="仿宋" w:eastAsia="仿宋_GB2312"/>
          <w:sz w:val="32"/>
          <w:szCs w:val="32"/>
        </w:rPr>
        <w:t>项目预算比较薄弱，预算的科学性不强，消弱了预算的约束控制力</w:t>
      </w:r>
      <w:r>
        <w:rPr>
          <w:rFonts w:hint="eastAsia" w:ascii="仿宋_GB2312" w:hAnsi="仿宋_GB2312" w:eastAsia="仿宋_GB2312" w:cs="仿宋_GB2312"/>
          <w:sz w:val="32"/>
          <w:szCs w:val="32"/>
        </w:rPr>
        <w:t>。下一步改进措施：一是</w:t>
      </w:r>
      <w:r>
        <w:rPr>
          <w:rFonts w:hint="eastAsia" w:ascii="仿宋_GB2312" w:hAnsi="仿宋" w:eastAsia="仿宋_GB2312"/>
          <w:sz w:val="32"/>
          <w:szCs w:val="32"/>
        </w:rPr>
        <w:t>严格预算管理标准，提高预算绩效指标</w:t>
      </w:r>
      <w:r>
        <w:rPr>
          <w:rFonts w:hint="eastAsia" w:ascii="仿宋_GB2312" w:hAnsi="仿宋_GB2312" w:eastAsia="仿宋_GB2312" w:cs="仿宋_GB2312"/>
          <w:sz w:val="32"/>
          <w:szCs w:val="32"/>
        </w:rPr>
        <w:t>；二是</w:t>
      </w:r>
      <w:r>
        <w:rPr>
          <w:rFonts w:hint="eastAsia" w:ascii="仿宋_GB2312" w:hAnsi="仿宋" w:eastAsia="仿宋_GB2312"/>
          <w:sz w:val="32"/>
          <w:szCs w:val="32"/>
        </w:rPr>
        <w:t>认真做好前期预算执行准备工作，加强项目跟踪及项目支出执行管理，提高预算资金使用效率</w:t>
      </w:r>
      <w:r>
        <w:rPr>
          <w:rFonts w:hint="eastAsia" w:ascii="仿宋_GB2312" w:hAnsi="仿宋_GB2312" w:eastAsia="仿宋_GB2312" w:cs="仿宋_GB2312"/>
          <w:sz w:val="32"/>
          <w:szCs w:val="32"/>
        </w:rPr>
        <w:t>。</w:t>
      </w:r>
    </w:p>
    <w:tbl>
      <w:tblPr>
        <w:tblStyle w:val="6"/>
        <w:tblW w:w="9263" w:type="dxa"/>
        <w:tblInd w:w="93" w:type="dxa"/>
        <w:tblLayout w:type="fixed"/>
        <w:tblCellMar>
          <w:top w:w="0" w:type="dxa"/>
          <w:left w:w="108" w:type="dxa"/>
          <w:bottom w:w="0" w:type="dxa"/>
          <w:right w:w="108" w:type="dxa"/>
        </w:tblCellMar>
      </w:tblPr>
      <w:tblGrid>
        <w:gridCol w:w="1041"/>
        <w:gridCol w:w="1134"/>
        <w:gridCol w:w="993"/>
        <w:gridCol w:w="312"/>
        <w:gridCol w:w="822"/>
        <w:gridCol w:w="1417"/>
        <w:gridCol w:w="1276"/>
        <w:gridCol w:w="225"/>
        <w:gridCol w:w="767"/>
        <w:gridCol w:w="1276"/>
      </w:tblGrid>
      <w:tr>
        <w:tblPrEx>
          <w:tblCellMar>
            <w:top w:w="0" w:type="dxa"/>
            <w:left w:w="108" w:type="dxa"/>
            <w:bottom w:w="0" w:type="dxa"/>
            <w:right w:w="108" w:type="dxa"/>
          </w:tblCellMar>
        </w:tblPrEx>
        <w:trPr>
          <w:trHeight w:val="510" w:hRule="atLeast"/>
        </w:trPr>
        <w:tc>
          <w:tcPr>
            <w:tcW w:w="9263" w:type="dxa"/>
            <w:gridSpan w:val="10"/>
            <w:tcBorders>
              <w:top w:val="nil"/>
              <w:left w:val="nil"/>
              <w:bottom w:val="nil"/>
              <w:right w:val="nil"/>
            </w:tcBorders>
            <w:shd w:val="clear" w:color="auto" w:fill="auto"/>
            <w:noWrap/>
            <w:vAlign w:val="center"/>
          </w:tcPr>
          <w:p>
            <w:pPr>
              <w:widowControl/>
              <w:jc w:val="center"/>
              <w:rPr>
                <w:rFonts w:ascii="黑体" w:hAnsi="黑体" w:eastAsia="黑体" w:cs="宋体"/>
                <w:color w:val="000000"/>
                <w:kern w:val="0"/>
                <w:sz w:val="32"/>
                <w:szCs w:val="32"/>
              </w:rPr>
            </w:pPr>
            <w:r>
              <w:rPr>
                <w:rFonts w:hint="eastAsia" w:ascii="黑体" w:hAnsi="黑体" w:eastAsia="黑体" w:cs="宋体"/>
                <w:color w:val="000000"/>
                <w:kern w:val="0"/>
                <w:sz w:val="32"/>
                <w:szCs w:val="32"/>
              </w:rPr>
              <w:t>区级部门预算项目绩效自评表</w:t>
            </w:r>
          </w:p>
        </w:tc>
      </w:tr>
      <w:tr>
        <w:tblPrEx>
          <w:tblCellMar>
            <w:top w:w="0" w:type="dxa"/>
            <w:left w:w="108" w:type="dxa"/>
            <w:bottom w:w="0" w:type="dxa"/>
            <w:right w:w="108" w:type="dxa"/>
          </w:tblCellMar>
        </w:tblPrEx>
        <w:trPr>
          <w:trHeight w:val="270" w:hRule="atLeast"/>
        </w:trPr>
        <w:tc>
          <w:tcPr>
            <w:tcW w:w="9263" w:type="dxa"/>
            <w:gridSpan w:val="10"/>
            <w:tcBorders>
              <w:top w:val="nil"/>
              <w:left w:val="nil"/>
              <w:bottom w:val="nil"/>
              <w:right w:val="nil"/>
            </w:tcBorders>
            <w:shd w:val="clear" w:color="auto" w:fill="auto"/>
            <w:noWrap/>
            <w:vAlign w:val="bottom"/>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（2020 年度）</w:t>
            </w:r>
          </w:p>
        </w:tc>
      </w:tr>
      <w:tr>
        <w:tblPrEx>
          <w:tblCellMar>
            <w:top w:w="0" w:type="dxa"/>
            <w:left w:w="108" w:type="dxa"/>
            <w:bottom w:w="0" w:type="dxa"/>
            <w:right w:w="108" w:type="dxa"/>
          </w:tblCellMar>
        </w:tblPrEx>
        <w:trPr>
          <w:trHeight w:val="270" w:hRule="atLeast"/>
        </w:trPr>
        <w:tc>
          <w:tcPr>
            <w:tcW w:w="3480" w:type="dxa"/>
            <w:gridSpan w:val="4"/>
            <w:tcBorders>
              <w:top w:val="nil"/>
              <w:left w:val="nil"/>
              <w:bottom w:val="nil"/>
              <w:right w:val="nil"/>
            </w:tcBorders>
            <w:shd w:val="clear" w:color="auto" w:fill="auto"/>
            <w:noWrap/>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填报单位：藁城区工商联</w:t>
            </w:r>
          </w:p>
        </w:tc>
        <w:tc>
          <w:tcPr>
            <w:tcW w:w="822" w:type="dxa"/>
            <w:tcBorders>
              <w:top w:val="nil"/>
              <w:left w:val="nil"/>
              <w:bottom w:val="nil"/>
              <w:right w:val="nil"/>
            </w:tcBorders>
            <w:shd w:val="clear" w:color="auto" w:fill="auto"/>
            <w:noWrap/>
            <w:vAlign w:val="center"/>
          </w:tcPr>
          <w:p>
            <w:pPr>
              <w:widowControl/>
              <w:jc w:val="center"/>
              <w:rPr>
                <w:rFonts w:ascii="宋体" w:hAnsi="宋体" w:cs="宋体"/>
                <w:color w:val="000000"/>
                <w:kern w:val="0"/>
                <w:sz w:val="22"/>
                <w:szCs w:val="22"/>
              </w:rPr>
            </w:pPr>
          </w:p>
        </w:tc>
        <w:tc>
          <w:tcPr>
            <w:tcW w:w="1417" w:type="dxa"/>
            <w:tcBorders>
              <w:top w:val="nil"/>
              <w:left w:val="nil"/>
              <w:bottom w:val="nil"/>
              <w:right w:val="nil"/>
            </w:tcBorders>
            <w:shd w:val="clear" w:color="auto" w:fill="auto"/>
            <w:noWrap/>
            <w:vAlign w:val="center"/>
          </w:tcPr>
          <w:p>
            <w:pPr>
              <w:widowControl/>
              <w:jc w:val="center"/>
              <w:rPr>
                <w:rFonts w:ascii="宋体" w:hAnsi="宋体" w:cs="宋体"/>
                <w:color w:val="000000"/>
                <w:kern w:val="0"/>
                <w:sz w:val="22"/>
                <w:szCs w:val="22"/>
              </w:rPr>
            </w:pPr>
          </w:p>
        </w:tc>
        <w:tc>
          <w:tcPr>
            <w:tcW w:w="1501" w:type="dxa"/>
            <w:gridSpan w:val="2"/>
            <w:tcBorders>
              <w:top w:val="nil"/>
              <w:left w:val="nil"/>
              <w:bottom w:val="nil"/>
              <w:right w:val="nil"/>
            </w:tcBorders>
            <w:shd w:val="clear" w:color="auto" w:fill="auto"/>
            <w:noWrap/>
            <w:vAlign w:val="center"/>
          </w:tcPr>
          <w:p>
            <w:pPr>
              <w:widowControl/>
              <w:jc w:val="center"/>
              <w:rPr>
                <w:rFonts w:ascii="宋体" w:hAnsi="宋体" w:cs="宋体"/>
                <w:color w:val="000000"/>
                <w:kern w:val="0"/>
                <w:sz w:val="22"/>
                <w:szCs w:val="22"/>
              </w:rPr>
            </w:pPr>
          </w:p>
        </w:tc>
        <w:tc>
          <w:tcPr>
            <w:tcW w:w="2043" w:type="dxa"/>
            <w:gridSpan w:val="2"/>
            <w:tcBorders>
              <w:top w:val="nil"/>
              <w:left w:val="nil"/>
              <w:bottom w:val="nil"/>
              <w:right w:val="nil"/>
            </w:tcBorders>
            <w:shd w:val="clear" w:color="auto" w:fill="auto"/>
            <w:noWrap/>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金额单位：万元</w:t>
            </w:r>
          </w:p>
        </w:tc>
      </w:tr>
      <w:tr>
        <w:tblPrEx>
          <w:tblCellMar>
            <w:top w:w="0" w:type="dxa"/>
            <w:left w:w="108" w:type="dxa"/>
            <w:bottom w:w="0" w:type="dxa"/>
            <w:right w:w="108" w:type="dxa"/>
          </w:tblCellMar>
        </w:tblPrEx>
        <w:trPr>
          <w:trHeight w:val="570" w:hRule="atLeast"/>
        </w:trPr>
        <w:tc>
          <w:tcPr>
            <w:tcW w:w="1041" w:type="dxa"/>
            <w:tcBorders>
              <w:top w:val="single" w:color="000000" w:sz="4" w:space="0"/>
              <w:left w:val="single" w:color="000000" w:sz="4" w:space="0"/>
              <w:bottom w:val="nil"/>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一、基本情况</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项目名称</w:t>
            </w:r>
          </w:p>
        </w:tc>
        <w:tc>
          <w:tcPr>
            <w:tcW w:w="2127"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执委活动经费</w:t>
            </w:r>
          </w:p>
        </w:tc>
        <w:tc>
          <w:tcPr>
            <w:tcW w:w="141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实施(主管）单位</w:t>
            </w:r>
          </w:p>
        </w:tc>
        <w:tc>
          <w:tcPr>
            <w:tcW w:w="3544"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区工商联</w:t>
            </w:r>
          </w:p>
        </w:tc>
      </w:tr>
      <w:tr>
        <w:tblPrEx>
          <w:tblCellMar>
            <w:top w:w="0" w:type="dxa"/>
            <w:left w:w="108" w:type="dxa"/>
            <w:bottom w:w="0" w:type="dxa"/>
            <w:right w:w="108" w:type="dxa"/>
          </w:tblCellMar>
        </w:tblPrEx>
        <w:trPr>
          <w:trHeight w:val="555" w:hRule="atLeast"/>
        </w:trPr>
        <w:tc>
          <w:tcPr>
            <w:tcW w:w="104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二、预算执行情况</w:t>
            </w:r>
          </w:p>
        </w:tc>
        <w:tc>
          <w:tcPr>
            <w:tcW w:w="2127"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预算安排情况（调整后）</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资金到位情况</w:t>
            </w:r>
          </w:p>
        </w:tc>
        <w:tc>
          <w:tcPr>
            <w:tcW w:w="2268"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资金执行情况</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预算执行进度</w:t>
            </w:r>
          </w:p>
        </w:tc>
      </w:tr>
      <w:tr>
        <w:tblPrEx>
          <w:tblCellMar>
            <w:top w:w="0" w:type="dxa"/>
            <w:left w:w="108" w:type="dxa"/>
            <w:bottom w:w="0" w:type="dxa"/>
            <w:right w:w="108" w:type="dxa"/>
          </w:tblCellMar>
        </w:tblPrEx>
        <w:trPr>
          <w:trHeight w:val="390" w:hRule="atLeast"/>
        </w:trPr>
        <w:tc>
          <w:tcPr>
            <w:tcW w:w="104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11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预算数：</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134" w:type="dxa"/>
            <w:gridSpan w:val="2"/>
            <w:tcBorders>
              <w:top w:val="nil"/>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到位数：</w:t>
            </w:r>
          </w:p>
        </w:tc>
        <w:tc>
          <w:tcPr>
            <w:tcW w:w="141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276"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执行数：</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27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r>
      <w:tr>
        <w:tblPrEx>
          <w:tblCellMar>
            <w:top w:w="0" w:type="dxa"/>
            <w:left w:w="108" w:type="dxa"/>
            <w:bottom w:w="0" w:type="dxa"/>
            <w:right w:w="108" w:type="dxa"/>
          </w:tblCellMar>
        </w:tblPrEx>
        <w:trPr>
          <w:trHeight w:val="540" w:hRule="atLeast"/>
        </w:trPr>
        <w:tc>
          <w:tcPr>
            <w:tcW w:w="104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1134"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其中：财政资金</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134"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其中：财政资金</w:t>
            </w:r>
          </w:p>
        </w:tc>
        <w:tc>
          <w:tcPr>
            <w:tcW w:w="141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27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其中：财政资金</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5.184</w:t>
            </w:r>
          </w:p>
        </w:tc>
        <w:tc>
          <w:tcPr>
            <w:tcW w:w="12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390" w:hRule="atLeast"/>
        </w:trPr>
        <w:tc>
          <w:tcPr>
            <w:tcW w:w="104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1134"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其他</w:t>
            </w:r>
          </w:p>
        </w:tc>
        <w:tc>
          <w:tcPr>
            <w:tcW w:w="993" w:type="dxa"/>
            <w:tcBorders>
              <w:top w:val="nil"/>
              <w:left w:val="nil"/>
              <w:bottom w:val="single" w:color="000000" w:sz="4" w:space="0"/>
              <w:right w:val="single" w:color="000000" w:sz="4" w:space="0"/>
            </w:tcBorders>
            <w:shd w:val="clear" w:color="auto" w:fill="auto"/>
            <w:vAlign w:val="center"/>
          </w:tcPr>
          <w:p>
            <w:pPr>
              <w:widowControl/>
              <w:jc w:val="left"/>
              <w:rPr>
                <w:rFonts w:cs="Calibri"/>
                <w:color w:val="000000"/>
                <w:kern w:val="0"/>
                <w:sz w:val="22"/>
                <w:szCs w:val="22"/>
              </w:rPr>
            </w:pPr>
            <w:r>
              <w:rPr>
                <w:rFonts w:cs="Calibri"/>
                <w:color w:val="000000"/>
                <w:kern w:val="0"/>
                <w:sz w:val="22"/>
                <w:szCs w:val="22"/>
              </w:rPr>
              <w:t>　</w:t>
            </w:r>
          </w:p>
        </w:tc>
        <w:tc>
          <w:tcPr>
            <w:tcW w:w="1134"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其他</w:t>
            </w:r>
          </w:p>
        </w:tc>
        <w:tc>
          <w:tcPr>
            <w:tcW w:w="1417"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27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宋体"/>
                <w:color w:val="000000"/>
                <w:kern w:val="0"/>
                <w:sz w:val="22"/>
                <w:szCs w:val="22"/>
              </w:rPr>
            </w:pPr>
            <w:r>
              <w:rPr>
                <w:rFonts w:hint="eastAsia" w:ascii="宋体" w:hAnsi="宋体" w:cs="宋体"/>
                <w:color w:val="000000"/>
                <w:kern w:val="0"/>
                <w:sz w:val="22"/>
                <w:szCs w:val="22"/>
              </w:rPr>
              <w:t>其他</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2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390" w:hRule="atLeast"/>
        </w:trPr>
        <w:tc>
          <w:tcPr>
            <w:tcW w:w="1041"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三、目标完成情况</w:t>
            </w:r>
          </w:p>
        </w:tc>
        <w:tc>
          <w:tcPr>
            <w:tcW w:w="3261"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年度预期目标</w:t>
            </w:r>
          </w:p>
        </w:tc>
        <w:tc>
          <w:tcPr>
            <w:tcW w:w="3685" w:type="dxa"/>
            <w:gridSpan w:val="4"/>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具体完成情况</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总体完成率</w:t>
            </w:r>
          </w:p>
        </w:tc>
      </w:tr>
      <w:tr>
        <w:tblPrEx>
          <w:tblCellMar>
            <w:top w:w="0" w:type="dxa"/>
            <w:left w:w="108" w:type="dxa"/>
            <w:bottom w:w="0" w:type="dxa"/>
            <w:right w:w="108" w:type="dxa"/>
          </w:tblCellMar>
        </w:tblPrEx>
        <w:trPr>
          <w:trHeight w:val="312" w:hRule="atLeast"/>
        </w:trPr>
        <w:tc>
          <w:tcPr>
            <w:tcW w:w="1041"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3261"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召开执常委会议1次，调研5次，培训1次。</w:t>
            </w:r>
          </w:p>
        </w:tc>
        <w:tc>
          <w:tcPr>
            <w:tcW w:w="368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全部完成</w:t>
            </w:r>
          </w:p>
        </w:tc>
        <w:tc>
          <w:tcPr>
            <w:tcW w:w="127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r>
      <w:tr>
        <w:tblPrEx>
          <w:tblCellMar>
            <w:top w:w="0" w:type="dxa"/>
            <w:left w:w="108" w:type="dxa"/>
            <w:bottom w:w="0" w:type="dxa"/>
            <w:right w:w="108" w:type="dxa"/>
          </w:tblCellMar>
        </w:tblPrEx>
        <w:trPr>
          <w:trHeight w:val="312" w:hRule="atLeast"/>
        </w:trPr>
        <w:tc>
          <w:tcPr>
            <w:tcW w:w="1041"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3261" w:type="dxa"/>
            <w:gridSpan w:val="4"/>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3685" w:type="dxa"/>
            <w:gridSpan w:val="4"/>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12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312" w:hRule="atLeast"/>
        </w:trPr>
        <w:tc>
          <w:tcPr>
            <w:tcW w:w="1041"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3261" w:type="dxa"/>
            <w:gridSpan w:val="4"/>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3685" w:type="dxa"/>
            <w:gridSpan w:val="4"/>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c>
          <w:tcPr>
            <w:tcW w:w="127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540" w:hRule="atLeast"/>
        </w:trPr>
        <w:tc>
          <w:tcPr>
            <w:tcW w:w="1041"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四、年度绩效指标完成情况</w:t>
            </w:r>
          </w:p>
        </w:tc>
        <w:tc>
          <w:tcPr>
            <w:tcW w:w="1134"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一级指标</w:t>
            </w:r>
          </w:p>
        </w:tc>
        <w:tc>
          <w:tcPr>
            <w:tcW w:w="993" w:type="dxa"/>
            <w:tcBorders>
              <w:top w:val="nil"/>
              <w:left w:val="nil"/>
              <w:bottom w:val="nil"/>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二级指标</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三级指标</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预期指标值</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实际完成值</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自评得分</w:t>
            </w:r>
          </w:p>
        </w:tc>
      </w:tr>
      <w:tr>
        <w:tblPrEx>
          <w:tblCellMar>
            <w:top w:w="0" w:type="dxa"/>
            <w:left w:w="108" w:type="dxa"/>
            <w:bottom w:w="0" w:type="dxa"/>
            <w:right w:w="108" w:type="dxa"/>
          </w:tblCellMar>
        </w:tblPrEx>
        <w:trPr>
          <w:trHeight w:val="675" w:hRule="atLeast"/>
        </w:trPr>
        <w:tc>
          <w:tcPr>
            <w:tcW w:w="1041" w:type="dxa"/>
            <w:vMerge w:val="continue"/>
            <w:tcBorders>
              <w:top w:val="nil"/>
              <w:left w:val="single" w:color="auto" w:sz="4" w:space="0"/>
              <w:bottom w:val="single" w:color="000000" w:sz="4" w:space="0"/>
              <w:right w:val="nil"/>
            </w:tcBorders>
            <w:vAlign w:val="center"/>
          </w:tcPr>
          <w:p>
            <w:pPr>
              <w:widowControl/>
              <w:jc w:val="left"/>
              <w:rPr>
                <w:rFonts w:ascii="宋体" w:hAnsi="宋体" w:cs="宋体"/>
                <w:color w:val="000000"/>
                <w:kern w:val="0"/>
                <w:sz w:val="22"/>
                <w:szCs w:val="22"/>
              </w:rPr>
            </w:pPr>
          </w:p>
        </w:tc>
        <w:tc>
          <w:tcPr>
            <w:tcW w:w="1134" w:type="dxa"/>
            <w:tcBorders>
              <w:top w:val="nil"/>
              <w:left w:val="single" w:color="000000" w:sz="4" w:space="0"/>
              <w:bottom w:val="nil"/>
              <w:right w:val="nil"/>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产出指标（40）</w:t>
            </w:r>
          </w:p>
        </w:tc>
        <w:tc>
          <w:tcPr>
            <w:tcW w:w="99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数量指标</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召开会议次数，调研次数、培训次数</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7</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40</w:t>
            </w:r>
          </w:p>
        </w:tc>
      </w:tr>
      <w:tr>
        <w:tblPrEx>
          <w:tblCellMar>
            <w:top w:w="0" w:type="dxa"/>
            <w:left w:w="108" w:type="dxa"/>
            <w:bottom w:w="0" w:type="dxa"/>
            <w:right w:w="108" w:type="dxa"/>
          </w:tblCellMar>
        </w:tblPrEx>
        <w:trPr>
          <w:trHeight w:val="810" w:hRule="atLeast"/>
        </w:trPr>
        <w:tc>
          <w:tcPr>
            <w:tcW w:w="1041" w:type="dxa"/>
            <w:vMerge w:val="continue"/>
            <w:tcBorders>
              <w:top w:val="nil"/>
              <w:left w:val="single" w:color="auto" w:sz="4" w:space="0"/>
              <w:bottom w:val="single" w:color="000000" w:sz="4" w:space="0"/>
              <w:right w:val="nil"/>
            </w:tcBorders>
            <w:vAlign w:val="center"/>
          </w:tcPr>
          <w:p>
            <w:pPr>
              <w:widowControl/>
              <w:jc w:val="left"/>
              <w:rPr>
                <w:rFonts w:ascii="宋体" w:hAnsi="宋体" w:cs="宋体"/>
                <w:color w:val="000000"/>
                <w:kern w:val="0"/>
                <w:sz w:val="22"/>
                <w:szCs w:val="22"/>
              </w:rPr>
            </w:pPr>
          </w:p>
        </w:tc>
        <w:tc>
          <w:tcPr>
            <w:tcW w:w="113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预算执行率指标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（10分）</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预算执行率</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预算执行情况</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100%</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10</w:t>
            </w:r>
          </w:p>
        </w:tc>
      </w:tr>
      <w:tr>
        <w:tblPrEx>
          <w:tblCellMar>
            <w:top w:w="0" w:type="dxa"/>
            <w:left w:w="108" w:type="dxa"/>
            <w:bottom w:w="0" w:type="dxa"/>
            <w:right w:w="108" w:type="dxa"/>
          </w:tblCellMar>
        </w:tblPrEx>
        <w:trPr>
          <w:trHeight w:val="1185" w:hRule="atLeast"/>
        </w:trPr>
        <w:tc>
          <w:tcPr>
            <w:tcW w:w="1041" w:type="dxa"/>
            <w:vMerge w:val="continue"/>
            <w:tcBorders>
              <w:top w:val="nil"/>
              <w:left w:val="single" w:color="auto" w:sz="4" w:space="0"/>
              <w:bottom w:val="single" w:color="000000" w:sz="4" w:space="0"/>
              <w:right w:val="nil"/>
            </w:tcBorders>
            <w:vAlign w:val="center"/>
          </w:tcPr>
          <w:p>
            <w:pPr>
              <w:widowControl/>
              <w:jc w:val="left"/>
              <w:rPr>
                <w:rFonts w:ascii="宋体" w:hAnsi="宋体" w:cs="宋体"/>
                <w:color w:val="000000"/>
                <w:kern w:val="0"/>
                <w:sz w:val="22"/>
                <w:szCs w:val="22"/>
              </w:rPr>
            </w:pPr>
          </w:p>
        </w:tc>
        <w:tc>
          <w:tcPr>
            <w:tcW w:w="1134" w:type="dxa"/>
            <w:tcBorders>
              <w:top w:val="nil"/>
              <w:left w:val="single" w:color="000000" w:sz="4" w:space="0"/>
              <w:bottom w:val="single" w:color="auto"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效益指标（40）</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社会效益指标</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高质量调研报告1篇，支持服务民营经济发展、解决民营经济人士发展面临的问题</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≥0</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40</w:t>
            </w:r>
          </w:p>
        </w:tc>
      </w:tr>
      <w:tr>
        <w:tblPrEx>
          <w:tblCellMar>
            <w:top w:w="0" w:type="dxa"/>
            <w:left w:w="108" w:type="dxa"/>
            <w:bottom w:w="0" w:type="dxa"/>
            <w:right w:w="108" w:type="dxa"/>
          </w:tblCellMar>
        </w:tblPrEx>
        <w:trPr>
          <w:trHeight w:val="810" w:hRule="atLeast"/>
        </w:trPr>
        <w:tc>
          <w:tcPr>
            <w:tcW w:w="1041" w:type="dxa"/>
            <w:vMerge w:val="continue"/>
            <w:tcBorders>
              <w:top w:val="nil"/>
              <w:left w:val="single" w:color="auto" w:sz="4" w:space="0"/>
              <w:bottom w:val="single" w:color="000000" w:sz="4" w:space="0"/>
              <w:right w:val="nil"/>
            </w:tcBorders>
            <w:vAlign w:val="center"/>
          </w:tcPr>
          <w:p>
            <w:pPr>
              <w:widowControl/>
              <w:jc w:val="left"/>
              <w:rPr>
                <w:rFonts w:ascii="宋体" w:hAnsi="宋体" w:cs="宋体"/>
                <w:color w:val="000000"/>
                <w:kern w:val="0"/>
                <w:sz w:val="22"/>
                <w:szCs w:val="22"/>
              </w:rPr>
            </w:pPr>
          </w:p>
        </w:tc>
        <w:tc>
          <w:tcPr>
            <w:tcW w:w="113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满意度指标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（10分）</w:t>
            </w:r>
          </w:p>
        </w:tc>
        <w:tc>
          <w:tcPr>
            <w:tcW w:w="99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满意度指标</w:t>
            </w:r>
          </w:p>
        </w:tc>
        <w:tc>
          <w:tcPr>
            <w:tcW w:w="255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cs="宋体"/>
                <w:color w:val="000000"/>
                <w:kern w:val="0"/>
                <w:sz w:val="22"/>
                <w:szCs w:val="22"/>
              </w:rPr>
            </w:pPr>
            <w:r>
              <w:rPr>
                <w:rFonts w:hint="eastAsia" w:ascii="宋体" w:hAnsi="宋体" w:cs="宋体"/>
                <w:color w:val="000000"/>
                <w:kern w:val="0"/>
                <w:sz w:val="22"/>
                <w:szCs w:val="22"/>
              </w:rPr>
              <w:t>解决民营经济人士经济发展中突出问题</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992"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27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6</w:t>
            </w:r>
          </w:p>
        </w:tc>
      </w:tr>
      <w:tr>
        <w:tblPrEx>
          <w:tblCellMar>
            <w:top w:w="0" w:type="dxa"/>
            <w:left w:w="108" w:type="dxa"/>
            <w:bottom w:w="0" w:type="dxa"/>
            <w:right w:w="108" w:type="dxa"/>
          </w:tblCellMar>
        </w:tblPrEx>
        <w:trPr>
          <w:trHeight w:val="390" w:hRule="atLeast"/>
        </w:trPr>
        <w:tc>
          <w:tcPr>
            <w:tcW w:w="1041" w:type="dxa"/>
            <w:vMerge w:val="continue"/>
            <w:tcBorders>
              <w:top w:val="nil"/>
              <w:left w:val="single" w:color="auto" w:sz="4" w:space="0"/>
              <w:bottom w:val="single" w:color="000000" w:sz="4" w:space="0"/>
              <w:right w:val="nil"/>
            </w:tcBorders>
            <w:vAlign w:val="center"/>
          </w:tcPr>
          <w:p>
            <w:pPr>
              <w:widowControl/>
              <w:jc w:val="left"/>
              <w:rPr>
                <w:rFonts w:ascii="宋体" w:hAnsi="宋体" w:cs="宋体"/>
                <w:color w:val="000000"/>
                <w:kern w:val="0"/>
                <w:sz w:val="22"/>
                <w:szCs w:val="22"/>
              </w:rPr>
            </w:pPr>
          </w:p>
        </w:tc>
        <w:tc>
          <w:tcPr>
            <w:tcW w:w="6946" w:type="dxa"/>
            <w:gridSpan w:val="8"/>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总分</w:t>
            </w:r>
          </w:p>
        </w:tc>
        <w:tc>
          <w:tcPr>
            <w:tcW w:w="127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2"/>
                <w:szCs w:val="22"/>
              </w:rPr>
            </w:pPr>
            <w:r>
              <w:rPr>
                <w:rFonts w:hint="eastAsia" w:ascii="宋体" w:hAnsi="宋体" w:cs="宋体"/>
                <w:color w:val="000000"/>
                <w:kern w:val="0"/>
                <w:sz w:val="22"/>
                <w:szCs w:val="22"/>
              </w:rPr>
              <w:t>96</w:t>
            </w:r>
          </w:p>
        </w:tc>
      </w:tr>
    </w:tbl>
    <w:p>
      <w:pPr>
        <w:adjustRightInd w:val="0"/>
        <w:snapToGrid w:val="0"/>
        <w:spacing w:line="600" w:lineRule="exact"/>
        <w:ind w:firstLine="643" w:firstLineChars="200"/>
        <w:rPr>
          <w:rFonts w:ascii="楷体_GB2312" w:hAnsi="楷体_GB2312" w:eastAsia="楷体_GB2312" w:cs="楷体_GB2312"/>
          <w:b/>
          <w:bCs/>
          <w:sz w:val="32"/>
          <w:szCs w:val="32"/>
        </w:rPr>
      </w:pPr>
    </w:p>
    <w:p>
      <w:pPr>
        <w:adjustRightInd w:val="0"/>
        <w:snapToGrid w:val="0"/>
        <w:spacing w:line="600" w:lineRule="exact"/>
        <w:ind w:firstLine="643" w:firstLineChars="200"/>
        <w:rPr>
          <w:rFonts w:ascii="仿宋_GB2312" w:hAnsi="仿宋_GB2312" w:eastAsia="仿宋_GB2312" w:cs="仿宋_GB2312"/>
          <w:b/>
          <w:bCs/>
          <w:sz w:val="32"/>
          <w:szCs w:val="32"/>
        </w:rPr>
      </w:pPr>
      <w:r>
        <w:rPr>
          <w:rFonts w:hint="eastAsia" w:ascii="楷体_GB2312" w:hAnsi="楷体_GB2312" w:eastAsia="楷体_GB2312" w:cs="楷体_GB2312"/>
          <w:b/>
          <w:bCs/>
          <w:sz w:val="32"/>
          <w:szCs w:val="32"/>
        </w:rPr>
        <w:t>（三）财政评价项目绩效评价结果</w:t>
      </w:r>
    </w:p>
    <w:p>
      <w:pPr>
        <w:adjustRightInd w:val="0"/>
        <w:snapToGrid w:val="0"/>
        <w:spacing w:line="60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本部门无财政评价项目。</w:t>
      </w:r>
    </w:p>
    <w:p>
      <w:pPr>
        <w:keepNext/>
        <w:keepLines/>
        <w:snapToGrid w:val="0"/>
        <w:spacing w:line="600" w:lineRule="exact"/>
        <w:ind w:firstLine="640" w:firstLineChars="200"/>
        <w:outlineLvl w:val="1"/>
        <w:rPr>
          <w:rFonts w:ascii="黑体" w:hAnsi="黑体" w:eastAsia="黑体"/>
          <w:b/>
          <w:bCs/>
          <w:sz w:val="32"/>
          <w:szCs w:val="32"/>
        </w:rPr>
      </w:pPr>
      <w:r>
        <w:rPr>
          <w:rFonts w:hint="eastAsia" w:ascii="黑体" w:hAnsi="黑体" w:eastAsia="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本部门2020年度机关运行经费支出3.57万元，比2019年度减少2.39万元，降低40.1%。主要原因是</w:t>
      </w:r>
      <w:r>
        <w:rPr>
          <w:rFonts w:hint="eastAsia" w:ascii="仿宋_GB2312" w:hAnsi="Times New Roman" w:eastAsia="仿宋_GB2312" w:cs="Wingdings"/>
          <w:sz w:val="32"/>
          <w:szCs w:val="32"/>
        </w:rPr>
        <w:t>人员减少；压减支出，厉行节约。</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本部门2020年度政府采购支出总额0.11万元，从采购类型来看，</w:t>
      </w:r>
      <w:r>
        <w:rPr>
          <w:rFonts w:hint="eastAsia" w:ascii="仿宋_GB2312" w:hAnsi="仿宋_GB2312" w:eastAsia="仿宋_GB2312" w:cs="仿宋_GB2312"/>
          <w:color w:val="000000"/>
          <w:kern w:val="0"/>
          <w:sz w:val="32"/>
          <w:szCs w:val="32"/>
        </w:rPr>
        <w:t>政府采购货物支出0.11万元、政府采购工程支出0万元、政府采购服务支出0万元。授予中小企业合同金0万元，占政府采购支出总额的0%，其中授予小微企业合同金额0.11万元，占政府采购支出总额的100%。</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辆，主要是</w:t>
      </w:r>
      <w:r>
        <w:rPr>
          <w:rFonts w:hint="eastAsia" w:ascii="仿宋_GB2312" w:hAnsi="仿宋_GB2312" w:eastAsia="仿宋_GB2312" w:cs="仿宋_GB2312"/>
          <w:sz w:val="32"/>
          <w:szCs w:val="32"/>
          <w:lang w:eastAsia="zh-CN"/>
        </w:rPr>
        <w:t>本部门无车辆</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adjustRightInd w:val="0"/>
        <w:snapToGrid w:val="0"/>
        <w:spacing w:line="600" w:lineRule="exact"/>
        <w:ind w:firstLine="640"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hAnsi="仿宋_GB2312" w:eastAsia="仿宋_GB2312" w:cs="仿宋_GB2312"/>
          <w:sz w:val="32"/>
          <w:szCs w:val="32"/>
          <w:lang w:eastAsia="zh-CN"/>
        </w:rPr>
        <w:t>本部门无</w:t>
      </w:r>
      <w:r>
        <w:rPr>
          <w:rFonts w:hint="eastAsia" w:ascii="仿宋_GB2312" w:hAnsi="仿宋_GB2312" w:eastAsia="仿宋_GB2312" w:cs="仿宋_GB2312"/>
          <w:sz w:val="32"/>
          <w:szCs w:val="32"/>
        </w:rPr>
        <w:t>单位价值50万元以上通用设备 ，单位价值100万元以上专用设备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仿宋_GB2312" w:eastAsia="仿宋_GB2312" w:cs="仿宋_GB2312"/>
          <w:sz w:val="32"/>
          <w:szCs w:val="32"/>
          <w:lang w:eastAsia="zh-CN"/>
        </w:rPr>
        <w:t>。</w:t>
      </w:r>
    </w:p>
    <w:p>
      <w:pPr>
        <w:keepNext/>
        <w:keepLines/>
        <w:snapToGrid w:val="0"/>
        <w:spacing w:line="600" w:lineRule="exact"/>
        <w:ind w:firstLine="640" w:firstLineChars="200"/>
        <w:outlineLvl w:val="2"/>
        <w:rPr>
          <w:rFonts w:ascii="黑体" w:hAnsi="黑体" w:eastAsia="黑体"/>
          <w:sz w:val="32"/>
          <w:szCs w:val="32"/>
        </w:rPr>
      </w:pPr>
      <w:r>
        <w:rPr>
          <w:rFonts w:hint="eastAsia" w:ascii="黑体" w:hAnsi="黑体" w:eastAsia="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1.本部门2020年度未发生三公经费、政府性基金预算、国有资金经营预算收支及结转结余情况，故</w:t>
      </w:r>
      <w:r>
        <w:rPr>
          <w:rFonts w:hint="eastAsia" w:ascii="仿宋_GB2312" w:eastAsia="仿宋_GB2312" w:cs="DengXian-Regular"/>
          <w:sz w:val="32"/>
          <w:szCs w:val="32"/>
        </w:rPr>
        <w:t>一般公共预算财政拨款“三公”经费支出决算表、政府性基金预算财政拨款收入支出决算表、国有资本经营预算财政拨款支出决算表</w:t>
      </w:r>
      <w:r>
        <w:rPr>
          <w:rFonts w:hint="eastAsia" w:ascii="仿宋_GB2312" w:hAnsi="仿宋_GB2312" w:eastAsia="仿宋_GB2312" w:cs="仿宋_GB2312"/>
          <w:sz w:val="32"/>
          <w:szCs w:val="32"/>
        </w:rPr>
        <w:t>以空表列示。</w:t>
      </w:r>
    </w:p>
    <w:p>
      <w:pPr>
        <w:adjustRightInd w:val="0"/>
        <w:snapToGrid w:val="0"/>
        <w:spacing w:line="600" w:lineRule="exact"/>
        <w:ind w:firstLine="640" w:firstLineChars="200"/>
        <w:rPr>
          <w:rFonts w:ascii="仿宋_GB2312" w:hAnsi="宋体" w:eastAsia="仿宋_GB2312" w:cs="Arial Black"/>
          <w:sz w:val="32"/>
          <w:szCs w:val="32"/>
        </w:rPr>
      </w:pPr>
      <w:r>
        <w:rPr>
          <w:rFonts w:hint="eastAsia" w:ascii="仿宋_GB2312" w:hAnsi="仿宋_GB2312" w:eastAsia="仿宋_GB2312" w:cs="仿宋_GB2312"/>
          <w:sz w:val="32"/>
          <w:szCs w:val="32"/>
        </w:rPr>
        <w:t>2.由于决算公开表格中金额数值应当保留两位小数，公开数据为四舍五入计算结果，个别数据合计项与分项之和存在小数点后差额，特此说明。</w:t>
      </w: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w:pict>
          <v:rect id="文本框 188" o:spid="_x0000_s1041" o:spt="1" style="position:absolute;left:0pt;margin-left:-81.9pt;margin-top:2.05pt;height:263.1pt;width:613.65pt;z-index:251660288;mso-width-relative:page;mso-height-relative:page;" fillcolor="#7F7F7F" filled="t" stroked="t" coordsize="21600,21600">
            <v:path/>
            <v:fill type="pattern" on="t" focussize="0,0" r:id="rId15"/>
            <v:stroke weight="0.5pt" color="#7F7F7F"/>
            <v:imagedata o:title=""/>
            <o:lock v:ext="edit"/>
            <v:textbox>
              <w:txbxContent>
                <w:p>
                  <w:pPr>
                    <w:widowControl/>
                    <w:jc w:val="center"/>
                  </w:pPr>
                  <w:r>
                    <w:rPr>
                      <w:rFonts w:hint="eastAsia" w:ascii="黑体" w:hAnsi="黑体" w:eastAsia="黑体"/>
                      <w:color w:val="000000"/>
                      <w:sz w:val="90"/>
                      <w:szCs w:val="90"/>
                    </w:rPr>
                    <w:t>第三部分 相关名词解释</w:t>
                  </w:r>
                </w:p>
              </w:txbxContent>
            </v:textbox>
          </v:rect>
        </w:pic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2" w:type="default"/>
          <w:pgSz w:w="11906" w:h="16838"/>
          <w:pgMar w:top="2098" w:right="1531" w:bottom="1984" w:left="1531" w:header="851" w:footer="992" w:gutter="0"/>
          <w:pgNumType w:fmt="numberInDash"/>
          <w:cols w:space="720" w:num="1"/>
          <w:titlePg/>
          <w:docGrid w:type="lines" w:linePitch="312" w:charSpace="0"/>
        </w:sectPr>
      </w:pPr>
    </w:p>
    <w:p>
      <w:r>
        <w:rPr>
          <w:sz w:val="72"/>
        </w:rPr>
        <w:pict>
          <v:rect id="文本框 1" o:spid="_x0000_s1042" o:spt="1" style="position:absolute;left:0pt;margin-left:-80.9pt;margin-top:90.65pt;height:263.1pt;width:613.65pt;z-index:251663360;mso-width-relative:page;mso-height-relative:page;" fillcolor="#7F7F7F" filled="t" stroked="t" coordsize="21600,21600">
            <v:path/>
            <v:fill type="pattern" on="t" focussize="0,0" r:id="rId15"/>
            <v:stroke weight="1pt" color="#A5A5A5"/>
            <v:imagedata o:title=""/>
            <o:lock v:ext="edit"/>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2020年度部门决算报表</w:t>
                  </w:r>
                </w:p>
                <w:p/>
              </w:txbxContent>
            </v:textbox>
          </v:rect>
        </w:pict>
      </w: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rPr>
          <w:rFonts w:ascii="黑体" w:hAnsi="黑体" w:eastAsia="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pPr>
    </w:p>
    <w:p>
      <w:pPr>
        <w:tabs>
          <w:tab w:val="left" w:pos="235"/>
        </w:tabs>
        <w:spacing w:line="600" w:lineRule="exact"/>
        <w:jc w:val="left"/>
        <w:rPr>
          <w:rFonts w:ascii="仿宋_GB2312" w:hAnsi="Cambria" w:eastAsia="仿宋_GB2312" w:cs="Arial Black"/>
          <w:kern w:val="0"/>
          <w:sz w:val="32"/>
          <w:szCs w:val="32"/>
        </w:rPr>
        <w:sectPr>
          <w:pgSz w:w="11906" w:h="16838"/>
          <w:pgMar w:top="2098" w:right="1531" w:bottom="1984" w:left="1531" w:header="851" w:footer="992" w:gutter="0"/>
          <w:pgNumType w:fmt="numberInDash"/>
          <w:cols w:space="720" w:num="1"/>
          <w:titlePg/>
          <w:docGrid w:type="lines" w:linePitch="312" w:charSpace="0"/>
        </w:sectPr>
      </w:pPr>
      <w:r>
        <w:rPr>
          <w:rFonts w:hint="eastAsia" w:ascii="仿宋_GB2312" w:hAnsi="Cambria" w:eastAsia="仿宋_GB2312" w:cs="Arial Black"/>
          <w:kern w:val="0"/>
          <w:sz w:val="32"/>
          <w:szCs w:val="32"/>
        </w:rPr>
        <w:t>详见附表</w:t>
      </w:r>
    </w:p>
    <w:p>
      <w:pPr>
        <w:tabs>
          <w:tab w:val="left" w:pos="235"/>
        </w:tabs>
        <w:spacing w:line="600" w:lineRule="exact"/>
        <w:jc w:val="left"/>
        <w:rPr>
          <w:rFonts w:ascii="仿宋_GB2312" w:hAnsi="Cambria" w:eastAsia="仿宋_GB2312" w:cs="Arial Black"/>
          <w:kern w:val="0"/>
          <w:sz w:val="32"/>
          <w:szCs w:val="32"/>
        </w:rPr>
      </w:pPr>
      <w:r>
        <w:rPr>
          <w:rFonts w:ascii="仿宋_GB2312" w:hAnsi="Cambria" w:eastAsia="仿宋_GB2312" w:cs="Arial Black"/>
          <w:kern w:val="0"/>
          <w:sz w:val="32"/>
          <w:szCs w:val="32"/>
        </w:rPr>
        <w:pict>
          <v:rect id="矩形 3" o:spid="_x0000_s1045" o:spt="1" style="position:absolute;left:0pt;margin-left:-78.2pt;margin-top:-106.6pt;height:842.2pt;width:601pt;z-index:251666432;mso-width-relative:page;mso-height-relative:page;" fillcolor="#BBD6EE" filled="t" stroked="f" coordsize="21600,21600">
            <v:path/>
            <v:fill on="t" focussize="0,0"/>
            <v:stroke on="f"/>
            <v:imagedata o:title=""/>
            <o:lock v:ext="edit"/>
          </v:rect>
        </w:pic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D"/>
    <w:multiLevelType w:val="singleLevel"/>
    <w:tmpl w:val="0000000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1"/>
  <w:bordersDoNotSurroundFooter w:val="1"/>
  <w:documentProtection w:enforcement="0"/>
  <w:defaultTabStop w:val="420"/>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adjustLineHeightInTable/>
    <w:useFELayout/>
    <w:compatSetting w:name="compatibilityMode" w:uri="http://schemas.microsoft.com/office/word" w:val="12"/>
  </w:compat>
  <w:docVars>
    <w:docVar w:name="commondata" w:val="eyJoZGlkIjoiOWU4MzFjZWRlMzcxMzg0NGE0NGE1ODM2ZmU5Mzk3YjAifQ=="/>
  </w:docVars>
  <w:rsids>
    <w:rsidRoot w:val="00172A27"/>
    <w:rsid w:val="000145D0"/>
    <w:rsid w:val="00046B28"/>
    <w:rsid w:val="000774EE"/>
    <w:rsid w:val="00085F8A"/>
    <w:rsid w:val="000F4010"/>
    <w:rsid w:val="00100421"/>
    <w:rsid w:val="00106B25"/>
    <w:rsid w:val="001139DA"/>
    <w:rsid w:val="001174B4"/>
    <w:rsid w:val="00120E68"/>
    <w:rsid w:val="00160C89"/>
    <w:rsid w:val="00162EE2"/>
    <w:rsid w:val="00163E0F"/>
    <w:rsid w:val="00172A27"/>
    <w:rsid w:val="00172C34"/>
    <w:rsid w:val="00182CB0"/>
    <w:rsid w:val="001A4829"/>
    <w:rsid w:val="001A648E"/>
    <w:rsid w:val="001A71DA"/>
    <w:rsid w:val="001D5ACC"/>
    <w:rsid w:val="002D6DFE"/>
    <w:rsid w:val="002E0145"/>
    <w:rsid w:val="002E02C0"/>
    <w:rsid w:val="00301E77"/>
    <w:rsid w:val="0030352D"/>
    <w:rsid w:val="0030479B"/>
    <w:rsid w:val="0030738D"/>
    <w:rsid w:val="00315399"/>
    <w:rsid w:val="003243EA"/>
    <w:rsid w:val="00331A4B"/>
    <w:rsid w:val="00334E2C"/>
    <w:rsid w:val="00354F23"/>
    <w:rsid w:val="003617CE"/>
    <w:rsid w:val="00370EDA"/>
    <w:rsid w:val="003B7453"/>
    <w:rsid w:val="00403848"/>
    <w:rsid w:val="00415270"/>
    <w:rsid w:val="00421B21"/>
    <w:rsid w:val="004475BA"/>
    <w:rsid w:val="00461B8A"/>
    <w:rsid w:val="004776C8"/>
    <w:rsid w:val="004C14EC"/>
    <w:rsid w:val="004F2B36"/>
    <w:rsid w:val="00500176"/>
    <w:rsid w:val="00546D78"/>
    <w:rsid w:val="005479E8"/>
    <w:rsid w:val="00564E77"/>
    <w:rsid w:val="0056638A"/>
    <w:rsid w:val="0058223C"/>
    <w:rsid w:val="00582C98"/>
    <w:rsid w:val="00584AE4"/>
    <w:rsid w:val="0059726C"/>
    <w:rsid w:val="005A15E0"/>
    <w:rsid w:val="005A503F"/>
    <w:rsid w:val="005B3590"/>
    <w:rsid w:val="005F3B66"/>
    <w:rsid w:val="0064330F"/>
    <w:rsid w:val="0065071A"/>
    <w:rsid w:val="00653F95"/>
    <w:rsid w:val="00671CD8"/>
    <w:rsid w:val="00685850"/>
    <w:rsid w:val="006B7874"/>
    <w:rsid w:val="006D0747"/>
    <w:rsid w:val="0073567A"/>
    <w:rsid w:val="0073619D"/>
    <w:rsid w:val="00746F90"/>
    <w:rsid w:val="007827D0"/>
    <w:rsid w:val="00795FB7"/>
    <w:rsid w:val="0079630D"/>
    <w:rsid w:val="007E2D04"/>
    <w:rsid w:val="007E54CD"/>
    <w:rsid w:val="00833E24"/>
    <w:rsid w:val="00847859"/>
    <w:rsid w:val="00861E52"/>
    <w:rsid w:val="0087172E"/>
    <w:rsid w:val="00872FE7"/>
    <w:rsid w:val="00885870"/>
    <w:rsid w:val="00885EC0"/>
    <w:rsid w:val="008B02E9"/>
    <w:rsid w:val="008B5725"/>
    <w:rsid w:val="008B6198"/>
    <w:rsid w:val="00914CA9"/>
    <w:rsid w:val="00915259"/>
    <w:rsid w:val="00924CFA"/>
    <w:rsid w:val="00927A4C"/>
    <w:rsid w:val="00957C7E"/>
    <w:rsid w:val="00967116"/>
    <w:rsid w:val="009A1538"/>
    <w:rsid w:val="009A43F4"/>
    <w:rsid w:val="009F20B3"/>
    <w:rsid w:val="00A23B4F"/>
    <w:rsid w:val="00A700CF"/>
    <w:rsid w:val="00A82FBA"/>
    <w:rsid w:val="00A90D71"/>
    <w:rsid w:val="00A96EC3"/>
    <w:rsid w:val="00AA38B7"/>
    <w:rsid w:val="00AB7915"/>
    <w:rsid w:val="00AE1D0E"/>
    <w:rsid w:val="00B008FA"/>
    <w:rsid w:val="00B1734C"/>
    <w:rsid w:val="00B313D8"/>
    <w:rsid w:val="00B3379F"/>
    <w:rsid w:val="00B364E6"/>
    <w:rsid w:val="00BB46EE"/>
    <w:rsid w:val="00BD3D8A"/>
    <w:rsid w:val="00BF61C3"/>
    <w:rsid w:val="00C10DDF"/>
    <w:rsid w:val="00C243B8"/>
    <w:rsid w:val="00C50AFF"/>
    <w:rsid w:val="00C77C4D"/>
    <w:rsid w:val="00C90E1A"/>
    <w:rsid w:val="00CD75F7"/>
    <w:rsid w:val="00D35302"/>
    <w:rsid w:val="00D539D9"/>
    <w:rsid w:val="00D87269"/>
    <w:rsid w:val="00DC619F"/>
    <w:rsid w:val="00DD7E2E"/>
    <w:rsid w:val="00DE6F30"/>
    <w:rsid w:val="00E34C69"/>
    <w:rsid w:val="00E36666"/>
    <w:rsid w:val="00E645DE"/>
    <w:rsid w:val="00E657FA"/>
    <w:rsid w:val="00E70D47"/>
    <w:rsid w:val="00E7134E"/>
    <w:rsid w:val="00E934AC"/>
    <w:rsid w:val="00EA65F5"/>
    <w:rsid w:val="00EB4090"/>
    <w:rsid w:val="00EC579F"/>
    <w:rsid w:val="00EC68BB"/>
    <w:rsid w:val="00ED6487"/>
    <w:rsid w:val="00ED7555"/>
    <w:rsid w:val="00EE18DD"/>
    <w:rsid w:val="00F028B5"/>
    <w:rsid w:val="00F10612"/>
    <w:rsid w:val="00F26E5F"/>
    <w:rsid w:val="00F35294"/>
    <w:rsid w:val="00F4057A"/>
    <w:rsid w:val="00F45C67"/>
    <w:rsid w:val="00F46998"/>
    <w:rsid w:val="00F640C2"/>
    <w:rsid w:val="00F72D50"/>
    <w:rsid w:val="00FA40A3"/>
    <w:rsid w:val="00FD220E"/>
    <w:rsid w:val="00FE1712"/>
    <w:rsid w:val="00FF09CE"/>
    <w:rsid w:val="05D87293"/>
    <w:rsid w:val="1AB64D0F"/>
    <w:rsid w:val="226F6BE0"/>
    <w:rsid w:val="349C2DAD"/>
    <w:rsid w:val="3E201CEC"/>
    <w:rsid w:val="40A87FD2"/>
    <w:rsid w:val="7DA74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批注框文本 Char"/>
    <w:basedOn w:val="8"/>
    <w:link w:val="3"/>
    <w:qFormat/>
    <w:uiPriority w:val="0"/>
    <w:rPr>
      <w:rFonts w:ascii="Calibri" w:hAnsi="Calibri" w:eastAsia="宋体" w:cs="黑体"/>
      <w:kern w:val="2"/>
      <w:sz w:val="18"/>
      <w:szCs w:val="18"/>
    </w:rPr>
  </w:style>
  <w:style w:type="paragraph" w:customStyle="1" w:styleId="10">
    <w:name w:val="列出段落1"/>
    <w:basedOn w:val="1"/>
    <w:qFormat/>
    <w:uiPriority w:val="0"/>
    <w:pPr>
      <w:ind w:firstLine="420" w:firstLineChars="200"/>
    </w:pPr>
  </w:style>
  <w:style w:type="paragraph" w:customStyle="1" w:styleId="11">
    <w:name w:val="p0"/>
    <w:basedOn w:val="1"/>
    <w:qFormat/>
    <w:uiPriority w:val="0"/>
    <w:pPr>
      <w:widowControl/>
    </w:pPr>
    <w:rPr>
      <w:rFonts w:cs="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2.GIF"/><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file:///C:\Users\00\Desktop\&#26032;&#24314;%20Microsoft%20Excel%2097-2003%20&#24037;&#20316;&#34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0">
                <a:latin typeface="仿宋_GB2312" panose="02010609030101010101" pitchFamily="3" charset="-122"/>
                <a:ea typeface="仿宋_GB2312" panose="02010609030101010101" pitchFamily="3" charset="-122"/>
              </a:rPr>
              <a:t>图</a:t>
            </a:r>
            <a:r>
              <a:rPr lang="en-US" altLang="zh-CN" sz="1600" b="0">
                <a:latin typeface="仿宋_GB2312" panose="02010609030101010101" pitchFamily="3" charset="-122"/>
                <a:ea typeface="仿宋_GB2312" panose="02010609030101010101" pitchFamily="3" charset="-122"/>
              </a:rPr>
              <a:t>1</a:t>
            </a:r>
            <a:r>
              <a:rPr lang="zh-CN" altLang="en-US" sz="1600" b="0">
                <a:latin typeface="仿宋_GB2312" panose="02010609030101010101" pitchFamily="3" charset="-122"/>
                <a:ea typeface="仿宋_GB2312" panose="02010609030101010101" pitchFamily="3" charset="-122"/>
              </a:rPr>
              <a:t>：</a:t>
            </a:r>
            <a:r>
              <a:rPr lang="en-US" altLang="zh-CN" sz="1600" b="0">
                <a:latin typeface="仿宋_GB2312" panose="02010609030101010101" pitchFamily="3" charset="-122"/>
                <a:ea typeface="仿宋_GB2312" panose="02010609030101010101" pitchFamily="3" charset="-122"/>
              </a:rPr>
              <a:t>2020</a:t>
            </a:r>
            <a:r>
              <a:rPr lang="zh-CN" altLang="en-US" sz="1600" b="0">
                <a:latin typeface="仿宋_GB2312" panose="02010609030101010101" pitchFamily="3" charset="-122"/>
                <a:ea typeface="仿宋_GB2312" panose="02010609030101010101" pitchFamily="3" charset="-122"/>
              </a:rPr>
              <a:t>年度收支总计与</a:t>
            </a:r>
            <a:r>
              <a:rPr lang="en-US" altLang="zh-CN" sz="1600" b="0">
                <a:latin typeface="仿宋_GB2312" panose="02010609030101010101" pitchFamily="3" charset="-122"/>
                <a:ea typeface="仿宋_GB2312" panose="02010609030101010101" pitchFamily="3" charset="-122"/>
              </a:rPr>
              <a:t>2019</a:t>
            </a:r>
            <a:r>
              <a:rPr lang="zh-CN" altLang="en-US" sz="1600" b="0">
                <a:latin typeface="仿宋_GB2312" panose="02010609030101010101" pitchFamily="3" charset="-122"/>
                <a:ea typeface="仿宋_GB2312" panose="02010609030101010101" pitchFamily="3" charset="-122"/>
              </a:rPr>
              <a:t>年度决算对比</a:t>
            </a:r>
            <a:endParaRPr lang="zh-CN" sz="1600" b="0">
              <a:latin typeface="仿宋_GB2312" panose="02010609030101010101" pitchFamily="3" charset="-122"/>
              <a:ea typeface="仿宋_GB2312" panose="02010609030101010101" pitchFamily="3" charset="-122"/>
            </a:endParaRPr>
          </a:p>
        </c:rich>
      </c:tx>
      <c:layout>
        <c:manualLayout>
          <c:xMode val="edge"/>
          <c:yMode val="edge"/>
          <c:x val="0.0833333333333333"/>
          <c:y val="0.823015873015875"/>
        </c:manualLayout>
      </c:layout>
      <c:overlay val="0"/>
    </c:title>
    <c:autoTitleDeleted val="0"/>
    <c:plotArea>
      <c:layout>
        <c:manualLayout>
          <c:layoutTarget val="inner"/>
          <c:xMode val="edge"/>
          <c:yMode val="edge"/>
          <c:x val="0.0877681175269758"/>
          <c:y val="0.0273909511311086"/>
          <c:w val="0.814397419072616"/>
          <c:h val="0.735122484689415"/>
        </c:manualLayout>
      </c:layout>
      <c:barChart>
        <c:barDir val="col"/>
        <c:grouping val="clustered"/>
        <c:varyColors val="0"/>
        <c:ser>
          <c:idx val="0"/>
          <c:order val="0"/>
          <c:tx>
            <c:strRef>
              <c:f>Sheet1!$B$2</c:f>
              <c:strCache>
                <c:ptCount val="1"/>
                <c:pt idx="0">
                  <c:v>列2</c:v>
                </c:pt>
              </c:strCache>
            </c:strRef>
          </c:tx>
          <c:invertIfNegative val="0"/>
          <c:dLbls>
            <c:dLbl>
              <c:idx val="0"/>
              <c:layout>
                <c:manualLayout>
                  <c:x val="0.0115740740740741"/>
                  <c:y val="-0.02777777777777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38888888888889"/>
                  <c:y val="-0.035714285714285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Sheet1!$A$3:$A$4</c:f>
              <c:numCache>
                <c:formatCode>General</c:formatCode>
                <c:ptCount val="2"/>
                <c:pt idx="0">
                  <c:v>2020</c:v>
                </c:pt>
                <c:pt idx="1">
                  <c:v>2019</c:v>
                </c:pt>
              </c:numCache>
            </c:numRef>
          </c:cat>
          <c:val>
            <c:numRef>
              <c:f>Sheet1!$B$3:$B$4</c:f>
              <c:numCache>
                <c:formatCode>General</c:formatCode>
                <c:ptCount val="2"/>
                <c:pt idx="0">
                  <c:v>40.22</c:v>
                </c:pt>
                <c:pt idx="1">
                  <c:v>63.29</c:v>
                </c:pt>
              </c:numCache>
            </c:numRef>
          </c:val>
        </c:ser>
        <c:ser>
          <c:idx val="1"/>
          <c:order val="1"/>
          <c:tx>
            <c:strRef>
              <c:f>Sheet1!$C$2</c:f>
              <c:strCache>
                <c:ptCount val="1"/>
                <c:pt idx="0">
                  <c:v>列3</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Sheet1!$A$3:$A$4</c:f>
              <c:numCache>
                <c:formatCode>General</c:formatCode>
                <c:ptCount val="2"/>
                <c:pt idx="0">
                  <c:v>2020</c:v>
                </c:pt>
                <c:pt idx="1">
                  <c:v>2019</c:v>
                </c:pt>
              </c:numCache>
            </c:numRef>
          </c:cat>
          <c:val>
            <c:numRef>
              <c:f>Sheet1!$C$3:$C$4</c:f>
              <c:numCache>
                <c:formatCode>General</c:formatCode>
                <c:ptCount val="2"/>
              </c:numCache>
            </c:numRef>
          </c:val>
        </c:ser>
        <c:dLbls>
          <c:showLegendKey val="0"/>
          <c:showVal val="1"/>
          <c:showCatName val="0"/>
          <c:showSerName val="0"/>
          <c:showPercent val="0"/>
          <c:showBubbleSize val="0"/>
        </c:dLbls>
        <c:gapWidth val="150"/>
        <c:axId val="108202624"/>
        <c:axId val="108254720"/>
      </c:barChart>
      <c:catAx>
        <c:axId val="108202624"/>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08254720"/>
        <c:crosses val="autoZero"/>
        <c:auto val="1"/>
        <c:lblAlgn val="ctr"/>
        <c:lblOffset val="100"/>
        <c:noMultiLvlLbl val="0"/>
      </c:catAx>
      <c:valAx>
        <c:axId val="108254720"/>
        <c:scaling>
          <c:orientation val="minMax"/>
        </c:scaling>
        <c:delete val="0"/>
        <c:axPos val="l"/>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08202624"/>
        <c:crosses val="autoZero"/>
        <c:crossBetween val="between"/>
      </c:valAx>
      <c:spPr>
        <a:noFill/>
        <a:ln w="25400">
          <a:noFill/>
        </a:ln>
        <a:effectLst/>
      </c:spPr>
    </c:plotArea>
    <c:plotVisOnly val="1"/>
    <c:dispBlanksAs val="gap"/>
    <c:showDLblsOverMax val="0"/>
  </c:chart>
  <c:spPr>
    <a:ln w="9525" cap="flat" cmpd="sng" algn="ctr">
      <a:no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0">
                <a:latin typeface="仿宋_GB2312" panose="02010609030101010101" pitchFamily="3" charset="-122"/>
                <a:ea typeface="仿宋_GB2312" panose="02010609030101010101" pitchFamily="3" charset="-122"/>
              </a:rPr>
              <a:t>图</a:t>
            </a:r>
            <a:r>
              <a:rPr lang="en-US" altLang="zh-CN" sz="1600" b="0">
                <a:latin typeface="仿宋_GB2312" panose="02010609030101010101" pitchFamily="3" charset="-122"/>
                <a:ea typeface="仿宋_GB2312" panose="02010609030101010101" pitchFamily="3" charset="-122"/>
              </a:rPr>
              <a:t>2</a:t>
            </a:r>
            <a:r>
              <a:rPr lang="zh-CN" altLang="en-US" sz="1600" b="0">
                <a:latin typeface="仿宋_GB2312" panose="02010609030101010101" pitchFamily="3" charset="-122"/>
                <a:ea typeface="仿宋_GB2312" panose="02010609030101010101" pitchFamily="3" charset="-122"/>
              </a:rPr>
              <a:t>：支出决算构成情况（按支出性质）</a:t>
            </a:r>
            <a:endParaRPr lang="zh-CN" altLang="en-US" sz="1600" b="0">
              <a:latin typeface="仿宋_GB2312" panose="02010609030101010101" pitchFamily="3" charset="-122"/>
              <a:ea typeface="仿宋_GB2312" panose="02010609030101010101" pitchFamily="3" charset="-122"/>
            </a:endParaRPr>
          </a:p>
        </c:rich>
      </c:tx>
      <c:layout>
        <c:manualLayout>
          <c:xMode val="edge"/>
          <c:yMode val="edge"/>
          <c:x val="0.105555555555556"/>
          <c:y val="0.79166666666666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3055555555556"/>
          <c:y val="0.108506853310003"/>
          <c:w val="0.813888888888891"/>
          <c:h val="0.652430737824439"/>
        </c:manualLayout>
      </c:layout>
      <c:pie3DChart>
        <c:varyColors val="1"/>
        <c:ser>
          <c:idx val="0"/>
          <c:order val="0"/>
          <c:explosion val="0"/>
          <c:dPt>
            <c:idx val="0"/>
            <c:bubble3D val="0"/>
          </c:dPt>
          <c:dPt>
            <c:idx val="1"/>
            <c:bubble3D val="0"/>
          </c:dPt>
          <c:dLbls>
            <c:dLbl>
              <c:idx val="0"/>
              <c:layout>
                <c:manualLayout>
                  <c:x val="-0.124818897637795"/>
                  <c:y val="0.12870880723243"/>
                </c:manualLayout>
              </c:layout>
              <c:tx>
                <c:rich>
                  <a:bodyPr rot="0" spcFirstLastPara="0" vertOverflow="ellipsis" vert="horz" wrap="square" lIns="38100" tIns="19050" rIns="38100" bIns="19050" anchor="ctr" anchorCtr="1"/>
                  <a:lstStyle/>
                  <a:p>
                    <a:pPr>
                      <a:defRPr lang="zh-CN" sz="1100" b="0" i="0" u="none" strike="noStrike" kern="1200" baseline="0">
                        <a:solidFill>
                          <a:schemeClr val="tx1"/>
                        </a:solidFill>
                        <a:latin typeface="仿宋_GB2312" panose="02010609030101010101" pitchFamily="3" charset="-122"/>
                        <a:ea typeface="仿宋_GB2312" panose="02010609030101010101" pitchFamily="3" charset="-122"/>
                        <a:cs typeface="+mn-cs"/>
                      </a:defRPr>
                    </a:pPr>
                    <a:r>
                      <a:rPr lang="zh-CN" altLang="en-US" sz="1100" baseline="0">
                        <a:latin typeface="仿宋_GB2312" panose="02010609030101010101" pitchFamily="3" charset="-122"/>
                        <a:ea typeface="仿宋_GB2312" panose="02010609030101010101" pitchFamily="3" charset="-122"/>
                      </a:rPr>
                      <a:t>项</a:t>
                    </a:r>
                    <a:r>
                      <a:rPr lang="zh-CN" altLang="en-US" sz="1100" baseline="0"/>
                      <a:t>目支出</a:t>
                    </a:r>
                    <a:r>
                      <a:rPr lang="en-US" altLang="zh-CN" sz="1100" baseline="0"/>
                      <a:t>12.90%</a:t>
                    </a:r>
                    <a:endParaRPr lang="en-US" altLang="zh-CN" sz="1100" baseline="0"/>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112704724409449"/>
                  <c:y val="-0.352796004666083"/>
                </c:manualLayout>
              </c:layout>
              <c:tx>
                <c:rich>
                  <a:bodyPr rot="0" spcFirstLastPara="0" vertOverflow="ellipsis" vert="horz" wrap="square" lIns="38100" tIns="19050" rIns="38100" bIns="19050" anchor="ctr" anchorCtr="1"/>
                  <a:lstStyle/>
                  <a:p>
                    <a:pPr>
                      <a:defRPr lang="zh-CN" sz="1100" b="0" i="0" u="none" strike="noStrike" kern="1200" baseline="0">
                        <a:solidFill>
                          <a:schemeClr val="tx1"/>
                        </a:solidFill>
                        <a:latin typeface="仿宋_GB2312" panose="02010609030101010101" pitchFamily="3" charset="-122"/>
                        <a:ea typeface="仿宋_GB2312" panose="02010609030101010101" pitchFamily="3" charset="-122"/>
                        <a:cs typeface="+mn-cs"/>
                      </a:defRPr>
                    </a:pPr>
                    <a:r>
                      <a:rPr lang="zh-CN" altLang="en-US" sz="1100" baseline="0">
                        <a:latin typeface="仿宋_GB2312" panose="02010609030101010101" pitchFamily="3" charset="-122"/>
                        <a:ea typeface="仿宋_GB2312" panose="02010609030101010101" pitchFamily="3" charset="-122"/>
                      </a:rPr>
                      <a:t>基</a:t>
                    </a:r>
                    <a:r>
                      <a:rPr lang="zh-CN" altLang="en-US" sz="1100" baseline="0"/>
                      <a:t>本支出</a:t>
                    </a:r>
                    <a:r>
                      <a:rPr lang="en-US" altLang="zh-CN" sz="1100" baseline="0"/>
                      <a:t> 87.10%</a:t>
                    </a:r>
                    <a:endParaRPr lang="zh-CN" altLang="en-US" sz="1100" baseline="0"/>
                  </a:p>
                </c:rich>
              </c:tx>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100" b="0" i="0" u="none" strike="noStrike" kern="1200" baseline="0">
                    <a:solidFill>
                      <a:schemeClr val="tx1"/>
                    </a:solidFill>
                    <a:latin typeface="仿宋_GB2312" panose="02010609030101010101" pitchFamily="3" charset="-122"/>
                    <a:ea typeface="仿宋_GB2312" panose="02010609030101010101" pitchFamily="3" charset="-122"/>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'新建 Microsoft Excel 97-2003 工作表'!$A$3:$A$4</c:f>
              <c:strCache>
                <c:ptCount val="2"/>
                <c:pt idx="0">
                  <c:v>项目支出</c:v>
                </c:pt>
                <c:pt idx="1">
                  <c:v>基本支出</c:v>
                </c:pt>
              </c:strCache>
            </c:strRef>
          </c:cat>
          <c:val>
            <c:numRef>
              <c:f>'新建 Microsoft Excel 97-2003 工作表'!$B$3:$B$4</c:f>
              <c:numCache>
                <c:formatCode>0.00%</c:formatCode>
                <c:ptCount val="2"/>
                <c:pt idx="0">
                  <c:v>0.129</c:v>
                </c:pt>
                <c:pt idx="1">
                  <c:v>0.871000000000002</c:v>
                </c:pt>
              </c:numCache>
            </c:numRef>
          </c:val>
        </c:ser>
        <c:dLbls>
          <c:showLegendKey val="0"/>
          <c:showVal val="1"/>
          <c:showCatName val="1"/>
          <c:showSerName val="0"/>
          <c:showPercent val="0"/>
          <c:showBubbleSize val="0"/>
        </c:dLbls>
      </c:pie3DChart>
    </c:plotArea>
    <c:plotVisOnly val="1"/>
    <c:dispBlanksAs val="gap"/>
    <c:showDLblsOverMax val="0"/>
  </c:chart>
  <c:spPr>
    <a:noFill/>
    <a:ln w="9525" cap="flat" cmpd="sng" algn="ctr">
      <a:no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0">
                <a:latin typeface="仿宋_GB2312" panose="02010609030101010101" pitchFamily="3" charset="-122"/>
                <a:ea typeface="仿宋_GB2312" panose="02010609030101010101" pitchFamily="3" charset="-122"/>
              </a:rPr>
              <a:t>图</a:t>
            </a:r>
            <a:r>
              <a:rPr lang="en-US" altLang="zh-CN" sz="1600" b="0">
                <a:latin typeface="仿宋_GB2312" panose="02010609030101010101" pitchFamily="3" charset="-122"/>
                <a:ea typeface="仿宋_GB2312" panose="02010609030101010101" pitchFamily="3" charset="-122"/>
              </a:rPr>
              <a:t>3</a:t>
            </a:r>
            <a:r>
              <a:rPr lang="zh-CN" altLang="en-US" sz="1600" b="0">
                <a:latin typeface="仿宋_GB2312" panose="02010609030101010101" pitchFamily="3" charset="-122"/>
                <a:ea typeface="仿宋_GB2312" panose="02010609030101010101" pitchFamily="3" charset="-122"/>
              </a:rPr>
              <a:t>：</a:t>
            </a:r>
            <a:r>
              <a:rPr lang="en-US" altLang="zh-CN" sz="1600" b="0">
                <a:latin typeface="仿宋_GB2312" panose="02010609030101010101" pitchFamily="3" charset="-122"/>
                <a:ea typeface="仿宋_GB2312" panose="02010609030101010101" pitchFamily="3" charset="-122"/>
              </a:rPr>
              <a:t>2020</a:t>
            </a:r>
            <a:r>
              <a:rPr lang="zh-CN" altLang="en-US" sz="1600" b="0">
                <a:latin typeface="仿宋_GB2312" panose="02010609030101010101" pitchFamily="3" charset="-122"/>
                <a:ea typeface="仿宋_GB2312" panose="02010609030101010101" pitchFamily="3" charset="-122"/>
              </a:rPr>
              <a:t>年度财政拨款收支与</a:t>
            </a:r>
            <a:r>
              <a:rPr lang="en-US" altLang="zh-CN" sz="1600" b="0">
                <a:latin typeface="仿宋_GB2312" panose="02010609030101010101" pitchFamily="3" charset="-122"/>
                <a:ea typeface="仿宋_GB2312" panose="02010609030101010101" pitchFamily="3" charset="-122"/>
              </a:rPr>
              <a:t>2019</a:t>
            </a:r>
            <a:r>
              <a:rPr lang="zh-CN" altLang="en-US" sz="1600" b="0">
                <a:latin typeface="仿宋_GB2312" panose="02010609030101010101" pitchFamily="3" charset="-122"/>
                <a:ea typeface="仿宋_GB2312" panose="02010609030101010101" pitchFamily="3" charset="-122"/>
              </a:rPr>
              <a:t>年度决算对比</a:t>
            </a:r>
            <a:endParaRPr lang="zh-CN" sz="1600" b="0">
              <a:latin typeface="仿宋_GB2312" panose="02010609030101010101" pitchFamily="3" charset="-122"/>
              <a:ea typeface="仿宋_GB2312" panose="02010609030101010101" pitchFamily="3" charset="-122"/>
            </a:endParaRPr>
          </a:p>
        </c:rich>
      </c:tx>
      <c:layout>
        <c:manualLayout>
          <c:xMode val="edge"/>
          <c:yMode val="edge"/>
          <c:x val="0.0833333333333333"/>
          <c:y val="0.823015873015875"/>
        </c:manualLayout>
      </c:layout>
      <c:overlay val="0"/>
    </c:title>
    <c:autoTitleDeleted val="0"/>
    <c:plotArea>
      <c:layout>
        <c:manualLayout>
          <c:layoutTarget val="inner"/>
          <c:xMode val="edge"/>
          <c:yMode val="edge"/>
          <c:x val="0.0877681175269758"/>
          <c:y val="0.0273909511311086"/>
          <c:w val="0.814397419072616"/>
          <c:h val="0.735122484689415"/>
        </c:manualLayout>
      </c:layout>
      <c:barChart>
        <c:barDir val="col"/>
        <c:grouping val="clustered"/>
        <c:varyColors val="0"/>
        <c:ser>
          <c:idx val="0"/>
          <c:order val="0"/>
          <c:tx>
            <c:strRef>
              <c:f>Sheet1!$B$1</c:f>
              <c:strCache>
                <c:ptCount val="1"/>
                <c:pt idx="0">
                  <c:v>2020</c:v>
                </c:pt>
              </c:strCache>
            </c:strRef>
          </c:tx>
          <c:invertIfNegative val="0"/>
          <c:dLbls>
            <c:dLbl>
              <c:idx val="0"/>
              <c:layout>
                <c:manualLayout>
                  <c:x val="0.0115740740740741"/>
                  <c:y val="-0.02777777777777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38888888888889"/>
                  <c:y val="-0.035714285714285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Sheet1!$B$2:$B$3</c:f>
              <c:numCache>
                <c:formatCode>General</c:formatCode>
                <c:ptCount val="2"/>
                <c:pt idx="0">
                  <c:v>40.22</c:v>
                </c:pt>
                <c:pt idx="1">
                  <c:v>40.22</c:v>
                </c:pt>
              </c:numCache>
            </c:numRef>
          </c:val>
        </c:ser>
        <c:ser>
          <c:idx val="1"/>
          <c:order val="1"/>
          <c:tx>
            <c:strRef>
              <c:f>Sheet1!$C$1</c:f>
              <c:strCache>
                <c:ptCount val="1"/>
                <c:pt idx="0">
                  <c:v>2019</c:v>
                </c:pt>
              </c:strCache>
            </c:strRef>
          </c:tx>
          <c:invertIfNegative val="0"/>
          <c:dLbls>
            <c:dLbl>
              <c:idx val="0"/>
              <c:layout>
                <c:manualLayout>
                  <c:x val="0.013888888888889"/>
                  <c:y val="-0.02777777777777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85185185185185"/>
                  <c:y val="-0.023809523809523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Sheet1!$C$2:$C$3</c:f>
              <c:numCache>
                <c:formatCode>General</c:formatCode>
                <c:ptCount val="2"/>
                <c:pt idx="0">
                  <c:v>63.29</c:v>
                </c:pt>
                <c:pt idx="1">
                  <c:v>63.29</c:v>
                </c:pt>
              </c:numCache>
            </c:numRef>
          </c:val>
        </c:ser>
        <c:dLbls>
          <c:showLegendKey val="0"/>
          <c:showVal val="1"/>
          <c:showCatName val="0"/>
          <c:showSerName val="0"/>
          <c:showPercent val="0"/>
          <c:showBubbleSize val="0"/>
        </c:dLbls>
        <c:gapWidth val="150"/>
        <c:axId val="196067328"/>
        <c:axId val="196068864"/>
      </c:barChart>
      <c:catAx>
        <c:axId val="19606732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6068864"/>
        <c:crosses val="autoZero"/>
        <c:auto val="1"/>
        <c:lblAlgn val="ctr"/>
        <c:lblOffset val="100"/>
        <c:noMultiLvlLbl val="0"/>
      </c:catAx>
      <c:valAx>
        <c:axId val="196068864"/>
        <c:scaling>
          <c:orientation val="minMax"/>
        </c:scaling>
        <c:delete val="0"/>
        <c:axPos val="l"/>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6067328"/>
        <c:crosses val="autoZero"/>
        <c:crossBetween val="between"/>
      </c:valAx>
      <c:spPr>
        <a:noFill/>
        <a:ln w="25400">
          <a:noFill/>
        </a:ln>
        <a:effectLst/>
      </c:spPr>
    </c:plotArea>
    <c:legend>
      <c:legendPos val="r"/>
      <c:layout>
        <c:manualLayout>
          <c:xMode val="edge"/>
          <c:yMode val="edge"/>
          <c:x val="0.899850721784777"/>
          <c:y val="0.385782089738783"/>
          <c:w val="0.0862603893263342"/>
          <c:h val="0.143515185601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no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600" b="0">
                <a:latin typeface="仿宋_GB2312" panose="02010609030101010101" pitchFamily="3" charset="-122"/>
                <a:ea typeface="仿宋_GB2312" panose="02010609030101010101" pitchFamily="3" charset="-122"/>
              </a:rPr>
              <a:t>图</a:t>
            </a:r>
            <a:r>
              <a:rPr lang="en-US" altLang="zh-CN" sz="1600" b="0">
                <a:latin typeface="仿宋_GB2312" panose="02010609030101010101" pitchFamily="3" charset="-122"/>
                <a:ea typeface="仿宋_GB2312" panose="02010609030101010101" pitchFamily="3" charset="-122"/>
              </a:rPr>
              <a:t>4</a:t>
            </a:r>
            <a:r>
              <a:rPr lang="zh-CN" altLang="en-US" sz="1600" b="0">
                <a:latin typeface="仿宋_GB2312" panose="02010609030101010101" pitchFamily="3" charset="-122"/>
                <a:ea typeface="仿宋_GB2312" panose="02010609030101010101" pitchFamily="3" charset="-122"/>
              </a:rPr>
              <a:t>：</a:t>
            </a:r>
            <a:r>
              <a:rPr lang="en-US" altLang="zh-CN" sz="1600" b="0">
                <a:latin typeface="仿宋_GB2312" panose="02010609030101010101" pitchFamily="3" charset="-122"/>
                <a:ea typeface="仿宋_GB2312" panose="02010609030101010101" pitchFamily="3" charset="-122"/>
              </a:rPr>
              <a:t>2020</a:t>
            </a:r>
            <a:r>
              <a:rPr lang="zh-CN" altLang="en-US" sz="1600" b="0">
                <a:latin typeface="仿宋_GB2312" panose="02010609030101010101" pitchFamily="3" charset="-122"/>
                <a:ea typeface="仿宋_GB2312" panose="02010609030101010101" pitchFamily="3" charset="-122"/>
              </a:rPr>
              <a:t>年度财政拨款收支与年初预算数对比</a:t>
            </a:r>
            <a:endParaRPr lang="zh-CN" sz="1600" b="0">
              <a:latin typeface="仿宋_GB2312" panose="02010609030101010101" pitchFamily="3" charset="-122"/>
              <a:ea typeface="仿宋_GB2312" panose="02010609030101010101" pitchFamily="3" charset="-122"/>
            </a:endParaRPr>
          </a:p>
        </c:rich>
      </c:tx>
      <c:layout>
        <c:manualLayout>
          <c:xMode val="edge"/>
          <c:yMode val="edge"/>
          <c:x val="0.159722222222223"/>
          <c:y val="0.86904761904762"/>
        </c:manualLayout>
      </c:layout>
      <c:overlay val="0"/>
    </c:title>
    <c:autoTitleDeleted val="0"/>
    <c:plotArea>
      <c:layout>
        <c:manualLayout>
          <c:layoutTarget val="inner"/>
          <c:xMode val="edge"/>
          <c:yMode val="edge"/>
          <c:x val="0.0877681175269758"/>
          <c:y val="0.0551687289088865"/>
          <c:w val="0.814397419072616"/>
          <c:h val="0.735122484689415"/>
        </c:manualLayout>
      </c:layout>
      <c:barChart>
        <c:barDir val="col"/>
        <c:grouping val="clustered"/>
        <c:varyColors val="0"/>
        <c:ser>
          <c:idx val="0"/>
          <c:order val="0"/>
          <c:tx>
            <c:strRef>
              <c:f>Sheet1!$B$1</c:f>
              <c:strCache>
                <c:ptCount val="1"/>
                <c:pt idx="0">
                  <c:v>决算数</c:v>
                </c:pt>
              </c:strCache>
            </c:strRef>
          </c:tx>
          <c:invertIfNegative val="0"/>
          <c:dLbls>
            <c:dLbl>
              <c:idx val="0"/>
              <c:layout>
                <c:manualLayout>
                  <c:x val="0.0115740740740741"/>
                  <c:y val="-0.02777777777777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38888888888889"/>
                  <c:y val="-0.035714285714285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Sheet1!$B$2:$B$3</c:f>
              <c:numCache>
                <c:formatCode>General</c:formatCode>
                <c:ptCount val="2"/>
                <c:pt idx="0">
                  <c:v>40.22</c:v>
                </c:pt>
                <c:pt idx="1">
                  <c:v>40.22</c:v>
                </c:pt>
              </c:numCache>
            </c:numRef>
          </c:val>
        </c:ser>
        <c:ser>
          <c:idx val="1"/>
          <c:order val="1"/>
          <c:tx>
            <c:strRef>
              <c:f>Sheet1!$C$1</c:f>
              <c:strCache>
                <c:ptCount val="1"/>
                <c:pt idx="0">
                  <c:v>年初预算数</c:v>
                </c:pt>
              </c:strCache>
            </c:strRef>
          </c:tx>
          <c:invertIfNegative val="0"/>
          <c:dLbls>
            <c:dLbl>
              <c:idx val="0"/>
              <c:layout>
                <c:manualLayout>
                  <c:x val="0.013888888888889"/>
                  <c:y val="-0.027777777777777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85185185185185"/>
                  <c:y val="-0.023809523809523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Sheet1!$A$2:$A$3</c:f>
              <c:strCache>
                <c:ptCount val="2"/>
                <c:pt idx="0">
                  <c:v>收入</c:v>
                </c:pt>
                <c:pt idx="1">
                  <c:v>支出</c:v>
                </c:pt>
              </c:strCache>
            </c:strRef>
          </c:cat>
          <c:val>
            <c:numRef>
              <c:f>Sheet1!$C$2:$C$3</c:f>
              <c:numCache>
                <c:formatCode>General</c:formatCode>
                <c:ptCount val="2"/>
                <c:pt idx="0">
                  <c:v>41.75</c:v>
                </c:pt>
                <c:pt idx="1">
                  <c:v>41.75</c:v>
                </c:pt>
              </c:numCache>
            </c:numRef>
          </c:val>
        </c:ser>
        <c:dLbls>
          <c:showLegendKey val="0"/>
          <c:showVal val="1"/>
          <c:showCatName val="0"/>
          <c:showSerName val="0"/>
          <c:showPercent val="0"/>
          <c:showBubbleSize val="0"/>
        </c:dLbls>
        <c:gapWidth val="150"/>
        <c:axId val="153545728"/>
        <c:axId val="191697664"/>
      </c:barChart>
      <c:catAx>
        <c:axId val="15354572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697664"/>
        <c:crosses val="autoZero"/>
        <c:auto val="1"/>
        <c:lblAlgn val="ctr"/>
        <c:lblOffset val="100"/>
        <c:noMultiLvlLbl val="0"/>
      </c:catAx>
      <c:valAx>
        <c:axId val="191697664"/>
        <c:scaling>
          <c:orientation val="minMax"/>
        </c:scaling>
        <c:delete val="0"/>
        <c:axPos val="l"/>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53545728"/>
        <c:crosses val="autoZero"/>
        <c:crossBetween val="between"/>
      </c:valAx>
      <c:spPr>
        <a:noFill/>
        <a:ln w="25400">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8"/>
    <customShpInfo spid="_x0000_s1029"/>
    <customShpInfo spid="_x0000_s1030"/>
    <customShpInfo spid="_x0000_s1041"/>
    <customShpInfo spid="_x0000_s1042"/>
    <customShpInfo spid="_x0000_s104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22</Pages>
  <Words>4475</Words>
  <Characters>4791</Characters>
  <Lines>34</Lines>
  <Paragraphs>9</Paragraphs>
  <TotalTime>6</TotalTime>
  <ScaleCrop>false</ScaleCrop>
  <LinksUpToDate>false</LinksUpToDate>
  <CharactersWithSpaces>4813</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2021-09-15T02:30:00Z</dcterms:created>
  <dc:creator>王明新TIAD</dc:creator>
  <cp:lastModifiedBy>Administrator</cp:lastModifiedBy>
  <cp:lastPrinted>2021-08-26T06:52:00Z</cp:lastPrinted>
  <dcterms:modified xsi:type="dcterms:W3CDTF">2022-08-30T01:51:21Z</dcterms:modified>
  <dc:title>user</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DA48162D9F9F4B7A98E398C1CA0A9A09</vt:lpwstr>
  </property>
</Properties>
</file>