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
          <w:bCs w:val="0"/>
          <w:color w:val="auto"/>
          <w:sz w:val="44"/>
          <w:szCs w:val="44"/>
          <w:lang w:val="en-US" w:eastAsia="zh-CN"/>
        </w:rPr>
      </w:pPr>
      <w:r>
        <w:rPr>
          <w:rFonts w:hint="eastAsia" w:ascii="方正小标宋_GBK" w:hAnsi="Times New Roman" w:eastAsia="方正小标宋_GBK" w:cs="Times New Roman"/>
          <w:b/>
          <w:bCs w:val="0"/>
          <w:color w:val="auto"/>
          <w:sz w:val="44"/>
          <w:szCs w:val="44"/>
          <w:lang w:val="en-US" w:eastAsia="zh-CN"/>
        </w:rPr>
        <w:t>石家庄市藁城区南董镇人民政府</w:t>
      </w:r>
    </w:p>
    <w:p>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
          <w:bCs w:val="0"/>
          <w:color w:val="auto"/>
          <w:sz w:val="44"/>
          <w:szCs w:val="44"/>
          <w:lang w:val="en-US" w:eastAsia="zh-CN"/>
        </w:rPr>
      </w:pPr>
      <w:r>
        <w:rPr>
          <w:rFonts w:hint="eastAsia" w:ascii="方正小标宋_GBK" w:hAnsi="Times New Roman" w:eastAsia="方正小标宋_GBK" w:cs="Times New Roman"/>
          <w:b/>
          <w:bCs w:val="0"/>
          <w:color w:val="auto"/>
          <w:sz w:val="44"/>
          <w:szCs w:val="44"/>
          <w:lang w:val="en-US" w:eastAsia="zh-CN"/>
        </w:rPr>
        <w:t>2021年部门预算信息公开情况说明</w:t>
      </w:r>
    </w:p>
    <w:p>
      <w:pPr>
        <w:keepNext w:val="0"/>
        <w:keepLines w:val="0"/>
        <w:pageBreakBefore w:val="0"/>
        <w:kinsoku/>
        <w:wordWrap/>
        <w:overflowPunct/>
        <w:topLinePunct w:val="0"/>
        <w:bidi w:val="0"/>
        <w:adjustRightInd w:val="0"/>
        <w:snapToGrid w:val="0"/>
        <w:spacing w:line="500" w:lineRule="exact"/>
        <w:jc w:val="center"/>
        <w:textAlignment w:val="auto"/>
        <w:rPr>
          <w:rFonts w:hint="eastAsia" w:ascii="方正小标宋_GBK" w:hAnsi="Times New Roman" w:eastAsia="方正小标宋_GBK" w:cs="Times New Roman"/>
          <w:bCs/>
          <w:sz w:val="44"/>
          <w:szCs w:val="44"/>
        </w:rPr>
      </w:pP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按照《预算法》、《地方预决算公开操作规程》和《河北省省级预算公开办法》规定，现将石家庄市藁城区</w:t>
      </w:r>
      <w:r>
        <w:rPr>
          <w:rFonts w:hint="eastAsia" w:ascii="仿宋" w:hAnsi="仿宋" w:eastAsia="仿宋" w:cs="仿宋"/>
          <w:color w:val="auto"/>
          <w:sz w:val="32"/>
          <w:szCs w:val="32"/>
          <w:lang w:val="en-US" w:eastAsia="zh-CN"/>
        </w:rPr>
        <w:t>南董</w:t>
      </w:r>
      <w:r>
        <w:rPr>
          <w:rFonts w:hint="eastAsia" w:ascii="仿宋" w:hAnsi="仿宋" w:eastAsia="仿宋" w:cs="仿宋"/>
          <w:color w:val="auto"/>
          <w:sz w:val="32"/>
          <w:szCs w:val="32"/>
        </w:rPr>
        <w:t>镇人民政府202</w:t>
      </w:r>
      <w:r>
        <w:rPr>
          <w:rFonts w:hint="eastAsia" w:ascii="仿宋" w:hAnsi="仿宋" w:eastAsia="仿宋" w:cs="仿宋"/>
          <w:color w:val="auto"/>
          <w:sz w:val="32"/>
          <w:szCs w:val="32"/>
          <w:lang w:val="en-US" w:eastAsia="zh-CN"/>
        </w:rPr>
        <w:t>1</w:t>
      </w:r>
      <w:r>
        <w:rPr>
          <w:rFonts w:hint="eastAsia" w:ascii="仿宋" w:hAnsi="仿宋" w:eastAsia="仿宋" w:cs="仿宋"/>
          <w:color w:val="auto"/>
          <w:sz w:val="32"/>
          <w:szCs w:val="32"/>
        </w:rPr>
        <w:t>年部门预算公开如下：</w:t>
      </w:r>
    </w:p>
    <w:p>
      <w:pPr>
        <w:keepNext w:val="0"/>
        <w:keepLines w:val="0"/>
        <w:pageBreakBefore w:val="0"/>
        <w:kinsoku/>
        <w:wordWrap/>
        <w:overflowPunct/>
        <w:topLinePunct w:val="0"/>
        <w:bidi w:val="0"/>
        <w:spacing w:line="500" w:lineRule="exact"/>
        <w:ind w:firstLine="640"/>
        <w:textAlignment w:val="auto"/>
        <w:rPr>
          <w:rFonts w:hint="default" w:ascii="黑体" w:hAnsi="黑体" w:eastAsia="黑体" w:cs="Times New Roman"/>
          <w:color w:val="auto"/>
          <w:sz w:val="32"/>
          <w:szCs w:val="32"/>
          <w:lang w:val="en-US" w:eastAsia="zh-CN"/>
        </w:rPr>
      </w:pPr>
      <w:r>
        <w:rPr>
          <w:rFonts w:hint="eastAsia" w:ascii="黑体" w:hAnsi="黑体" w:eastAsia="黑体" w:cs="Times New Roman"/>
          <w:color w:val="auto"/>
          <w:sz w:val="32"/>
          <w:szCs w:val="32"/>
        </w:rPr>
        <w:t>一、部门职责及机构设置情况</w:t>
      </w:r>
    </w:p>
    <w:p>
      <w:pPr>
        <w:keepNext w:val="0"/>
        <w:keepLines w:val="0"/>
        <w:pageBreakBefore w:val="0"/>
        <w:kinsoku/>
        <w:wordWrap/>
        <w:overflowPunct/>
        <w:topLinePunct w:val="0"/>
        <w:bidi w:val="0"/>
        <w:spacing w:line="500" w:lineRule="exact"/>
        <w:ind w:firstLine="643" w:firstLineChars="200"/>
        <w:textAlignment w:val="auto"/>
        <w:rPr>
          <w:rFonts w:ascii="仿宋" w:hAnsi="仿宋" w:eastAsia="仿宋" w:cs="Times New Roman"/>
          <w:b/>
          <w:color w:val="auto"/>
          <w:sz w:val="32"/>
          <w:szCs w:val="32"/>
        </w:rPr>
      </w:pPr>
      <w:r>
        <w:rPr>
          <w:rFonts w:hint="eastAsia" w:ascii="仿宋" w:hAnsi="仿宋" w:eastAsia="仿宋" w:cs="Times New Roman"/>
          <w:b/>
          <w:color w:val="auto"/>
          <w:sz w:val="32"/>
          <w:szCs w:val="32"/>
        </w:rPr>
        <w:t>部门</w:t>
      </w:r>
      <w:r>
        <w:rPr>
          <w:rFonts w:ascii="仿宋" w:hAnsi="仿宋" w:eastAsia="仿宋" w:cs="Times New Roman"/>
          <w:b/>
          <w:color w:val="auto"/>
          <w:sz w:val="32"/>
          <w:szCs w:val="32"/>
        </w:rPr>
        <w:t>职责：</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（1）党务、政务管理</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处理机关日常工作的协调和督促检查；负责机关文电、值班、会务、机要、保密、档案、党务政务公开、对外联络、后勤保障等日常运转工作；负责机关和所属单位财务及国有资产管理等工作。</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（2）党建工作</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加强镇党委自身建设和村（社区）党组织建设，以及其他隶属镇党委的党组织建设，抓好发展党员工作，加强党员队伍建设。维护和执行党的纪律，监督党员干部和其他任何工作人员严格遵守国家法律法规。</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（3）社会治理和应急管理</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做好应急管理工作，落实应急管理责任；做好基层治理综合指挥工作；做好基层网格化管理工作；做好社会治安综合治理工作，做好司法、宗教工作，打击邪教；做好群众 来信来访、搞好农村矛盾纠纷排查调处；妥善处理突发性、群体性事件，维护社会稳定；打击各类犯罪活动。</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（4）自然资源和生态环境保护</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承担自然资源保护和治理环境污染。依法保护和监管自然资源，改善人居环境，治理大气、水、土地等污染。</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（5）综合行政执法</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做好城乡建设、生态环境、文化市场、农业农村、安全生产、民族宗教等领域行政执法工作。</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（6）行政综合服务</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做好行政审批服务事项的受理、办理工作，提供政策和业务咨询；指导村便民服务站点建设。负责镇财政预算管理与执行，负责镇机关收支活动，组织实施镇财务核算及监督工作。</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（7）退役军人服务管理</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宣传贯彻退役军人法律法规，做好退役军人就业、创业扶持、拥军优属、优抚帮扶、走访慰问、信访接待、权益保障等工作；配合武装部做好征兵、民兵、预备役、国防教育相关工作。</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（8）农业综合服务</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承担经济发展和民生改善承担经济发展和民生改善；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（9）社会救助政策及管理</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承担社会救助体系建设，负责农村居民最低生活保障、五保供养、医疗救助。</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（10）村财镇管、涉农资金</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负责村级财务核算及监督工作，负责涉农资金的落实，负责管理镇国有资产，实施债权债务监督管理。</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（11）文教卫生</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color w:val="auto"/>
          <w:sz w:val="32"/>
          <w:szCs w:val="32"/>
        </w:rPr>
      </w:pPr>
      <w:r>
        <w:rPr>
          <w:rFonts w:hint="eastAsia" w:ascii="仿宋" w:hAnsi="仿宋" w:eastAsia="仿宋" w:cs="仿宋"/>
          <w:color w:val="auto"/>
          <w:sz w:val="32"/>
          <w:szCs w:val="32"/>
        </w:rPr>
        <w:t>配合教育、科技、文体、卫生等部门搞好义务教育，普及推广科学技术，丰富农村文化生活，开展全民健身运动，推行和完善新型合作医疗制度，提高参保率，加强农村食品安全监管。</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rPr>
          <w:rFonts w:ascii="宋体" w:hAnsi="宋体" w:eastAsia="宋体"/>
          <w:sz w:val="32"/>
        </w:rPr>
      </w:pPr>
    </w:p>
    <w:p>
      <w:pPr>
        <w:keepNext w:val="0"/>
        <w:keepLines w:val="0"/>
        <w:pageBreakBefore w:val="0"/>
        <w:kinsoku/>
        <w:wordWrap/>
        <w:overflowPunct/>
        <w:topLinePunct w:val="0"/>
        <w:bidi w:val="0"/>
        <w:spacing w:line="500" w:lineRule="exact"/>
        <w:jc w:val="left"/>
        <w:textAlignment w:val="auto"/>
        <w:rPr>
          <w:rFonts w:hint="eastAsia" w:ascii="仿宋" w:hAnsi="仿宋" w:eastAsia="仿宋" w:cs="仿宋"/>
          <w:b/>
          <w:bCs/>
          <w:color w:val="auto"/>
          <w:sz w:val="32"/>
          <w:szCs w:val="32"/>
        </w:rPr>
      </w:pPr>
      <w:r>
        <w:rPr>
          <w:rFonts w:hint="eastAsia" w:ascii="仿宋" w:hAnsi="仿宋" w:eastAsia="仿宋" w:cs="仿宋"/>
          <w:b/>
          <w:bCs/>
          <w:color w:val="auto"/>
          <w:sz w:val="32"/>
          <w:szCs w:val="32"/>
        </w:rPr>
        <w:t>机构设置</w:t>
      </w:r>
    </w:p>
    <w:p>
      <w:pPr>
        <w:keepNext w:val="0"/>
        <w:keepLines w:val="0"/>
        <w:pageBreakBefore w:val="0"/>
        <w:kinsoku/>
        <w:wordWrap/>
        <w:overflowPunct/>
        <w:topLinePunct w:val="0"/>
        <w:bidi w:val="0"/>
        <w:spacing w:line="500" w:lineRule="exact"/>
        <w:jc w:val="center"/>
        <w:textAlignment w:val="auto"/>
        <w:outlineLvl w:val="0"/>
        <w:rPr>
          <w:rFonts w:hint="eastAsia" w:ascii="Times New Roman" w:hAnsi="Times New Roman" w:eastAsia="方正小标宋_GBK" w:cs="Times New Roman"/>
          <w:color w:val="auto"/>
          <w:sz w:val="32"/>
          <w:szCs w:val="24"/>
        </w:rPr>
      </w:pPr>
      <w:r>
        <w:rPr>
          <w:rFonts w:hint="eastAsia" w:ascii="Times New Roman" w:hAnsi="Times New Roman" w:eastAsia="方正小标宋_GBK" w:cs="Times New Roman"/>
          <w:color w:val="auto"/>
          <w:sz w:val="32"/>
          <w:szCs w:val="24"/>
        </w:rPr>
        <w:t>部门机构设置情况</w:t>
      </w:r>
    </w:p>
    <w:tbl>
      <w:tblPr>
        <w:tblStyle w:val="4"/>
        <w:tblW w:w="96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24"/>
        <w:gridCol w:w="1303"/>
        <w:gridCol w:w="1248"/>
        <w:gridCol w:w="272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83" w:hRule="atLeast"/>
          <w:tblHeader/>
          <w:jc w:val="center"/>
        </w:trPr>
        <w:tc>
          <w:tcPr>
            <w:tcW w:w="4424" w:type="dxa"/>
            <w:noWrap w:val="0"/>
            <w:vAlign w:val="center"/>
          </w:tcPr>
          <w:p>
            <w:pPr>
              <w:keepNext w:val="0"/>
              <w:keepLines w:val="0"/>
              <w:pageBreakBefore w:val="0"/>
              <w:kinsoku/>
              <w:wordWrap/>
              <w:overflowPunct/>
              <w:topLinePunct w:val="0"/>
              <w:bidi w:val="0"/>
              <w:spacing w:line="500" w:lineRule="exact"/>
              <w:jc w:val="center"/>
              <w:textAlignment w:val="auto"/>
              <w:rPr>
                <w:rFonts w:ascii="黑体" w:hAnsi="黑体" w:eastAsia="黑体"/>
                <w:b/>
                <w:color w:val="auto"/>
                <w:sz w:val="24"/>
              </w:rPr>
            </w:pPr>
            <w:r>
              <w:rPr>
                <w:rFonts w:hint="eastAsia" w:ascii="黑体" w:hAnsi="黑体" w:eastAsia="黑体"/>
                <w:b/>
                <w:color w:val="auto"/>
                <w:sz w:val="24"/>
              </w:rPr>
              <w:t>单位名称</w:t>
            </w:r>
          </w:p>
        </w:tc>
        <w:tc>
          <w:tcPr>
            <w:tcW w:w="1303" w:type="dxa"/>
            <w:noWrap w:val="0"/>
            <w:vAlign w:val="center"/>
          </w:tcPr>
          <w:p>
            <w:pPr>
              <w:keepNext w:val="0"/>
              <w:keepLines w:val="0"/>
              <w:pageBreakBefore w:val="0"/>
              <w:kinsoku/>
              <w:wordWrap/>
              <w:overflowPunct/>
              <w:topLinePunct w:val="0"/>
              <w:bidi w:val="0"/>
              <w:spacing w:line="500" w:lineRule="exact"/>
              <w:jc w:val="center"/>
              <w:textAlignment w:val="auto"/>
              <w:rPr>
                <w:rFonts w:ascii="黑体" w:hAnsi="黑体" w:eastAsia="黑体"/>
                <w:b/>
                <w:color w:val="auto"/>
                <w:sz w:val="24"/>
              </w:rPr>
            </w:pPr>
            <w:r>
              <w:rPr>
                <w:rFonts w:hint="eastAsia" w:ascii="黑体" w:hAnsi="黑体" w:eastAsia="黑体"/>
                <w:b/>
                <w:color w:val="auto"/>
                <w:sz w:val="24"/>
              </w:rPr>
              <w:t>单位性质</w:t>
            </w:r>
          </w:p>
        </w:tc>
        <w:tc>
          <w:tcPr>
            <w:tcW w:w="1248" w:type="dxa"/>
            <w:noWrap w:val="0"/>
            <w:vAlign w:val="center"/>
          </w:tcPr>
          <w:p>
            <w:pPr>
              <w:keepNext w:val="0"/>
              <w:keepLines w:val="0"/>
              <w:pageBreakBefore w:val="0"/>
              <w:kinsoku/>
              <w:wordWrap/>
              <w:overflowPunct/>
              <w:topLinePunct w:val="0"/>
              <w:bidi w:val="0"/>
              <w:spacing w:line="500" w:lineRule="exact"/>
              <w:jc w:val="center"/>
              <w:textAlignment w:val="auto"/>
              <w:rPr>
                <w:rFonts w:ascii="黑体" w:hAnsi="黑体" w:eastAsia="黑体"/>
                <w:b/>
                <w:color w:val="auto"/>
                <w:sz w:val="24"/>
              </w:rPr>
            </w:pPr>
            <w:r>
              <w:rPr>
                <w:rFonts w:hint="eastAsia" w:ascii="黑体" w:hAnsi="黑体" w:eastAsia="黑体"/>
                <w:b/>
                <w:color w:val="auto"/>
                <w:sz w:val="24"/>
              </w:rPr>
              <w:t>单位规格</w:t>
            </w:r>
          </w:p>
        </w:tc>
        <w:tc>
          <w:tcPr>
            <w:tcW w:w="2721" w:type="dxa"/>
            <w:noWrap w:val="0"/>
            <w:vAlign w:val="center"/>
          </w:tcPr>
          <w:p>
            <w:pPr>
              <w:keepNext w:val="0"/>
              <w:keepLines w:val="0"/>
              <w:pageBreakBefore w:val="0"/>
              <w:kinsoku/>
              <w:wordWrap/>
              <w:overflowPunct/>
              <w:topLinePunct w:val="0"/>
              <w:bidi w:val="0"/>
              <w:spacing w:line="500" w:lineRule="exact"/>
              <w:jc w:val="center"/>
              <w:textAlignment w:val="auto"/>
              <w:rPr>
                <w:rFonts w:ascii="黑体" w:hAnsi="黑体" w:eastAsia="黑体"/>
                <w:b/>
                <w:color w:val="auto"/>
                <w:sz w:val="24"/>
              </w:rPr>
            </w:pPr>
            <w:r>
              <w:rPr>
                <w:rFonts w:hint="eastAsia" w:ascii="黑体" w:hAnsi="黑体" w:eastAsia="黑体"/>
                <w:b/>
                <w:color w:val="auto"/>
                <w:sz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7" w:hRule="atLeast"/>
          <w:jc w:val="center"/>
        </w:trPr>
        <w:tc>
          <w:tcPr>
            <w:tcW w:w="4424" w:type="dxa"/>
            <w:noWrap w:val="0"/>
            <w:vAlign w:val="center"/>
          </w:tcPr>
          <w:p>
            <w:pPr>
              <w:keepNext w:val="0"/>
              <w:keepLines w:val="0"/>
              <w:pageBreakBefore w:val="0"/>
              <w:kinsoku/>
              <w:wordWrap/>
              <w:overflowPunct/>
              <w:topLinePunct w:val="0"/>
              <w:bidi w:val="0"/>
              <w:spacing w:line="500" w:lineRule="exact"/>
              <w:jc w:val="both"/>
              <w:textAlignment w:val="auto"/>
              <w:rPr>
                <w:rFonts w:hint="eastAsia" w:ascii="仿宋" w:hAnsi="仿宋" w:eastAsia="仿宋" w:cs="仿宋"/>
                <w:color w:val="auto"/>
                <w:sz w:val="24"/>
              </w:rPr>
            </w:pPr>
            <w:r>
              <w:rPr>
                <w:rFonts w:hint="eastAsia" w:ascii="仿宋" w:hAnsi="仿宋" w:eastAsia="仿宋" w:cs="仿宋"/>
                <w:color w:val="auto"/>
                <w:sz w:val="24"/>
              </w:rPr>
              <w:t>石家庄市藁城区</w:t>
            </w:r>
            <w:r>
              <w:rPr>
                <w:rFonts w:hint="eastAsia" w:ascii="仿宋" w:hAnsi="仿宋" w:eastAsia="仿宋" w:cs="仿宋"/>
                <w:color w:val="auto"/>
                <w:sz w:val="24"/>
                <w:lang w:eastAsia="zh-CN"/>
              </w:rPr>
              <w:t>南董</w:t>
            </w:r>
            <w:r>
              <w:rPr>
                <w:rFonts w:hint="eastAsia" w:ascii="仿宋" w:hAnsi="仿宋" w:eastAsia="仿宋" w:cs="仿宋"/>
                <w:color w:val="auto"/>
                <w:sz w:val="24"/>
              </w:rPr>
              <w:t>镇人民政府</w:t>
            </w:r>
          </w:p>
        </w:tc>
        <w:tc>
          <w:tcPr>
            <w:tcW w:w="1303" w:type="dxa"/>
            <w:noWrap w:val="0"/>
            <w:vAlign w:val="center"/>
          </w:tcPr>
          <w:p>
            <w:pPr>
              <w:keepNext w:val="0"/>
              <w:keepLines w:val="0"/>
              <w:pageBreakBefore w:val="0"/>
              <w:kinsoku/>
              <w:wordWrap/>
              <w:overflowPunct/>
              <w:topLinePunct w:val="0"/>
              <w:bidi w:val="0"/>
              <w:spacing w:line="500" w:lineRule="exact"/>
              <w:jc w:val="both"/>
              <w:textAlignment w:val="auto"/>
              <w:rPr>
                <w:rFonts w:hint="eastAsia" w:ascii="仿宋" w:hAnsi="仿宋" w:eastAsia="仿宋" w:cs="仿宋"/>
                <w:color w:val="auto"/>
                <w:sz w:val="24"/>
                <w:lang w:eastAsia="zh-CN"/>
              </w:rPr>
            </w:pPr>
            <w:r>
              <w:rPr>
                <w:rFonts w:hint="eastAsia" w:ascii="仿宋" w:hAnsi="仿宋" w:eastAsia="仿宋" w:cs="仿宋"/>
                <w:color w:val="auto"/>
                <w:sz w:val="24"/>
                <w:lang w:eastAsia="zh-CN"/>
              </w:rPr>
              <w:t>行政</w:t>
            </w:r>
          </w:p>
        </w:tc>
        <w:tc>
          <w:tcPr>
            <w:tcW w:w="1248" w:type="dxa"/>
            <w:noWrap w:val="0"/>
            <w:vAlign w:val="center"/>
          </w:tcPr>
          <w:p>
            <w:pPr>
              <w:keepNext w:val="0"/>
              <w:keepLines w:val="0"/>
              <w:pageBreakBefore w:val="0"/>
              <w:kinsoku/>
              <w:wordWrap/>
              <w:overflowPunct/>
              <w:topLinePunct w:val="0"/>
              <w:bidi w:val="0"/>
              <w:spacing w:line="500" w:lineRule="exact"/>
              <w:jc w:val="both"/>
              <w:textAlignment w:val="auto"/>
              <w:rPr>
                <w:rFonts w:hint="eastAsia" w:ascii="仿宋" w:hAnsi="仿宋" w:eastAsia="仿宋" w:cs="仿宋"/>
                <w:color w:val="auto"/>
                <w:sz w:val="24"/>
                <w:lang w:eastAsia="zh-CN"/>
              </w:rPr>
            </w:pPr>
            <w:r>
              <w:rPr>
                <w:rFonts w:hint="eastAsia" w:ascii="仿宋" w:hAnsi="仿宋" w:eastAsia="仿宋" w:cs="仿宋"/>
                <w:color w:val="auto"/>
                <w:sz w:val="24"/>
                <w:lang w:eastAsia="zh-CN"/>
              </w:rPr>
              <w:t>正科级</w:t>
            </w:r>
          </w:p>
        </w:tc>
        <w:tc>
          <w:tcPr>
            <w:tcW w:w="2721" w:type="dxa"/>
            <w:noWrap w:val="0"/>
            <w:vAlign w:val="center"/>
          </w:tcPr>
          <w:p>
            <w:pPr>
              <w:keepNext w:val="0"/>
              <w:keepLines w:val="0"/>
              <w:pageBreakBefore w:val="0"/>
              <w:kinsoku/>
              <w:wordWrap/>
              <w:overflowPunct/>
              <w:topLinePunct w:val="0"/>
              <w:bidi w:val="0"/>
              <w:spacing w:line="500" w:lineRule="exact"/>
              <w:jc w:val="both"/>
              <w:textAlignment w:val="auto"/>
              <w:rPr>
                <w:rFonts w:hint="eastAsia" w:ascii="仿宋" w:hAnsi="仿宋" w:eastAsia="仿宋" w:cs="仿宋"/>
                <w:color w:val="auto"/>
                <w:sz w:val="24"/>
                <w:lang w:val="en-US" w:eastAsia="zh-CN"/>
              </w:rPr>
            </w:pPr>
            <w:r>
              <w:rPr>
                <w:rFonts w:hint="eastAsia" w:ascii="仿宋" w:hAnsi="仿宋" w:eastAsia="仿宋" w:cs="仿宋"/>
                <w:color w:val="auto"/>
                <w:sz w:val="24"/>
                <w:lang w:eastAsia="zh-CN"/>
              </w:rPr>
              <w:t>财政拨款</w:t>
            </w:r>
          </w:p>
        </w:tc>
      </w:tr>
    </w:tbl>
    <w:p>
      <w:pPr>
        <w:keepNext w:val="0"/>
        <w:keepLines w:val="0"/>
        <w:pageBreakBefore w:val="0"/>
        <w:kinsoku/>
        <w:wordWrap/>
        <w:overflowPunct/>
        <w:topLinePunct w:val="0"/>
        <w:bidi w:val="0"/>
        <w:spacing w:line="500" w:lineRule="exact"/>
        <w:ind w:firstLine="640"/>
        <w:textAlignment w:val="auto"/>
        <w:rPr>
          <w:rFonts w:hint="eastAsia" w:ascii="黑体" w:hAnsi="黑体" w:eastAsia="黑体" w:cs="Times New Roman"/>
          <w:sz w:val="32"/>
          <w:szCs w:val="32"/>
        </w:rPr>
      </w:pPr>
      <w:r>
        <w:rPr>
          <w:rFonts w:hint="eastAsia" w:ascii="黑体" w:hAnsi="黑体" w:eastAsia="黑体" w:cs="Times New Roman"/>
          <w:sz w:val="32"/>
          <w:szCs w:val="32"/>
        </w:rPr>
        <w:t>二、部门预算</w:t>
      </w:r>
      <w:r>
        <w:rPr>
          <w:rFonts w:hint="eastAsia" w:ascii="黑体" w:hAnsi="黑体" w:eastAsia="黑体" w:cs="Times New Roman"/>
          <w:sz w:val="32"/>
          <w:szCs w:val="32"/>
          <w:lang w:val="en-US" w:eastAsia="zh-CN"/>
        </w:rPr>
        <w:t>安排的</w:t>
      </w:r>
      <w:r>
        <w:rPr>
          <w:rFonts w:hint="eastAsia" w:ascii="黑体" w:hAnsi="黑体" w:eastAsia="黑体" w:cs="Times New Roman"/>
          <w:sz w:val="32"/>
          <w:szCs w:val="32"/>
        </w:rPr>
        <w:t>总体情况</w:t>
      </w:r>
    </w:p>
    <w:p>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按照预算管理有关规定，目前我区部门预算的编制实行综合预算制度，即全部收入和支出都反映的预算中。石家庄市藁城区</w:t>
      </w:r>
      <w:r>
        <w:rPr>
          <w:rFonts w:hint="eastAsia" w:ascii="仿宋" w:hAnsi="仿宋" w:eastAsia="仿宋" w:cs="仿宋"/>
          <w:sz w:val="32"/>
          <w:szCs w:val="32"/>
          <w:lang w:eastAsia="zh-CN"/>
        </w:rPr>
        <w:t>南董镇人民政府</w:t>
      </w:r>
      <w:r>
        <w:rPr>
          <w:rFonts w:hint="eastAsia" w:ascii="仿宋" w:hAnsi="仿宋" w:eastAsia="仿宋" w:cs="仿宋"/>
          <w:sz w:val="32"/>
          <w:szCs w:val="32"/>
        </w:rPr>
        <w:t>及所属事业单位的收支包含在部门预算中。</w:t>
      </w:r>
    </w:p>
    <w:p>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1.收入说明</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sz w:val="32"/>
          <w:szCs w:val="32"/>
        </w:rPr>
      </w:pPr>
      <w:r>
        <w:rPr>
          <w:rFonts w:hint="eastAsia" w:ascii="仿宋" w:hAnsi="仿宋" w:eastAsia="仿宋" w:cs="仿宋"/>
          <w:sz w:val="32"/>
          <w:szCs w:val="32"/>
          <w:lang w:eastAsia="zh-CN"/>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6215.83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6215.83</w:t>
      </w:r>
      <w:r>
        <w:rPr>
          <w:rFonts w:hint="eastAsia" w:ascii="仿宋" w:hAnsi="仿宋" w:eastAsia="仿宋" w:cs="仿宋"/>
          <w:sz w:val="32"/>
          <w:szCs w:val="32"/>
        </w:rPr>
        <w:t>万元，基金预算收入0万元，财政专户核拨收入0万元，其他来源收入0万元。</w:t>
      </w:r>
    </w:p>
    <w:p>
      <w:pPr>
        <w:keepNext w:val="0"/>
        <w:keepLines w:val="0"/>
        <w:pageBreakBefore w:val="0"/>
        <w:kinsoku/>
        <w:wordWrap/>
        <w:overflowPunct/>
        <w:topLinePunct w:val="0"/>
        <w:bidi w:val="0"/>
        <w:spacing w:line="500" w:lineRule="exact"/>
        <w:ind w:firstLine="720"/>
        <w:jc w:val="left"/>
        <w:textAlignment w:val="auto"/>
        <w:outlineLvl w:val="0"/>
        <w:rPr>
          <w:rFonts w:hint="eastAsia" w:ascii="仿宋" w:hAnsi="仿宋" w:eastAsia="仿宋" w:cs="仿宋"/>
          <w:color w:val="auto"/>
          <w:sz w:val="32"/>
          <w:szCs w:val="32"/>
        </w:rPr>
      </w:pPr>
      <w:r>
        <w:rPr>
          <w:rFonts w:hint="eastAsia" w:ascii="仿宋" w:hAnsi="仿宋" w:eastAsia="仿宋" w:cs="仿宋"/>
          <w:color w:val="auto"/>
          <w:sz w:val="32"/>
          <w:szCs w:val="32"/>
        </w:rPr>
        <w:t>2.支出说明</w:t>
      </w:r>
    </w:p>
    <w:p>
      <w:pPr>
        <w:keepNext w:val="0"/>
        <w:keepLines w:val="0"/>
        <w:pageBreakBefore w:val="0"/>
        <w:kinsoku/>
        <w:wordWrap/>
        <w:overflowPunct/>
        <w:topLinePunct w:val="0"/>
        <w:bidi w:val="0"/>
        <w:spacing w:line="500" w:lineRule="exact"/>
        <w:ind w:firstLine="640"/>
        <w:textAlignment w:val="auto"/>
        <w:rPr>
          <w:rFonts w:hint="eastAsia" w:ascii="仿宋" w:hAnsi="仿宋" w:eastAsia="仿宋" w:cs="仿宋"/>
          <w:sz w:val="32"/>
          <w:szCs w:val="32"/>
        </w:rPr>
      </w:pPr>
      <w:r>
        <w:rPr>
          <w:rFonts w:hint="eastAsia" w:ascii="仿宋" w:hAnsi="仿宋" w:eastAsia="仿宋" w:cs="仿宋"/>
          <w:color w:val="auto"/>
          <w:sz w:val="32"/>
          <w:szCs w:val="32"/>
          <w:lang w:eastAsia="zh-CN"/>
        </w:rPr>
        <w:t>20</w:t>
      </w:r>
      <w:r>
        <w:rPr>
          <w:rFonts w:hint="eastAsia" w:ascii="仿宋" w:hAnsi="仿宋" w:eastAsia="仿宋" w:cs="仿宋"/>
          <w:color w:val="auto"/>
          <w:sz w:val="32"/>
          <w:szCs w:val="32"/>
          <w:lang w:val="en-US" w:eastAsia="zh-CN"/>
        </w:rPr>
        <w:t>21</w:t>
      </w:r>
      <w:r>
        <w:rPr>
          <w:rFonts w:hint="eastAsia" w:ascii="仿宋" w:hAnsi="仿宋" w:eastAsia="仿宋" w:cs="仿宋"/>
          <w:color w:val="auto"/>
          <w:sz w:val="32"/>
          <w:szCs w:val="32"/>
        </w:rPr>
        <w:t>年支出预算</w:t>
      </w:r>
      <w:r>
        <w:rPr>
          <w:rFonts w:hint="eastAsia" w:ascii="仿宋" w:hAnsi="仿宋" w:eastAsia="仿宋" w:cs="仿宋"/>
          <w:color w:val="auto"/>
          <w:sz w:val="32"/>
          <w:szCs w:val="32"/>
          <w:lang w:val="en-US" w:eastAsia="zh-CN"/>
        </w:rPr>
        <w:t>6215.83</w:t>
      </w:r>
      <w:r>
        <w:rPr>
          <w:rFonts w:hint="eastAsia" w:ascii="仿宋" w:hAnsi="仿宋" w:eastAsia="仿宋" w:cs="仿宋"/>
          <w:color w:val="auto"/>
          <w:sz w:val="32"/>
          <w:szCs w:val="32"/>
        </w:rPr>
        <w:t>万元，基中基本支出</w:t>
      </w:r>
      <w:r>
        <w:rPr>
          <w:rFonts w:hint="eastAsia" w:ascii="仿宋" w:hAnsi="仿宋" w:eastAsia="仿宋" w:cs="仿宋"/>
          <w:color w:val="auto"/>
          <w:sz w:val="32"/>
          <w:szCs w:val="32"/>
          <w:lang w:val="en-US" w:eastAsia="zh-CN"/>
        </w:rPr>
        <w:t>6029.08</w:t>
      </w:r>
      <w:r>
        <w:rPr>
          <w:rFonts w:hint="eastAsia" w:ascii="仿宋" w:hAnsi="仿宋" w:eastAsia="仿宋" w:cs="仿宋"/>
          <w:color w:val="auto"/>
          <w:sz w:val="32"/>
          <w:szCs w:val="32"/>
        </w:rPr>
        <w:t>万元，包括人员经费</w:t>
      </w:r>
      <w:r>
        <w:rPr>
          <w:rFonts w:hint="eastAsia" w:ascii="仿宋" w:hAnsi="仿宋" w:eastAsia="仿宋" w:cs="仿宋"/>
          <w:color w:val="auto"/>
          <w:sz w:val="32"/>
          <w:szCs w:val="32"/>
          <w:lang w:val="en-US" w:eastAsia="zh-CN"/>
        </w:rPr>
        <w:t>5868.62</w:t>
      </w:r>
      <w:r>
        <w:rPr>
          <w:rFonts w:hint="eastAsia" w:ascii="仿宋" w:hAnsi="仿宋" w:eastAsia="仿宋" w:cs="仿宋"/>
          <w:color w:val="auto"/>
          <w:sz w:val="32"/>
          <w:szCs w:val="32"/>
        </w:rPr>
        <w:t>万元和日常公用经费</w:t>
      </w:r>
      <w:r>
        <w:rPr>
          <w:rFonts w:hint="eastAsia" w:ascii="仿宋" w:hAnsi="仿宋" w:eastAsia="仿宋" w:cs="仿宋"/>
          <w:color w:val="auto"/>
          <w:sz w:val="32"/>
          <w:szCs w:val="32"/>
          <w:lang w:val="en-US" w:eastAsia="zh-CN"/>
        </w:rPr>
        <w:t>160.46</w:t>
      </w:r>
      <w:r>
        <w:rPr>
          <w:rFonts w:hint="eastAsia" w:ascii="仿宋" w:hAnsi="仿宋" w:eastAsia="仿宋" w:cs="仿宋"/>
          <w:color w:val="auto"/>
          <w:sz w:val="32"/>
          <w:szCs w:val="32"/>
        </w:rPr>
        <w:t>万元；项目支出</w:t>
      </w:r>
      <w:r>
        <w:rPr>
          <w:rFonts w:hint="eastAsia" w:ascii="仿宋" w:hAnsi="仿宋" w:eastAsia="仿宋" w:cs="仿宋"/>
          <w:color w:val="auto"/>
          <w:sz w:val="32"/>
          <w:szCs w:val="32"/>
          <w:lang w:val="en-US" w:eastAsia="zh-CN"/>
        </w:rPr>
        <w:t>186.75</w:t>
      </w:r>
      <w:r>
        <w:rPr>
          <w:rFonts w:hint="eastAsia" w:ascii="仿宋" w:hAnsi="仿宋" w:eastAsia="仿宋" w:cs="仿宋"/>
          <w:color w:val="auto"/>
          <w:sz w:val="32"/>
          <w:szCs w:val="32"/>
        </w:rPr>
        <w:t>万元，主</w:t>
      </w:r>
      <w:r>
        <w:rPr>
          <w:rFonts w:hint="eastAsia" w:ascii="仿宋" w:hAnsi="仿宋" w:eastAsia="仿宋" w:cs="仿宋"/>
          <w:sz w:val="32"/>
          <w:szCs w:val="32"/>
        </w:rPr>
        <w:t>要为村级办公经费支出</w:t>
      </w:r>
      <w:r>
        <w:rPr>
          <w:rFonts w:hint="eastAsia" w:ascii="仿宋" w:hAnsi="仿宋" w:eastAsia="仿宋" w:cs="仿宋"/>
          <w:sz w:val="32"/>
          <w:szCs w:val="32"/>
          <w:lang w:val="en-US" w:eastAsia="zh-CN"/>
        </w:rPr>
        <w:t>8</w:t>
      </w:r>
      <w:r>
        <w:rPr>
          <w:rFonts w:hint="eastAsia" w:ascii="仿宋" w:hAnsi="仿宋" w:eastAsia="仿宋" w:cs="仿宋"/>
          <w:sz w:val="32"/>
          <w:szCs w:val="32"/>
        </w:rPr>
        <w:t>万元，村级服务群众专项经费支出</w:t>
      </w:r>
      <w:r>
        <w:rPr>
          <w:rFonts w:hint="eastAsia" w:ascii="仿宋" w:hAnsi="仿宋" w:eastAsia="仿宋" w:cs="仿宋"/>
          <w:sz w:val="32"/>
          <w:szCs w:val="32"/>
          <w:lang w:val="en-US" w:eastAsia="zh-CN"/>
        </w:rPr>
        <w:t>52</w:t>
      </w:r>
      <w:r>
        <w:rPr>
          <w:rFonts w:hint="eastAsia" w:ascii="仿宋" w:hAnsi="仿宋" w:eastAsia="仿宋" w:cs="仿宋"/>
          <w:sz w:val="32"/>
          <w:szCs w:val="32"/>
        </w:rPr>
        <w:t>万元，</w:t>
      </w:r>
      <w:r>
        <w:rPr>
          <w:rFonts w:hint="eastAsia" w:ascii="仿宋" w:hAnsi="仿宋" w:eastAsia="仿宋" w:cs="仿宋"/>
          <w:sz w:val="32"/>
          <w:szCs w:val="32"/>
          <w:lang w:val="en-US" w:eastAsia="zh-CN"/>
        </w:rPr>
        <w:t>临时人员工资</w:t>
      </w:r>
      <w:r>
        <w:rPr>
          <w:rFonts w:hint="eastAsia" w:ascii="仿宋" w:hAnsi="仿宋" w:eastAsia="仿宋" w:cs="仿宋"/>
          <w:sz w:val="32"/>
          <w:szCs w:val="32"/>
        </w:rPr>
        <w:t>支出</w:t>
      </w:r>
      <w:r>
        <w:rPr>
          <w:rFonts w:hint="eastAsia" w:ascii="仿宋" w:hAnsi="仿宋" w:eastAsia="仿宋" w:cs="仿宋"/>
          <w:sz w:val="32"/>
          <w:szCs w:val="32"/>
          <w:lang w:val="en-US" w:eastAsia="zh-CN"/>
        </w:rPr>
        <w:t>35</w:t>
      </w:r>
      <w:r>
        <w:rPr>
          <w:rFonts w:hint="eastAsia" w:ascii="仿宋" w:hAnsi="仿宋" w:eastAsia="仿宋" w:cs="仿宋"/>
          <w:sz w:val="32"/>
          <w:szCs w:val="32"/>
        </w:rPr>
        <w:t>万元，</w:t>
      </w:r>
      <w:r>
        <w:rPr>
          <w:rFonts w:hint="eastAsia" w:ascii="仿宋" w:hAnsi="仿宋" w:eastAsia="仿宋" w:cs="仿宋"/>
          <w:sz w:val="32"/>
          <w:szCs w:val="32"/>
          <w:lang w:val="en-US" w:eastAsia="zh-CN"/>
        </w:rPr>
        <w:t>兰盾安保人员工资支出18.96万元，南董镇</w:t>
      </w:r>
      <w:r>
        <w:rPr>
          <w:rFonts w:hint="eastAsia" w:ascii="仿宋" w:hAnsi="仿宋" w:eastAsia="仿宋" w:cs="仿宋"/>
          <w:sz w:val="32"/>
          <w:szCs w:val="32"/>
        </w:rPr>
        <w:t>学区工会支出</w:t>
      </w:r>
      <w:r>
        <w:rPr>
          <w:rFonts w:hint="eastAsia" w:ascii="仿宋" w:hAnsi="仿宋" w:eastAsia="仿宋" w:cs="仿宋"/>
          <w:sz w:val="32"/>
          <w:szCs w:val="32"/>
          <w:lang w:val="en-US" w:eastAsia="zh-CN"/>
        </w:rPr>
        <w:t>17</w:t>
      </w:r>
      <w:r>
        <w:rPr>
          <w:rFonts w:hint="eastAsia" w:ascii="仿宋" w:hAnsi="仿宋" w:eastAsia="仿宋" w:cs="仿宋"/>
          <w:sz w:val="32"/>
          <w:szCs w:val="32"/>
        </w:rPr>
        <w:t>万元，</w:t>
      </w:r>
      <w:r>
        <w:rPr>
          <w:rFonts w:hint="eastAsia" w:ascii="仿宋" w:hAnsi="仿宋" w:eastAsia="仿宋" w:cs="仿宋"/>
          <w:sz w:val="32"/>
          <w:szCs w:val="32"/>
          <w:lang w:val="en-US" w:eastAsia="zh-CN"/>
        </w:rPr>
        <w:t>南董</w:t>
      </w:r>
      <w:r>
        <w:rPr>
          <w:rFonts w:hint="eastAsia" w:ascii="仿宋" w:hAnsi="仿宋" w:eastAsia="仿宋" w:cs="仿宋"/>
          <w:sz w:val="32"/>
          <w:szCs w:val="32"/>
        </w:rPr>
        <w:t>镇政府工会经费支出</w:t>
      </w:r>
      <w:r>
        <w:rPr>
          <w:rFonts w:hint="eastAsia" w:ascii="仿宋" w:hAnsi="仿宋" w:eastAsia="仿宋" w:cs="仿宋"/>
          <w:sz w:val="32"/>
          <w:szCs w:val="32"/>
          <w:lang w:val="en-US" w:eastAsia="zh-CN"/>
        </w:rPr>
        <w:t>2.5</w:t>
      </w:r>
      <w:r>
        <w:rPr>
          <w:rFonts w:hint="eastAsia" w:ascii="仿宋" w:hAnsi="仿宋" w:eastAsia="仿宋" w:cs="仿宋"/>
          <w:sz w:val="32"/>
          <w:szCs w:val="32"/>
        </w:rPr>
        <w:t>万元，综合工作经费支出</w:t>
      </w:r>
      <w:r>
        <w:rPr>
          <w:rFonts w:hint="eastAsia" w:ascii="仿宋" w:hAnsi="仿宋" w:eastAsia="仿宋" w:cs="仿宋"/>
          <w:sz w:val="32"/>
          <w:szCs w:val="32"/>
          <w:lang w:val="en-US" w:eastAsia="zh-CN"/>
        </w:rPr>
        <w:t>45.04</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rPr>
        <w:t>离任村干部生活补贴支出</w:t>
      </w:r>
      <w:r>
        <w:rPr>
          <w:rFonts w:hint="eastAsia" w:ascii="仿宋" w:hAnsi="仿宋" w:eastAsia="仿宋" w:cs="仿宋"/>
          <w:sz w:val="32"/>
          <w:szCs w:val="32"/>
          <w:lang w:val="en-US" w:eastAsia="zh-CN"/>
        </w:rPr>
        <w:t>8.25</w:t>
      </w:r>
      <w:r>
        <w:rPr>
          <w:rFonts w:hint="eastAsia" w:ascii="仿宋" w:hAnsi="仿宋" w:eastAsia="仿宋" w:cs="仿宋"/>
          <w:sz w:val="32"/>
          <w:szCs w:val="32"/>
        </w:rPr>
        <w:t>万元；其他支出0万元。</w:t>
      </w:r>
    </w:p>
    <w:p>
      <w:pPr>
        <w:keepNext w:val="0"/>
        <w:keepLines w:val="0"/>
        <w:pageBreakBefore w:val="0"/>
        <w:kinsoku/>
        <w:wordWrap/>
        <w:overflowPunct/>
        <w:topLinePunct w:val="0"/>
        <w:bidi w:val="0"/>
        <w:spacing w:line="500" w:lineRule="exact"/>
        <w:jc w:val="left"/>
        <w:textAlignment w:val="auto"/>
        <w:outlineLvl w:val="0"/>
        <w:rPr>
          <w:rFonts w:hint="eastAsia" w:ascii="仿宋" w:hAnsi="仿宋" w:eastAsia="仿宋" w:cs="仿宋"/>
          <w:sz w:val="32"/>
          <w:szCs w:val="32"/>
        </w:rPr>
      </w:pPr>
      <w:r>
        <w:rPr>
          <w:rFonts w:hint="eastAsia" w:ascii="仿宋" w:hAnsi="仿宋" w:eastAsia="仿宋" w:cs="仿宋"/>
          <w:sz w:val="32"/>
          <w:szCs w:val="32"/>
        </w:rPr>
        <w:t xml:space="preserve">     3.比上年增减情况</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0"/>
        <w:rPr>
          <w:rFonts w:hint="eastAsia" w:ascii="仿宋" w:hAnsi="仿宋" w:eastAsia="仿宋" w:cs="仿宋"/>
          <w:sz w:val="32"/>
          <w:szCs w:val="32"/>
          <w:lang w:eastAsia="zh-CN"/>
        </w:rPr>
      </w:pPr>
      <w:r>
        <w:rPr>
          <w:rFonts w:hint="eastAsia" w:ascii="仿宋" w:hAnsi="仿宋" w:eastAsia="仿宋" w:cs="仿宋"/>
          <w:sz w:val="32"/>
          <w:szCs w:val="32"/>
          <w:lang w:val="en-US" w:eastAsia="zh-CN"/>
        </w:rPr>
        <w:t>2021年预算收支安排6215.83万元，较</w:t>
      </w:r>
      <w:r>
        <w:rPr>
          <w:rFonts w:hint="eastAsia" w:ascii="仿宋" w:hAnsi="仿宋" w:eastAsia="仿宋" w:cs="仿宋"/>
          <w:sz w:val="32"/>
          <w:szCs w:val="32"/>
        </w:rPr>
        <w:t xml:space="preserve"> </w:t>
      </w:r>
      <w:r>
        <w:rPr>
          <w:rFonts w:hint="eastAsia" w:ascii="仿宋" w:hAnsi="仿宋" w:eastAsia="仿宋" w:cs="仿宋"/>
          <w:sz w:val="32"/>
          <w:szCs w:val="32"/>
          <w:lang w:eastAsia="zh-CN"/>
        </w:rPr>
        <w:t>20</w:t>
      </w:r>
      <w:r>
        <w:rPr>
          <w:rFonts w:hint="eastAsia" w:ascii="仿宋" w:hAnsi="仿宋" w:eastAsia="仿宋" w:cs="仿宋"/>
          <w:sz w:val="32"/>
          <w:szCs w:val="32"/>
          <w:lang w:val="en-US" w:eastAsia="zh-CN"/>
        </w:rPr>
        <w:t>20</w:t>
      </w:r>
      <w:r>
        <w:rPr>
          <w:rFonts w:hint="eastAsia" w:ascii="仿宋" w:hAnsi="仿宋" w:eastAsia="仿宋" w:cs="仿宋"/>
          <w:sz w:val="32"/>
          <w:szCs w:val="32"/>
        </w:rPr>
        <w:t>年预算</w:t>
      </w:r>
      <w:r>
        <w:rPr>
          <w:rFonts w:hint="eastAsia" w:ascii="仿宋" w:hAnsi="仿宋" w:eastAsia="仿宋" w:cs="仿宋"/>
          <w:sz w:val="32"/>
          <w:szCs w:val="32"/>
          <w:lang w:val="en-US" w:eastAsia="zh-CN"/>
        </w:rPr>
        <w:t>增加91.53万元</w:t>
      </w:r>
      <w:r>
        <w:rPr>
          <w:rFonts w:hint="eastAsia" w:ascii="仿宋" w:hAnsi="仿宋" w:eastAsia="仿宋" w:cs="仿宋"/>
          <w:sz w:val="32"/>
          <w:szCs w:val="32"/>
        </w:rPr>
        <w:t>，其中：基本支出增加</w:t>
      </w:r>
      <w:r>
        <w:rPr>
          <w:rFonts w:hint="eastAsia" w:ascii="仿宋" w:hAnsi="仿宋" w:eastAsia="仿宋" w:cs="仿宋"/>
          <w:sz w:val="32"/>
          <w:szCs w:val="32"/>
          <w:lang w:val="en-US" w:eastAsia="zh-CN"/>
        </w:rPr>
        <w:t>96.3</w:t>
      </w:r>
      <w:r>
        <w:rPr>
          <w:rFonts w:hint="eastAsia" w:ascii="仿宋" w:hAnsi="仿宋" w:eastAsia="仿宋" w:cs="仿宋"/>
          <w:sz w:val="32"/>
          <w:szCs w:val="32"/>
        </w:rPr>
        <w:t>万元，主要是人员增加，相应增加人员经费和日常公用经费；项目支出</w:t>
      </w:r>
      <w:r>
        <w:rPr>
          <w:rFonts w:hint="eastAsia" w:ascii="仿宋" w:hAnsi="仿宋" w:eastAsia="仿宋" w:cs="仿宋"/>
          <w:sz w:val="32"/>
          <w:szCs w:val="32"/>
          <w:lang w:val="en-US" w:eastAsia="zh-CN"/>
        </w:rPr>
        <w:t>减少4.77</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减少了公路占地费项目</w:t>
      </w:r>
      <w:r>
        <w:rPr>
          <w:rFonts w:hint="eastAsia" w:ascii="仿宋" w:hAnsi="仿宋" w:eastAsia="仿宋" w:cs="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outlineLvl w:val="0"/>
        <w:rPr>
          <w:rFonts w:hint="eastAsia" w:ascii="黑体" w:hAnsi="黑体" w:eastAsia="黑体" w:cs="黑体"/>
          <w:sz w:val="32"/>
          <w:szCs w:val="32"/>
        </w:rPr>
      </w:pPr>
      <w:r>
        <w:rPr>
          <w:rFonts w:hint="eastAsia" w:ascii="黑体" w:hAnsi="黑体" w:eastAsia="黑体" w:cs="黑体"/>
          <w:sz w:val="32"/>
          <w:szCs w:val="32"/>
        </w:rPr>
        <w:t xml:space="preserve">三、机关运行经费安排情况            </w:t>
      </w:r>
    </w:p>
    <w:p>
      <w:pPr>
        <w:keepNext w:val="0"/>
        <w:keepLines w:val="0"/>
        <w:pageBreakBefore w:val="0"/>
        <w:kinsoku/>
        <w:wordWrap/>
        <w:overflowPunct/>
        <w:topLinePunct w:val="0"/>
        <w:autoSpaceDE w:val="0"/>
        <w:autoSpaceDN w:val="0"/>
        <w:bidi w:val="0"/>
        <w:adjustRightInd w:val="0"/>
        <w:spacing w:line="500" w:lineRule="exact"/>
        <w:ind w:left="198"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1</w:t>
      </w:r>
      <w:r>
        <w:rPr>
          <w:rFonts w:hint="eastAsia" w:ascii="仿宋" w:hAnsi="仿宋" w:eastAsia="仿宋" w:cs="仿宋"/>
          <w:sz w:val="32"/>
          <w:szCs w:val="32"/>
        </w:rPr>
        <w:t>年，我部门机关运行经费共计安排</w:t>
      </w:r>
      <w:r>
        <w:rPr>
          <w:rFonts w:hint="eastAsia" w:ascii="仿宋" w:hAnsi="仿宋" w:eastAsia="仿宋" w:cs="仿宋"/>
          <w:sz w:val="32"/>
          <w:szCs w:val="32"/>
          <w:lang w:val="en-US" w:eastAsia="zh-CN"/>
        </w:rPr>
        <w:t>160.46</w:t>
      </w:r>
      <w:r>
        <w:rPr>
          <w:rFonts w:hint="eastAsia" w:ascii="仿宋" w:hAnsi="仿宋" w:eastAsia="仿宋" w:cs="仿宋"/>
          <w:sz w:val="32"/>
          <w:szCs w:val="32"/>
        </w:rPr>
        <w:t>万元，主要用于保证机关正常运转的办公及印刷费、邮电费、福利费、专用材料及一般设备购置费、办公用房水电费、日常维修费、公务车运行维护费等支出。</w:t>
      </w:r>
    </w:p>
    <w:p>
      <w:pPr>
        <w:keepNext w:val="0"/>
        <w:keepLines w:val="0"/>
        <w:pageBreakBefore w:val="0"/>
        <w:kinsoku/>
        <w:wordWrap/>
        <w:overflowPunct/>
        <w:topLinePunct w:val="0"/>
        <w:bidi w:val="0"/>
        <w:spacing w:line="500" w:lineRule="exact"/>
        <w:jc w:val="left"/>
        <w:textAlignment w:val="auto"/>
        <w:outlineLvl w:val="0"/>
        <w:rPr>
          <w:rFonts w:hint="eastAsia" w:ascii="黑体" w:hAnsi="黑体" w:eastAsia="黑体" w:cs="黑体"/>
          <w:sz w:val="36"/>
          <w:szCs w:val="36"/>
        </w:rPr>
      </w:pPr>
      <w:r>
        <w:rPr>
          <w:rFonts w:hint="eastAsia" w:ascii="黑体" w:hAnsi="黑体" w:eastAsia="黑体" w:cs="黑体"/>
          <w:sz w:val="36"/>
          <w:szCs w:val="36"/>
        </w:rPr>
        <w:t>四、财政拨款“三公”经费预算情况及增减变化原因</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rPr>
      </w:pPr>
      <w:r>
        <w:rPr>
          <w:rFonts w:hint="eastAsia" w:ascii="仿宋" w:hAnsi="仿宋" w:eastAsia="仿宋"/>
          <w:sz w:val="32"/>
          <w:szCs w:val="32"/>
          <w:lang w:val="en-US" w:eastAsia="zh-CN"/>
        </w:rPr>
        <w:t>2021</w:t>
      </w:r>
      <w:r>
        <w:rPr>
          <w:rFonts w:hint="eastAsia" w:ascii="仿宋" w:hAnsi="仿宋" w:eastAsia="仿宋"/>
          <w:sz w:val="32"/>
          <w:szCs w:val="32"/>
        </w:rPr>
        <w:t>年本部门安排“三公”经费</w:t>
      </w:r>
      <w:r>
        <w:rPr>
          <w:rFonts w:hint="eastAsia" w:ascii="仿宋" w:hAnsi="仿宋" w:eastAsia="仿宋"/>
          <w:sz w:val="32"/>
          <w:szCs w:val="32"/>
          <w:lang w:val="en-US" w:eastAsia="zh-CN"/>
        </w:rPr>
        <w:t>2.2</w:t>
      </w:r>
      <w:r>
        <w:rPr>
          <w:rFonts w:hint="eastAsia" w:ascii="仿宋" w:hAnsi="仿宋" w:eastAsia="仿宋"/>
          <w:sz w:val="32"/>
          <w:szCs w:val="32"/>
        </w:rPr>
        <w:t>万元，</w:t>
      </w:r>
      <w:r>
        <w:rPr>
          <w:rFonts w:hint="eastAsia" w:ascii="仿宋" w:hAnsi="仿宋" w:eastAsia="仿宋"/>
          <w:sz w:val="32"/>
          <w:szCs w:val="32"/>
          <w:lang w:val="en-US" w:eastAsia="zh-CN"/>
        </w:rPr>
        <w:t>比上</w:t>
      </w:r>
      <w:r>
        <w:rPr>
          <w:rFonts w:hint="eastAsia" w:ascii="仿宋" w:hAnsi="仿宋" w:eastAsia="仿宋"/>
          <w:sz w:val="32"/>
          <w:szCs w:val="32"/>
          <w:highlight w:val="none"/>
        </w:rPr>
        <w:t>年</w:t>
      </w:r>
      <w:bookmarkStart w:id="9" w:name="_GoBack"/>
      <w:bookmarkEnd w:id="9"/>
      <w:r>
        <w:rPr>
          <w:rFonts w:hint="eastAsia" w:ascii="仿宋" w:hAnsi="仿宋" w:eastAsia="仿宋"/>
          <w:sz w:val="32"/>
          <w:szCs w:val="32"/>
          <w:highlight w:val="none"/>
          <w:lang w:val="en-US" w:eastAsia="zh-CN"/>
        </w:rPr>
        <w:t>减少2.2万</w:t>
      </w:r>
      <w:r>
        <w:rPr>
          <w:rFonts w:hint="eastAsia" w:ascii="仿宋" w:hAnsi="仿宋" w:eastAsia="仿宋"/>
          <w:sz w:val="32"/>
          <w:szCs w:val="32"/>
        </w:rPr>
        <w:t>其中：</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rPr>
      </w:pPr>
      <w:r>
        <w:rPr>
          <w:rFonts w:hint="eastAsia" w:ascii="仿宋" w:hAnsi="仿宋" w:eastAsia="仿宋"/>
          <w:sz w:val="32"/>
          <w:szCs w:val="32"/>
        </w:rPr>
        <w:t>1、因公出国（境）费0万元。</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highlight w:val="none"/>
        </w:rPr>
      </w:pPr>
      <w:r>
        <w:rPr>
          <w:rFonts w:hint="eastAsia" w:ascii="仿宋" w:hAnsi="仿宋" w:eastAsia="仿宋"/>
          <w:sz w:val="32"/>
          <w:szCs w:val="32"/>
        </w:rPr>
        <w:t>2、公务用车购置及运行维护费</w:t>
      </w:r>
      <w:r>
        <w:rPr>
          <w:rFonts w:hint="eastAsia" w:ascii="仿宋" w:hAnsi="仿宋" w:eastAsia="仿宋"/>
          <w:sz w:val="32"/>
          <w:szCs w:val="32"/>
          <w:lang w:val="en-US" w:eastAsia="zh-CN"/>
        </w:rPr>
        <w:t>2.2</w:t>
      </w:r>
      <w:r>
        <w:rPr>
          <w:rFonts w:hint="eastAsia" w:ascii="仿宋" w:hAnsi="仿宋" w:eastAsia="仿宋"/>
          <w:sz w:val="32"/>
          <w:szCs w:val="32"/>
        </w:rPr>
        <w:t>万元，其中：</w:t>
      </w:r>
      <w:r>
        <w:rPr>
          <w:rFonts w:hint="eastAsia" w:ascii="仿宋" w:hAnsi="仿宋" w:eastAsia="仿宋"/>
          <w:sz w:val="32"/>
          <w:szCs w:val="32"/>
          <w:u w:val="none" w:color="auto"/>
        </w:rPr>
        <w:t>公务用车购置</w:t>
      </w:r>
      <w:r>
        <w:rPr>
          <w:rFonts w:hint="eastAsia" w:ascii="仿宋" w:hAnsi="仿宋" w:eastAsia="仿宋"/>
          <w:sz w:val="32"/>
          <w:szCs w:val="32"/>
          <w:lang w:val="en-US" w:eastAsia="zh-CN"/>
        </w:rPr>
        <w:t>0</w:t>
      </w:r>
      <w:r>
        <w:rPr>
          <w:rFonts w:hint="eastAsia" w:ascii="仿宋" w:hAnsi="仿宋" w:eastAsia="仿宋"/>
          <w:sz w:val="32"/>
          <w:szCs w:val="32"/>
        </w:rPr>
        <w:t>万元，</w:t>
      </w:r>
      <w:r>
        <w:rPr>
          <w:rFonts w:hint="eastAsia" w:ascii="仿宋" w:hAnsi="仿宋" w:eastAsia="仿宋"/>
          <w:sz w:val="32"/>
          <w:szCs w:val="32"/>
          <w:highlight w:val="none"/>
        </w:rPr>
        <w:t>与上年相比</w:t>
      </w:r>
      <w:r>
        <w:rPr>
          <w:rFonts w:hint="eastAsia" w:ascii="仿宋" w:hAnsi="仿宋" w:eastAsia="仿宋"/>
          <w:sz w:val="32"/>
          <w:szCs w:val="32"/>
          <w:highlight w:val="none"/>
          <w:lang w:eastAsia="zh-CN"/>
        </w:rPr>
        <w:t>持平</w:t>
      </w:r>
      <w:r>
        <w:rPr>
          <w:rFonts w:hint="eastAsia" w:ascii="仿宋" w:hAnsi="仿宋" w:eastAsia="仿宋"/>
          <w:sz w:val="32"/>
          <w:szCs w:val="32"/>
        </w:rPr>
        <w:t>，</w:t>
      </w:r>
      <w:r>
        <w:rPr>
          <w:rFonts w:hint="eastAsia" w:ascii="仿宋" w:hAnsi="仿宋" w:eastAsia="仿宋"/>
          <w:sz w:val="32"/>
          <w:szCs w:val="32"/>
          <w:lang w:eastAsia="zh-CN"/>
        </w:rPr>
        <w:t>无增减变化</w:t>
      </w:r>
      <w:r>
        <w:rPr>
          <w:rFonts w:hint="eastAsia" w:ascii="仿宋" w:hAnsi="仿宋" w:eastAsia="仿宋"/>
          <w:sz w:val="32"/>
          <w:szCs w:val="32"/>
          <w:highlight w:val="none"/>
        </w:rPr>
        <w:t>；</w:t>
      </w:r>
      <w:r>
        <w:rPr>
          <w:rFonts w:hint="eastAsia" w:ascii="仿宋" w:hAnsi="仿宋" w:eastAsia="仿宋"/>
          <w:sz w:val="32"/>
          <w:szCs w:val="32"/>
          <w:highlight w:val="none"/>
          <w:u w:val="none" w:color="auto"/>
        </w:rPr>
        <w:t>公务用车运行维护费</w:t>
      </w:r>
      <w:r>
        <w:rPr>
          <w:rFonts w:hint="eastAsia" w:ascii="仿宋" w:hAnsi="仿宋" w:eastAsia="仿宋"/>
          <w:sz w:val="32"/>
          <w:szCs w:val="32"/>
          <w:highlight w:val="none"/>
          <w:lang w:val="en-US" w:eastAsia="zh-CN"/>
        </w:rPr>
        <w:t>2.2</w:t>
      </w:r>
      <w:r>
        <w:rPr>
          <w:rFonts w:hint="eastAsia" w:ascii="仿宋" w:hAnsi="仿宋" w:eastAsia="仿宋"/>
          <w:sz w:val="32"/>
          <w:szCs w:val="32"/>
          <w:highlight w:val="none"/>
        </w:rPr>
        <w:t>万元，</w:t>
      </w:r>
      <w:r>
        <w:rPr>
          <w:rFonts w:hint="eastAsia" w:ascii="仿宋" w:hAnsi="仿宋" w:eastAsia="仿宋"/>
          <w:sz w:val="32"/>
          <w:szCs w:val="32"/>
          <w:highlight w:val="none"/>
          <w:lang w:val="en-US" w:eastAsia="zh-CN"/>
        </w:rPr>
        <w:t>比去年减少2.2万</w:t>
      </w:r>
      <w:r>
        <w:rPr>
          <w:rFonts w:hint="eastAsia" w:ascii="仿宋" w:hAnsi="仿宋" w:eastAsia="仿宋"/>
          <w:sz w:val="32"/>
          <w:szCs w:val="32"/>
          <w:highlight w:val="none"/>
          <w:lang w:eastAsia="zh-CN"/>
        </w:rPr>
        <w:t>，</w:t>
      </w:r>
      <w:r>
        <w:rPr>
          <w:rFonts w:hint="eastAsia" w:ascii="仿宋" w:hAnsi="仿宋" w:eastAsia="仿宋"/>
          <w:sz w:val="32"/>
          <w:szCs w:val="32"/>
          <w:highlight w:val="none"/>
          <w:lang w:val="en-US" w:eastAsia="zh-CN"/>
        </w:rPr>
        <w:t>原因是报废一辆公车</w:t>
      </w:r>
      <w:r>
        <w:rPr>
          <w:rFonts w:hint="eastAsia" w:ascii="仿宋" w:hAnsi="仿宋" w:eastAsia="仿宋"/>
          <w:sz w:val="32"/>
          <w:szCs w:val="32"/>
          <w:highlight w:val="none"/>
          <w:lang w:eastAsia="zh-CN"/>
        </w:rPr>
        <w:t>。</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sz w:val="32"/>
          <w:szCs w:val="32"/>
          <w:lang w:eastAsia="zh-CN"/>
        </w:rPr>
      </w:pPr>
      <w:r>
        <w:rPr>
          <w:rFonts w:hint="eastAsia" w:ascii="仿宋" w:hAnsi="仿宋" w:eastAsia="仿宋"/>
          <w:sz w:val="32"/>
          <w:szCs w:val="32"/>
          <w:highlight w:val="none"/>
          <w:lang w:val="en-US" w:eastAsia="zh-CN"/>
        </w:rPr>
        <w:t>3、</w:t>
      </w:r>
      <w:r>
        <w:rPr>
          <w:rFonts w:hint="eastAsia" w:ascii="仿宋" w:hAnsi="仿宋" w:eastAsia="仿宋"/>
          <w:sz w:val="32"/>
          <w:szCs w:val="32"/>
          <w:highlight w:val="none"/>
        </w:rPr>
        <w:t>公务接待费</w:t>
      </w:r>
      <w:r>
        <w:rPr>
          <w:rFonts w:hint="eastAsia" w:ascii="仿宋" w:hAnsi="仿宋" w:eastAsia="仿宋"/>
          <w:sz w:val="32"/>
          <w:szCs w:val="32"/>
          <w:highlight w:val="none"/>
          <w:lang w:val="en-US" w:eastAsia="zh-CN"/>
        </w:rPr>
        <w:t>0</w:t>
      </w:r>
      <w:r>
        <w:rPr>
          <w:rFonts w:hint="eastAsia" w:ascii="仿宋" w:hAnsi="仿宋" w:eastAsia="仿宋"/>
          <w:sz w:val="32"/>
          <w:szCs w:val="32"/>
          <w:highlight w:val="none"/>
        </w:rPr>
        <w:t>万元</w:t>
      </w:r>
      <w:r>
        <w:rPr>
          <w:rFonts w:hint="eastAsia" w:ascii="仿宋" w:hAnsi="仿宋" w:eastAsia="仿宋"/>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outlineLvl w:val="0"/>
        <w:rPr>
          <w:rFonts w:hint="eastAsia" w:ascii="黑体" w:hAnsi="黑体" w:eastAsia="黑体" w:cs="黑体"/>
          <w:sz w:val="32"/>
          <w:szCs w:val="32"/>
        </w:rPr>
      </w:pPr>
      <w:r>
        <w:rPr>
          <w:rFonts w:hint="eastAsia" w:ascii="黑体" w:hAnsi="黑体" w:eastAsia="黑体" w:cs="黑体"/>
          <w:sz w:val="32"/>
          <w:szCs w:val="32"/>
        </w:rPr>
        <w:t>五、绩效预算信息</w:t>
      </w:r>
    </w:p>
    <w:p>
      <w:pPr>
        <w:keepNext w:val="0"/>
        <w:keepLines w:val="0"/>
        <w:pageBreakBefore w:val="0"/>
        <w:kinsoku/>
        <w:wordWrap/>
        <w:overflowPunct/>
        <w:topLinePunct w:val="0"/>
        <w:bidi w:val="0"/>
        <w:spacing w:line="500" w:lineRule="exact"/>
        <w:ind w:firstLine="643"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第一部分  部门整体绩效目标</w:t>
      </w:r>
    </w:p>
    <w:p>
      <w:pPr>
        <w:keepNext w:val="0"/>
        <w:keepLines w:val="0"/>
        <w:pageBreakBefore w:val="0"/>
        <w:kinsoku/>
        <w:wordWrap/>
        <w:overflowPunct/>
        <w:topLinePunct w:val="0"/>
        <w:bidi w:val="0"/>
        <w:spacing w:line="500" w:lineRule="exact"/>
        <w:ind w:firstLine="643"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cs="仿宋"/>
          <w:sz w:val="32"/>
          <w:szCs w:val="32"/>
        </w:rPr>
      </w:pPr>
      <w:r>
        <w:rPr>
          <w:rFonts w:hint="eastAsia" w:ascii="仿宋" w:hAnsi="仿宋" w:eastAsia="仿宋"/>
          <w:sz w:val="32"/>
          <w:szCs w:val="32"/>
        </w:rPr>
        <w:t>深入贯彻党的十九大和十九届二中、三中、四中、五中全会精神，坚持以习近平新时代中国特色社会主义思想为指导，认真落实国家的方针、政策，坚定不移贯彻新发展理念，坚持稳中求进总基调，按照藁城区委、区政府等上级部门关于乡镇的各项工作安排，围绕“经济强镇、美丽南董”奋斗目标，加强政务管理，保障行政综合服务工作、农村环境整治、信访、安全生产、土地、综治、创城等各项工作的正常开展，保障所辖各村村级正常运转，加快建设现代农村、坚持以人民为中心，着力保障和改善民生。进一步完善政府治理体系、提升执行落实能力、加强法治政府建设，转变政府工作作风、加强党风廉政建设，更加勤勉敬业，更加务实担当，不断提升政府履职能力和社会治理效能，强化公共服务，推进项目建设，着力改善民生，推动全镇高质量发展。</w:t>
      </w:r>
    </w:p>
    <w:p>
      <w:pPr>
        <w:keepNext w:val="0"/>
        <w:keepLines w:val="0"/>
        <w:pageBreakBefore w:val="0"/>
        <w:kinsoku/>
        <w:wordWrap/>
        <w:overflowPunct/>
        <w:topLinePunct w:val="0"/>
        <w:bidi w:val="0"/>
        <w:spacing w:line="500" w:lineRule="exact"/>
        <w:ind w:firstLine="643" w:firstLineChars="200"/>
        <w:jc w:val="left"/>
        <w:textAlignment w:val="auto"/>
        <w:rPr>
          <w:rFonts w:hint="eastAsia" w:ascii="Times New Roman" w:hAnsi="Times New Roman" w:eastAsia="方正仿宋_GBK" w:cs="Times New Roman"/>
          <w:b/>
          <w:sz w:val="32"/>
          <w:szCs w:val="32"/>
          <w:lang w:val="en-US" w:eastAsia="zh-CN"/>
        </w:rPr>
      </w:pPr>
      <w:r>
        <w:rPr>
          <w:rFonts w:hint="eastAsia" w:ascii="Times New Roman" w:hAnsi="Times New Roman" w:eastAsia="方正仿宋_GBK" w:cs="Times New Roman"/>
          <w:b/>
          <w:sz w:val="32"/>
          <w:szCs w:val="32"/>
        </w:rPr>
        <w:t>（二）分项绩效目标</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（一）加强政务管理</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保障机关日常运转，各项工作正常开展。依法依规履行机关日常管理职责，确保政府工作正常运行。有效保证镇政府日常应急值守和突发事件应对处置工作；完善应急预案体系建设，确保遇突发事件能够有效应对。</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通过对本辖区食品安全、安全生产、信访稳定、文化医疗教育等工作开展，实现本乡镇经济综合实力加强，整体环境进一步改善，服务水平进一步提升，社会氛围更加和谐，让百姓幸福感增强，真正做到执政为民。</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（二）保障村级正常运转</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保障村级工作及各村服务群众各项工作顺利开展。对党组织、村民委员会日常工作及服务群众各项工作开展所需经费进行补助。村级办公经费及服务群众专项费用拨付到位，保障村级办公及服务群众各项工作按照年初各村制定的计划保质保量完成工作任务。</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绩效指标：为进一步加强村级组织经费保障工作，不断提升村级组织的凝聚力、战斗力和执行力，巩固党在农村的执政基础，加快推进社会主义新农村建设.</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（三）加快农业产业化推进的步伐。</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绩效目标：继续调整农业结构，促进产业化发展。加大产业扶持力度，根据本镇实际情况，发展优势产业，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绩效指标：在稳定粮食生产的基础上，重点发展优质小麦、花卉苗木、无公害绿色果品和畜牧养殖四大主导行业；鼓励规模养殖，提高畜禽粪污资源化利用水平;着力推进高效生态农业，发展特色型种植业。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（四）坚持以人民为中心，着力保障和改善民生</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目标：抓好民生保障及稳定。关注建档立卡贫困户返贫及因重病、重残造成家庭困难的边缘户。抓退役军人管理和帮扶，化解土地、环保、安全生产、民生、食品、信访等各类安全风险，早发现、早介入、早化解，抓源头、抓隐患、抓宣讲，确保社会和谐稳定。</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绩效指标:扩大城乡居民养老和医疗覆盖面，扩大社会保障体系覆盖面。积极调处社会矛盾，维护社会稳定。加强对安全生产的监督检查力度，着力提高公民道德素质和文明水平，维护南董和谐发展环境。</w:t>
      </w:r>
    </w:p>
    <w:p>
      <w:pPr>
        <w:keepNext w:val="0"/>
        <w:keepLines w:val="0"/>
        <w:pageBreakBefore w:val="0"/>
        <w:kinsoku/>
        <w:wordWrap/>
        <w:overflowPunct/>
        <w:topLinePunct w:val="0"/>
        <w:bidi w:val="0"/>
        <w:spacing w:line="500" w:lineRule="exact"/>
        <w:ind w:firstLine="643"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一）完善制度建设。制定完善预算绩效管理制度、搭建绩效管理运行体系，科学设定绩效指标和目标，从源头上保障绩效管理的有效落实，制定各类资金使用和管理办法，确保资金支出有序进行，为全年预算绩效目标的实现奠定制度基础。</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二）加强支出管理。以项目预算绩效为依据，优化支出结构，预算编制做细做实，支出执行有章可循。严格履行政府采购手续，提前谋划，降低预算支出的波动幅度。资金支出安排科学合理，为项目组织实施保驾护航。</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（三）加强绩效运行监控。按要求开展绩效运行监控，全程跟踪预算执行进度，对执行过程中发现的问题及时反馈，制定切实可行举措，确保绩效目标如期保质实现。</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（四）做好绩效自评。积极开展年度部门预算绩效自评和重点评价工作，在自评中发现问题并及时整改解决，开展重点评价工作，调整优化重大项目支出结构，提高财政资金使用效益。</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五）规范财务资产管理。加强会计核算工作，严格执行财务资产管理相关制度，确保账面数字真实完整，加强程序管理，严格审批程序，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六）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left"/>
        <w:textAlignment w:val="auto"/>
        <w:rPr>
          <w:rFonts w:hint="eastAsia" w:ascii="仿宋" w:hAnsi="仿宋" w:eastAsia="仿宋" w:cs="仿宋"/>
          <w:sz w:val="32"/>
          <w:szCs w:val="32"/>
        </w:rPr>
      </w:pPr>
      <w:r>
        <w:rPr>
          <w:rFonts w:hint="eastAsia" w:ascii="仿宋" w:hAnsi="仿宋" w:eastAsia="仿宋" w:cs="仿宋"/>
          <w:sz w:val="32"/>
          <w:szCs w:val="32"/>
        </w:rPr>
        <w:t>（七）加强宣传培训调研。加强人员培训，提高本部门职工业务素质；加强调研，提出优化财政资金配置、提高资金使用效益的意见意见；加大宣传力度，强化预算绩效管理意识，促进预算绩效管理水平进一步提升。</w:t>
      </w:r>
    </w:p>
    <w:p>
      <w:pPr>
        <w:keepNext w:val="0"/>
        <w:keepLines w:val="0"/>
        <w:pageBreakBefore w:val="0"/>
        <w:kinsoku/>
        <w:wordWrap/>
        <w:overflowPunct/>
        <w:topLinePunct w:val="0"/>
        <w:bidi w:val="0"/>
        <w:spacing w:line="500" w:lineRule="exact"/>
        <w:ind w:firstLine="643" w:firstLineChars="200"/>
        <w:jc w:val="left"/>
        <w:textAlignment w:val="auto"/>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3"/>
        <w:rPr>
          <w:rFonts w:hAnsi="宋体"/>
          <w:b/>
          <w:sz w:val="28"/>
        </w:rPr>
      </w:pPr>
      <w:bookmarkStart w:id="0" w:name="_Toc65767128"/>
      <w:r>
        <w:rPr>
          <w:rFonts w:hint="eastAsia" w:ascii="方正仿宋_GBK" w:eastAsia="方正仿宋_GBK"/>
          <w:b/>
          <w:sz w:val="28"/>
        </w:rPr>
        <w:t>1、南董镇2021年度学区工会费绩效目标表</w:t>
      </w:r>
      <w:bookmarkEnd w:id="0"/>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1、南董镇2021年度学区工会费绩效目标表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1301092129DXBXR7GKXR9</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南董镇</w:t>
            </w:r>
            <w:r>
              <w:rPr>
                <w:rFonts w:ascii="方正书宋_GBK" w:eastAsia="方正书宋_GBK"/>
              </w:rPr>
              <w:t>2021</w:t>
            </w:r>
            <w:r>
              <w:rPr>
                <w:rFonts w:hint="eastAsia" w:ascii="方正书宋_GBK" w:eastAsia="方正书宋_GBK"/>
              </w:rPr>
              <w:t>年度学区工会费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17.00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根据藁城区总工会安排及时上缴学区工会费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保障工会经费足额上缴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保障工会费及时上交</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覆盖率达到工会要求</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上缴资金及时率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按照区工会安排时间进度上缴工会费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上缴资金完成率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按照工会安排资金数量上缴工会费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工会缴费标准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工会缴费标准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按实际执行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工会工作在全镇形成的重要影响得到认可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对工会工作的满意度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1" w:name="_Toc65767129"/>
      <w:r>
        <w:rPr>
          <w:rFonts w:hint="eastAsia" w:ascii="方正仿宋_GBK" w:eastAsia="方正仿宋_GBK"/>
          <w:b/>
          <w:sz w:val="28"/>
        </w:rPr>
        <w:t>2、南董镇正常离任村干部补贴绩效目标表</w:t>
      </w:r>
      <w:bookmarkEnd w:id="1"/>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2、南董镇正常离任村干部补贴绩效目标表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130109212SCDDBAB66Q2M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南董镇正常离任村干部补贴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8.25</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按照藁城区委组织部相关规定，对符合条件的离任村干部进行生活补贴，按照组织部与镇政府</w:t>
            </w:r>
            <w:r>
              <w:rPr>
                <w:rFonts w:ascii="方正书宋_GBK" w:eastAsia="方正书宋_GBK"/>
              </w:rPr>
              <w:t>1:1</w:t>
            </w:r>
            <w:r>
              <w:rPr>
                <w:rFonts w:hint="eastAsia" w:ascii="方正书宋_GBK" w:eastAsia="方正书宋_GBK"/>
              </w:rPr>
              <w:t>的比例进行资金配比安排预算指标，保障按时高质量的发放村级离任干部生活补贴。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保障农村离任村干部的生活补贴及时发放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保障农村离任村干部的生活补贴足额发放</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拨付农村离任村干部人数</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补贴发放完成率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确保农村离任干部的生活补贴足额发放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发放及时性</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保障离任村干部补贴及时发放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离任干部补贴标准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离任干部补贴标准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拨付工作在全镇形成的重要影响得到广大群众的认可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离任干部满意度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离任村干部对补贴发放的满意度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2" w:name="_Toc65767130"/>
      <w:r>
        <w:rPr>
          <w:rFonts w:hint="eastAsia" w:ascii="方正仿宋_GBK" w:eastAsia="方正仿宋_GBK"/>
          <w:b/>
          <w:sz w:val="28"/>
        </w:rPr>
        <w:t>3、南董镇2021年度政府工会费绩效目标表</w:t>
      </w:r>
      <w:bookmarkEnd w:id="2"/>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3、南董镇2021年度政府工会费绩效目标表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1301092151THNSXBFU8H5</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南董镇</w:t>
            </w:r>
            <w:r>
              <w:rPr>
                <w:rFonts w:ascii="方正书宋_GBK" w:eastAsia="方正书宋_GBK"/>
              </w:rPr>
              <w:t>2021</w:t>
            </w:r>
            <w:r>
              <w:rPr>
                <w:rFonts w:hint="eastAsia" w:ascii="方正书宋_GBK" w:eastAsia="方正书宋_GBK"/>
              </w:rPr>
              <w:t>年度政府工会费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2.50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根据藁城区总工会安排及时上缴政府工会费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保障工会经费足额上缴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保障工会费及时上交</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覆盖率达到工会要求</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上缴资金及时率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按照工会安排资金数量上缴工会费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上缴资金及时率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按照区工会安排时间进度上缴工会费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工会缴费标准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工会缴费标准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工会工作在全镇形成的重要影响得到认可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对工会工作的满意度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3" w:name="_Toc65767131"/>
      <w:r>
        <w:rPr>
          <w:rFonts w:hint="eastAsia" w:ascii="方正仿宋_GBK" w:eastAsia="方正仿宋_GBK"/>
          <w:b/>
          <w:sz w:val="28"/>
        </w:rPr>
        <w:t>4、村级办公经费绩效目标表</w:t>
      </w:r>
      <w:bookmarkEnd w:id="3"/>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4、村级办公经费绩效目标表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130109218OWHGAU81IX4M</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村级办公经费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根据工作实际，统筹安排南董镇各村办公经费，对村党组织、村民委员会日常工作开展所需经费进行补助，保障各村工作顺利开展。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保障村级工作正常开展</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村级办公经费发放村数量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对村级的补助发放完成率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保障村级办公经费及时发放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村级办公经费标准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村级办公经费标准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ascii="方正书宋_GBK" w:eastAsia="方正书宋_GBK"/>
              </w:rPr>
              <w:t>5000</w:t>
            </w:r>
            <w:r>
              <w:rPr>
                <w:rFonts w:hint="eastAsia" w:ascii="方正书宋_GBK" w:eastAsia="方正书宋_GBK"/>
              </w:rPr>
              <w:t>每村</w:t>
            </w:r>
            <w:r>
              <w:rPr>
                <w:rFonts w:ascii="方正书宋_GBK" w:eastAsia="方正书宋_GBK"/>
              </w:rPr>
              <w:t>5000</w:t>
            </w:r>
            <w:r>
              <w:rPr>
                <w:rFonts w:hint="eastAsia" w:ascii="方正书宋_GBK" w:eastAsia="方正书宋_GBK"/>
              </w:rPr>
              <w:t>元</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按实际执行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村级对镇拨付工作的认可</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各村对拨付工作的满意度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4" w:name="_Toc65767132"/>
      <w:r>
        <w:rPr>
          <w:rFonts w:hint="eastAsia" w:ascii="方正仿宋_GBK" w:eastAsia="方正仿宋_GBK"/>
          <w:b/>
          <w:sz w:val="28"/>
        </w:rPr>
        <w:t>5、临时人员工资(综合工作经费)绩效目标表</w:t>
      </w:r>
      <w:bookmarkEnd w:id="4"/>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5、临时人员工资(综合工作经费)绩效目标表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13010921GLVGEZTZR7R7R</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临时人员工资</w:t>
            </w:r>
            <w:r>
              <w:rPr>
                <w:rFonts w:ascii="方正书宋_GBK" w:eastAsia="方正书宋_GBK"/>
              </w:rPr>
              <w:t>(</w:t>
            </w:r>
            <w:r>
              <w:rPr>
                <w:rFonts w:hint="eastAsia" w:ascii="方正书宋_GBK" w:eastAsia="方正书宋_GBK"/>
              </w:rPr>
              <w:t>综合工作经费</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35.00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用于支付临时人员工资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确保临时人员工资发放到位，更好的做好相关工作。</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拨付临时人员人数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临时人员工资发放情况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人</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按照进度发放工资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发放资金效率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按照安排资金数量发放经费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工作在全镇形成的重要影响得到认可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群众对各项目的满意度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5" w:name="_Toc65767133"/>
      <w:r>
        <w:rPr>
          <w:rFonts w:hint="eastAsia" w:ascii="方正仿宋_GBK" w:eastAsia="方正仿宋_GBK"/>
          <w:b/>
          <w:sz w:val="28"/>
        </w:rPr>
        <w:t>6、南董镇综合工作经费绩效目标表</w:t>
      </w:r>
      <w:bookmarkEnd w:id="5"/>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6、南董镇综合工作经费绩效目标表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13010921GMFETNSV99SVU</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南董镇综合工作经费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45.04</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45.04</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根据年度计划，统筹南董镇环保、土地、信访、创城、食品安全、安全生产、劳务费、委托业务费、社会综合治理、农村独生子女奖励金等支出，确保南董镇年度工作顺利开展。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保障各项工作正常开展</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经费保障率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为各项工作顺利开展提供足额资金</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拨付凭证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当年镇政府各项工作完成进度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各项工作保障时间节点</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按时完成上级安排的各项工作</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经费等使用标准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经费等使用标准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年度工作在全镇形成的重要影响得到广大群众的认可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群众对当年工作的满意度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6" w:name="_Toc65767134"/>
      <w:r>
        <w:rPr>
          <w:rFonts w:hint="eastAsia" w:ascii="方正仿宋_GBK" w:eastAsia="方正仿宋_GBK"/>
          <w:b/>
          <w:sz w:val="28"/>
        </w:rPr>
        <w:t>7、村级服务群众专项经费绩效目标表</w:t>
      </w:r>
      <w:bookmarkEnd w:id="6"/>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7、村级服务群众专项经费绩效目标表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13010921TM4K7PO693U30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村级服务群众专项经费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52.00</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52.00</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对村级组织进行资金支出，保障村级组织服务群众项目按照年初各村制定的计划保质保量完成工作任务。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保障各村服务群众各项工作顺利开展</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发放数量</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服务群众专项经费发放村数量</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16</w:t>
            </w:r>
            <w:r>
              <w:rPr>
                <w:rFonts w:hint="eastAsia" w:ascii="方正书宋_GBK" w:eastAsia="方正书宋_GBK"/>
              </w:rPr>
              <w:t>个</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对村级的补助发放完成率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保障服务群众专项经费及时发放</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村级服务群众专项经费等标准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村级服务群众专项经费发放标准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按规定执行</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村级对镇拨付工作的认可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各村对拨付工作的满意度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ind w:firstLine="562" w:firstLineChars="200"/>
        <w:jc w:val="left"/>
        <w:outlineLvl w:val="3"/>
        <w:rPr>
          <w:rFonts w:hAnsi="宋体"/>
          <w:b/>
          <w:sz w:val="28"/>
        </w:rPr>
      </w:pPr>
      <w:bookmarkStart w:id="7" w:name="_Toc65767135"/>
      <w:r>
        <w:rPr>
          <w:rFonts w:hint="eastAsia" w:ascii="方正仿宋_GBK" w:eastAsia="方正仿宋_GBK"/>
          <w:b/>
          <w:sz w:val="28"/>
        </w:rPr>
        <w:t>8、兰盾安保人员工资(综合工作经费)绩效目标表</w:t>
      </w:r>
      <w:bookmarkEnd w:id="7"/>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8、兰盾安保人员工资(综合工作经费)绩效目标表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0"/>
            <w:vAlign w:val="center"/>
          </w:tcPr>
          <w:p>
            <w:pPr>
              <w:spacing w:line="300" w:lineRule="exact"/>
              <w:jc w:val="left"/>
              <w:rPr>
                <w:rFonts w:ascii="方正书宋_GBK" w:eastAsia="方正书宋_GBK"/>
                <w:b/>
              </w:rPr>
            </w:pPr>
            <w:r>
              <w:rPr>
                <w:rFonts w:ascii="方正书宋_GBK" w:eastAsia="方正书宋_GBK"/>
                <w:b/>
              </w:rPr>
              <w:t>810001</w:t>
            </w:r>
            <w:r>
              <w:rPr>
                <w:rFonts w:hint="eastAsia" w:ascii="方正书宋_GBK" w:eastAsia="方正书宋_GBK"/>
                <w:b/>
              </w:rPr>
              <w:t>石家庄市藁城区南董镇人民政府本级</w:t>
            </w:r>
          </w:p>
        </w:tc>
        <w:tc>
          <w:tcPr>
            <w:tcW w:w="1701" w:type="dxa"/>
            <w:tcBorders>
              <w:top w:val="single" w:color="FFFFFF" w:sz="6" w:space="0"/>
              <w:left w:val="single" w:color="FFFFFF" w:sz="6" w:space="0"/>
              <w:right w:val="single" w:color="FFFFFF" w:sz="6" w:space="0"/>
            </w:tcBorders>
            <w:shd w:val="clear" w:color="auto" w:fill="auto"/>
            <w:noWrap w:val="0"/>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0"/>
            <w:vAlign w:val="center"/>
          </w:tcPr>
          <w:p>
            <w:pPr>
              <w:spacing w:line="300" w:lineRule="exact"/>
              <w:jc w:val="left"/>
              <w:rPr>
                <w:rFonts w:ascii="方正书宋_GBK" w:eastAsia="方正书宋_GBK"/>
              </w:rPr>
            </w:pPr>
            <w:r>
              <w:rPr>
                <w:rFonts w:ascii="方正书宋_GBK" w:eastAsia="方正书宋_GBK"/>
              </w:rPr>
              <w:t>13010921UHMIPY3L5Q04W</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兰盾安保人员工资</w:t>
            </w:r>
            <w:r>
              <w:rPr>
                <w:rFonts w:ascii="方正书宋_GBK" w:eastAsia="方正书宋_GBK"/>
              </w:rPr>
              <w:t>(</w:t>
            </w:r>
            <w:r>
              <w:rPr>
                <w:rFonts w:hint="eastAsia" w:ascii="方正书宋_GBK" w:eastAsia="方正书宋_GBK"/>
              </w:rPr>
              <w:t>综合工作经费</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w:t>
            </w:r>
          </w:p>
        </w:tc>
        <w:tc>
          <w:tcPr>
            <w:tcW w:w="1587"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18.96</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0"/>
            <w:vAlign w:val="center"/>
          </w:tcPr>
          <w:p>
            <w:pPr>
              <w:spacing w:line="300" w:lineRule="exact"/>
              <w:jc w:val="left"/>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0"/>
            <w:vAlign w:val="center"/>
          </w:tcPr>
          <w:p>
            <w:pPr>
              <w:spacing w:line="300" w:lineRule="exact"/>
              <w:jc w:val="left"/>
              <w:outlineLvl w:val="3"/>
            </w:pPr>
          </w:p>
        </w:tc>
        <w:tc>
          <w:tcPr>
            <w:tcW w:w="8278" w:type="dxa"/>
            <w:gridSpan w:val="6"/>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用于支付兰盾安保人员工资及服务管理费。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0"/>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0"/>
            <w:vAlign w:val="center"/>
          </w:tcPr>
          <w:p>
            <w:pPr>
              <w:spacing w:line="300" w:lineRule="exact"/>
              <w:jc w:val="left"/>
              <w:outlineLvl w:val="3"/>
            </w:pPr>
          </w:p>
        </w:tc>
        <w:tc>
          <w:tcPr>
            <w:tcW w:w="2410"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0"/>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0"/>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确保巡防队员工资发放到位，加强巡逻，保障社会治安稳定</w:t>
            </w:r>
          </w:p>
        </w:tc>
      </w:tr>
    </w:tbl>
    <w:p>
      <w:pPr>
        <w:spacing w:line="14" w:lineRule="exact"/>
        <w:jc w:val="center"/>
        <w:rPr>
          <w:rFonts w:hAnsi="宋体"/>
        </w:rPr>
      </w:pPr>
      <w:r>
        <w:rPr>
          <w:rFonts w:ascii="方正书宋_GBK" w:eastAsia="方正书宋_GBK"/>
        </w:rPr>
        <w:t xml:space="preserve"> </w:t>
      </w:r>
    </w:p>
    <w:tbl>
      <w:tblPr>
        <w:tblStyle w:val="4"/>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rHeight w:val="397" w:hRule="atLeast"/>
          <w:tblHeader/>
          <w:jc w:val="center"/>
        </w:trPr>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0"/>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0"/>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拨付安保人数</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联防队员工资发放情况</w:t>
            </w:r>
          </w:p>
        </w:tc>
        <w:tc>
          <w:tcPr>
            <w:tcW w:w="1276"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名</w:t>
            </w:r>
          </w:p>
        </w:tc>
        <w:tc>
          <w:tcPr>
            <w:tcW w:w="170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资金及时率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按照进度发放工资</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发放资金效率</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按照安排资金数量发放经费</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查看账目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0"/>
            <w:vAlign w:val="center"/>
          </w:tcPr>
          <w:p>
            <w:pPr>
              <w:spacing w:line="300" w:lineRule="exact"/>
              <w:jc w:val="center"/>
              <w:rPr>
                <w:rFonts w:hint="eastAsia" w:ascii="方正书宋_GBK" w:eastAsia="方正书宋_GBK"/>
              </w:rPr>
            </w:pP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工资标准</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工资标准</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每人</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按实际执行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效益指标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工作在全镇形成的重要影响得到认可</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0"/>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noWrap w:val="0"/>
            <w:vAlign w:val="center"/>
          </w:tcPr>
          <w:p>
            <w:pPr>
              <w:spacing w:line="300" w:lineRule="exact"/>
              <w:jc w:val="left"/>
              <w:rPr>
                <w:rFonts w:ascii="方正书宋_GBK" w:eastAsia="方正书宋_GBK"/>
              </w:rPr>
            </w:pPr>
            <w:r>
              <w:rPr>
                <w:rFonts w:hint="eastAsia" w:ascii="方正书宋_GBK" w:eastAsia="方正书宋_GBK"/>
              </w:rPr>
              <w:t>群众对各项目的满意度</w:t>
            </w:r>
          </w:p>
        </w:tc>
        <w:tc>
          <w:tcPr>
            <w:tcW w:w="1276"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shd w:val="clear" w:color="auto" w:fill="auto"/>
            <w:noWrap w:val="0"/>
            <w:vAlign w:val="center"/>
          </w:tcPr>
          <w:p>
            <w:pPr>
              <w:spacing w:line="300" w:lineRule="exact"/>
              <w:jc w:val="left"/>
              <w:rPr>
                <w:rFonts w:hint="eastAsia" w:ascii="方正书宋_GBK" w:eastAsia="方正书宋_GBK"/>
              </w:rPr>
            </w:pPr>
            <w:r>
              <w:rPr>
                <w:rFonts w:hint="eastAsia" w:ascii="方正书宋_GBK" w:eastAsia="方正书宋_GBK"/>
              </w:rPr>
              <w:t>民主测评</w:t>
            </w:r>
          </w:p>
        </w:tc>
      </w:tr>
    </w:tbl>
    <w:p>
      <w:pPr>
        <w:spacing w:line="300" w:lineRule="exact"/>
        <w:jc w:val="left"/>
        <w:sectPr>
          <w:pgSz w:w="11907" w:h="16839"/>
          <w:pgMar w:top="1984" w:right="1304" w:bottom="1134" w:left="1304" w:header="851" w:footer="992" w:gutter="0"/>
          <w:cols w:space="425" w:num="1"/>
          <w:docGrid w:type="lines" w:linePitch="312" w:charSpace="0"/>
        </w:sectPr>
      </w:pPr>
    </w:p>
    <w:p>
      <w:pPr>
        <w:spacing w:line="300" w:lineRule="exact"/>
        <w:jc w:val="left"/>
      </w:pPr>
    </w:p>
    <w:p>
      <w:pPr>
        <w:jc w:val="center"/>
        <w:rPr>
          <w:rFonts w:eastAsia="方正仿宋_GBK"/>
          <w:sz w:val="28"/>
        </w:rPr>
      </w:pPr>
    </w:p>
    <w:p>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ascii="黑体" w:hAnsi="黑体" w:eastAsia="黑体" w:cs="Times New Roman"/>
          <w:sz w:val="32"/>
          <w:szCs w:val="32"/>
        </w:rPr>
      </w:pPr>
      <w:r>
        <w:rPr>
          <w:rFonts w:hint="eastAsia" w:ascii="黑体" w:hAnsi="黑体" w:eastAsia="黑体" w:cs="Times New Roman"/>
          <w:sz w:val="32"/>
          <w:szCs w:val="32"/>
        </w:rPr>
        <w:t>六、政府采购预算情况</w:t>
      </w:r>
    </w:p>
    <w:p>
      <w:pPr>
        <w:keepNext w:val="0"/>
        <w:keepLines w:val="0"/>
        <w:pageBreakBefore w:val="0"/>
        <w:kinsoku/>
        <w:wordWrap/>
        <w:overflowPunct/>
        <w:topLinePunct w:val="0"/>
        <w:bidi w:val="0"/>
        <w:spacing w:line="500" w:lineRule="exact"/>
        <w:ind w:firstLine="640" w:firstLineChars="200"/>
        <w:textAlignment w:val="auto"/>
        <w:outlineLvl w:val="0"/>
        <w:rPr>
          <w:rFonts w:hint="eastAsia" w:ascii="仿宋" w:hAnsi="仿宋" w:eastAsia="仿宋" w:cs="仿宋"/>
          <w:sz w:val="32"/>
          <w:szCs w:val="24"/>
        </w:rPr>
      </w:pPr>
      <w:bookmarkStart w:id="8" w:name="_Toc471398468"/>
      <w:r>
        <w:rPr>
          <w:rFonts w:hint="eastAsia" w:ascii="仿宋" w:hAnsi="仿宋" w:eastAsia="仿宋" w:cs="仿宋"/>
          <w:sz w:val="32"/>
          <w:szCs w:val="24"/>
        </w:rPr>
        <w:t xml:space="preserve"> 202</w:t>
      </w:r>
      <w:r>
        <w:rPr>
          <w:rFonts w:hint="eastAsia" w:ascii="仿宋" w:hAnsi="仿宋" w:eastAsia="仿宋" w:cs="仿宋"/>
          <w:sz w:val="32"/>
          <w:szCs w:val="24"/>
          <w:lang w:val="en-US" w:eastAsia="zh-CN"/>
        </w:rPr>
        <w:t>1</w:t>
      </w:r>
      <w:r>
        <w:rPr>
          <w:rFonts w:hint="eastAsia" w:ascii="仿宋" w:hAnsi="仿宋" w:eastAsia="仿宋" w:cs="仿宋"/>
          <w:sz w:val="32"/>
          <w:szCs w:val="24"/>
        </w:rPr>
        <w:t>年，我部门安排政府采购预算</w:t>
      </w:r>
      <w:r>
        <w:rPr>
          <w:rFonts w:hint="eastAsia" w:ascii="仿宋" w:hAnsi="仿宋" w:eastAsia="仿宋" w:cs="仿宋"/>
          <w:sz w:val="32"/>
          <w:szCs w:val="24"/>
          <w:lang w:val="en-US" w:eastAsia="zh-CN"/>
        </w:rPr>
        <w:t>0</w:t>
      </w:r>
      <w:r>
        <w:rPr>
          <w:rFonts w:hint="eastAsia" w:ascii="仿宋" w:hAnsi="仿宋" w:eastAsia="仿宋" w:cs="仿宋"/>
          <w:sz w:val="32"/>
          <w:szCs w:val="24"/>
        </w:rPr>
        <w:t>万元。具体内容见下表。</w:t>
      </w:r>
      <w:bookmarkEnd w:id="8"/>
    </w:p>
    <w:p>
      <w:pPr>
        <w:ind w:firstLine="643" w:firstLineChars="200"/>
        <w:jc w:val="center"/>
        <w:outlineLvl w:val="0"/>
        <w:rPr>
          <w:rFonts w:hint="eastAsia" w:ascii="方正小标宋_GBK" w:eastAsia="方正小标宋_GBK" w:cs="黑体"/>
          <w:b/>
          <w:bCs/>
          <w:sz w:val="32"/>
          <w:szCs w:val="22"/>
        </w:rPr>
      </w:pPr>
      <w:r>
        <w:rPr>
          <w:rFonts w:hint="eastAsia" w:ascii="方正小标宋_GBK" w:eastAsia="方正小标宋_GBK" w:cs="黑体"/>
          <w:b/>
          <w:bCs/>
          <w:sz w:val="32"/>
          <w:szCs w:val="22"/>
        </w:rPr>
        <w:t>部门政府采购预算</w:t>
      </w:r>
    </w:p>
    <w:tbl>
      <w:tblPr>
        <w:tblStyle w:val="4"/>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keepNext w:val="0"/>
              <w:keepLines w:val="0"/>
              <w:pageBreakBefore w:val="0"/>
              <w:kinsoku/>
              <w:wordWrap/>
              <w:overflowPunct/>
              <w:topLinePunct w:val="0"/>
              <w:bidi w:val="0"/>
              <w:spacing w:line="500" w:lineRule="exact"/>
              <w:jc w:val="left"/>
              <w:textAlignment w:val="auto"/>
              <w:rPr>
                <w:rFonts w:ascii="方正小标宋_GBK" w:eastAsia="方正小标宋_GBK"/>
                <w:sz w:val="24"/>
              </w:rPr>
            </w:pPr>
            <w:r>
              <w:rPr>
                <w:rFonts w:ascii="方正小标宋_GBK" w:eastAsia="方正小标宋_GBK"/>
                <w:sz w:val="24"/>
              </w:rPr>
              <w:t>8</w:t>
            </w:r>
            <w:r>
              <w:rPr>
                <w:rFonts w:hint="eastAsia" w:ascii="方正小标宋_GBK" w:eastAsia="方正小标宋_GBK"/>
                <w:sz w:val="24"/>
                <w:lang w:val="en-US" w:eastAsia="zh-CN"/>
              </w:rPr>
              <w:t>10</w:t>
            </w:r>
            <w:r>
              <w:rPr>
                <w:rFonts w:hint="eastAsia" w:ascii="方正小标宋_GBK" w:eastAsia="方正小标宋_GBK"/>
                <w:sz w:val="24"/>
              </w:rPr>
              <w:t>石家庄市藁城区</w:t>
            </w:r>
            <w:r>
              <w:rPr>
                <w:rFonts w:hint="eastAsia" w:ascii="方正小标宋_GBK" w:eastAsia="方正小标宋_GBK"/>
                <w:sz w:val="24"/>
                <w:lang w:val="en-US" w:eastAsia="zh-CN"/>
              </w:rPr>
              <w:t>南董</w:t>
            </w:r>
            <w:r>
              <w:rPr>
                <w:rFonts w:hint="eastAsia" w:ascii="方正小标宋_GBK" w:eastAsia="方正小标宋_GBK"/>
                <w:sz w:val="24"/>
              </w:rPr>
              <w:t>镇人民政府</w:t>
            </w:r>
          </w:p>
        </w:tc>
        <w:tc>
          <w:tcPr>
            <w:tcW w:w="5854" w:type="dxa"/>
            <w:gridSpan w:val="6"/>
            <w:tcBorders>
              <w:top w:val="single" w:color="FFFFFF" w:sz="6" w:space="0"/>
              <w:left w:val="single" w:color="FFFFFF" w:sz="6" w:space="0"/>
              <w:right w:val="single" w:color="FFFFFF" w:sz="6" w:space="0"/>
            </w:tcBorders>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计量  单位</w:t>
            </w:r>
          </w:p>
        </w:tc>
        <w:tc>
          <w:tcPr>
            <w:tcW w:w="851" w:type="dxa"/>
            <w:vMerge w:val="restart"/>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数量</w:t>
            </w:r>
          </w:p>
        </w:tc>
        <w:tc>
          <w:tcPr>
            <w:tcW w:w="992" w:type="dxa"/>
            <w:vMerge w:val="restart"/>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单价</w:t>
            </w:r>
          </w:p>
        </w:tc>
        <w:tc>
          <w:tcPr>
            <w:tcW w:w="5854" w:type="dxa"/>
            <w:gridSpan w:val="6"/>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项目名称</w:t>
            </w:r>
          </w:p>
        </w:tc>
        <w:tc>
          <w:tcPr>
            <w:tcW w:w="1134"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预算资金</w:t>
            </w:r>
          </w:p>
        </w:tc>
        <w:tc>
          <w:tcPr>
            <w:tcW w:w="1559" w:type="dxa"/>
            <w:vMerge w:val="continue"/>
            <w:vAlign w:val="center"/>
          </w:tcPr>
          <w:p>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1417" w:type="dxa"/>
            <w:vMerge w:val="continue"/>
            <w:vAlign w:val="center"/>
          </w:tcPr>
          <w:p>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709" w:type="dxa"/>
            <w:vMerge w:val="continue"/>
            <w:vAlign w:val="center"/>
          </w:tcPr>
          <w:p>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851" w:type="dxa"/>
            <w:vMerge w:val="continue"/>
            <w:vAlign w:val="center"/>
          </w:tcPr>
          <w:p>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992" w:type="dxa"/>
            <w:vMerge w:val="continue"/>
            <w:vAlign w:val="center"/>
          </w:tcPr>
          <w:p>
            <w:pPr>
              <w:keepNext w:val="0"/>
              <w:keepLines w:val="0"/>
              <w:pageBreakBefore w:val="0"/>
              <w:kinsoku/>
              <w:wordWrap/>
              <w:overflowPunct/>
              <w:topLinePunct w:val="0"/>
              <w:bidi w:val="0"/>
              <w:spacing w:line="500" w:lineRule="exact"/>
              <w:jc w:val="left"/>
              <w:textAlignment w:val="auto"/>
              <w:outlineLvl w:val="0"/>
              <w:rPr>
                <w:rFonts w:ascii="Times New Roman" w:eastAsia="方正仿宋_GBK"/>
                <w:sz w:val="28"/>
              </w:rPr>
            </w:pPr>
          </w:p>
        </w:tc>
        <w:tc>
          <w:tcPr>
            <w:tcW w:w="992"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合计</w:t>
            </w:r>
          </w:p>
        </w:tc>
        <w:tc>
          <w:tcPr>
            <w:tcW w:w="992"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一般公共预算拨款</w:t>
            </w:r>
          </w:p>
        </w:tc>
        <w:tc>
          <w:tcPr>
            <w:tcW w:w="993"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基金预算拨款</w:t>
            </w:r>
          </w:p>
        </w:tc>
        <w:tc>
          <w:tcPr>
            <w:tcW w:w="1134"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国有资本经营预算拨款</w:t>
            </w:r>
          </w:p>
        </w:tc>
        <w:tc>
          <w:tcPr>
            <w:tcW w:w="850"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财政专户核拨</w:t>
            </w:r>
          </w:p>
        </w:tc>
        <w:tc>
          <w:tcPr>
            <w:tcW w:w="893"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800" w:hRule="atLeast"/>
          <w:jc w:val="center"/>
        </w:trPr>
        <w:tc>
          <w:tcPr>
            <w:tcW w:w="3106" w:type="dxa"/>
            <w:vAlign w:val="center"/>
          </w:tcPr>
          <w:p>
            <w:pPr>
              <w:keepNext w:val="0"/>
              <w:keepLines w:val="0"/>
              <w:pageBreakBefore w:val="0"/>
              <w:kinsoku/>
              <w:wordWrap/>
              <w:overflowPunct/>
              <w:topLinePunct w:val="0"/>
              <w:bidi w:val="0"/>
              <w:spacing w:line="500" w:lineRule="exact"/>
              <w:jc w:val="center"/>
              <w:textAlignment w:val="auto"/>
              <w:rPr>
                <w:rFonts w:ascii="方正书宋_GBK" w:eastAsia="方正书宋_GBK"/>
                <w:b/>
              </w:rPr>
            </w:pPr>
            <w:r>
              <w:rPr>
                <w:rFonts w:hint="eastAsia" w:ascii="方正书宋_GBK" w:eastAsia="方正书宋_GBK"/>
                <w:b/>
              </w:rPr>
              <w:t>合　计</w:t>
            </w:r>
          </w:p>
        </w:tc>
        <w:tc>
          <w:tcPr>
            <w:tcW w:w="1134"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1559" w:type="dxa"/>
            <w:vAlign w:val="center"/>
          </w:tcPr>
          <w:p>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1417" w:type="dxa"/>
            <w:vAlign w:val="center"/>
          </w:tcPr>
          <w:p>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709" w:type="dxa"/>
            <w:vAlign w:val="center"/>
          </w:tcPr>
          <w:p>
            <w:pPr>
              <w:keepNext w:val="0"/>
              <w:keepLines w:val="0"/>
              <w:pageBreakBefore w:val="0"/>
              <w:kinsoku/>
              <w:wordWrap/>
              <w:overflowPunct/>
              <w:topLinePunct w:val="0"/>
              <w:bidi w:val="0"/>
              <w:spacing w:line="500" w:lineRule="exact"/>
              <w:jc w:val="left"/>
              <w:textAlignment w:val="auto"/>
              <w:rPr>
                <w:rFonts w:ascii="方正书宋_GBK" w:eastAsia="方正书宋_GBK"/>
                <w:b/>
              </w:rPr>
            </w:pPr>
          </w:p>
        </w:tc>
        <w:tc>
          <w:tcPr>
            <w:tcW w:w="851"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992"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992" w:type="dxa"/>
            <w:vAlign w:val="center"/>
          </w:tcPr>
          <w:p>
            <w:pPr>
              <w:keepNext w:val="0"/>
              <w:keepLines w:val="0"/>
              <w:pageBreakBefore w:val="0"/>
              <w:kinsoku/>
              <w:wordWrap/>
              <w:overflowPunct/>
              <w:topLinePunct w:val="0"/>
              <w:bidi w:val="0"/>
              <w:adjustRightInd w:val="0"/>
              <w:snapToGrid w:val="0"/>
              <w:spacing w:line="500" w:lineRule="exact"/>
              <w:jc w:val="right"/>
              <w:textAlignment w:val="auto"/>
              <w:rPr>
                <w:rFonts w:ascii="方正书宋_GBK" w:hAnsi="宋体" w:eastAsia="方正书宋_GBK" w:cs="宋体"/>
                <w:b/>
                <w:bCs/>
                <w:color w:val="000000"/>
                <w:szCs w:val="21"/>
              </w:rPr>
            </w:pPr>
          </w:p>
        </w:tc>
        <w:tc>
          <w:tcPr>
            <w:tcW w:w="992" w:type="dxa"/>
            <w:vAlign w:val="center"/>
          </w:tcPr>
          <w:p>
            <w:pPr>
              <w:keepNext w:val="0"/>
              <w:keepLines w:val="0"/>
              <w:pageBreakBefore w:val="0"/>
              <w:kinsoku/>
              <w:wordWrap/>
              <w:overflowPunct/>
              <w:topLinePunct w:val="0"/>
              <w:bidi w:val="0"/>
              <w:adjustRightInd w:val="0"/>
              <w:snapToGrid w:val="0"/>
              <w:spacing w:line="500" w:lineRule="exact"/>
              <w:jc w:val="right"/>
              <w:textAlignment w:val="auto"/>
              <w:rPr>
                <w:rFonts w:ascii="方正书宋_GBK" w:hAnsi="宋体" w:eastAsia="方正书宋_GBK" w:cs="宋体"/>
                <w:b/>
                <w:bCs/>
                <w:color w:val="000000"/>
                <w:szCs w:val="21"/>
              </w:rPr>
            </w:pPr>
          </w:p>
        </w:tc>
        <w:tc>
          <w:tcPr>
            <w:tcW w:w="993"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1134"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850"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c>
          <w:tcPr>
            <w:tcW w:w="893" w:type="dxa"/>
            <w:vAlign w:val="center"/>
          </w:tcPr>
          <w:p>
            <w:pPr>
              <w:keepNext w:val="0"/>
              <w:keepLines w:val="0"/>
              <w:pageBreakBefore w:val="0"/>
              <w:kinsoku/>
              <w:wordWrap/>
              <w:overflowPunct/>
              <w:topLinePunct w:val="0"/>
              <w:bidi w:val="0"/>
              <w:spacing w:line="500" w:lineRule="exact"/>
              <w:jc w:val="right"/>
              <w:textAlignment w:val="auto"/>
              <w:rPr>
                <w:rFonts w:ascii="方正书宋_GBK" w:eastAsia="方正书宋_GBK"/>
                <w:b/>
              </w:rPr>
            </w:pPr>
          </w:p>
        </w:tc>
      </w:tr>
    </w:tbl>
    <w:p>
      <w:pPr>
        <w:keepNext w:val="0"/>
        <w:keepLines w:val="0"/>
        <w:pageBreakBefore w:val="0"/>
        <w:kinsoku/>
        <w:wordWrap/>
        <w:overflowPunct/>
        <w:topLinePunct w:val="0"/>
        <w:autoSpaceDE w:val="0"/>
        <w:autoSpaceDN w:val="0"/>
        <w:bidi w:val="0"/>
        <w:adjustRightInd w:val="0"/>
        <w:spacing w:line="500" w:lineRule="exact"/>
        <w:ind w:firstLine="640" w:firstLineChars="200"/>
        <w:jc w:val="left"/>
        <w:textAlignment w:val="auto"/>
        <w:rPr>
          <w:rFonts w:hint="eastAsia" w:ascii="方正小标宋_GBK" w:hAnsi="宋体"/>
          <w:sz w:val="32"/>
          <w:szCs w:val="32"/>
          <w:lang w:eastAsia="zh-CN"/>
        </w:rPr>
      </w:pPr>
      <w:r>
        <w:rPr>
          <w:rFonts w:hint="eastAsia" w:ascii="仿宋" w:hAnsi="仿宋" w:eastAsia="仿宋" w:cs="Times New Roman"/>
          <w:kern w:val="0"/>
          <w:sz w:val="32"/>
          <w:szCs w:val="32"/>
          <w:lang w:val="en-US" w:eastAsia="zh-CN" w:bidi="ar-SA"/>
        </w:rPr>
        <w:t>注：本部门无政府采购预算情况，故空表列示。</w:t>
      </w: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ascii="方正小标宋_GBK" w:hAnsi="宋体" w:eastAsia="方正小标宋_GBK"/>
          <w:sz w:val="44"/>
          <w:szCs w:val="44"/>
          <w:lang w:eastAsia="zh-CN"/>
        </w:rPr>
      </w:pPr>
    </w:p>
    <w:p>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七、国有资产信息</w:t>
      </w:r>
    </w:p>
    <w:p>
      <w:pPr>
        <w:pStyle w:val="7"/>
        <w:keepNext w:val="0"/>
        <w:keepLines w:val="0"/>
        <w:pageBreakBefore w:val="0"/>
        <w:kinsoku/>
        <w:wordWrap/>
        <w:overflowPunct/>
        <w:topLinePunct w:val="0"/>
        <w:bidi w:val="0"/>
        <w:spacing w:line="500" w:lineRule="exact"/>
        <w:ind w:firstLine="640" w:firstLineChars="200"/>
        <w:textAlignment w:val="auto"/>
        <w:rPr>
          <w:rFonts w:hint="eastAsia" w:ascii="仿宋" w:hAnsi="仿宋" w:eastAsia="仿宋"/>
          <w:color w:val="auto"/>
          <w:sz w:val="32"/>
          <w:szCs w:val="32"/>
          <w:lang w:eastAsia="zh-CN"/>
        </w:rPr>
      </w:pPr>
      <w:r>
        <w:rPr>
          <w:rFonts w:hint="eastAsia" w:ascii="仿宋" w:hAnsi="仿宋" w:eastAsia="仿宋"/>
          <w:color w:val="auto"/>
          <w:sz w:val="32"/>
          <w:szCs w:val="32"/>
          <w:lang w:eastAsia="zh-CN"/>
        </w:rPr>
        <w:t>石家庄市藁城区南董镇人民政府</w:t>
      </w:r>
      <w:r>
        <w:rPr>
          <w:rFonts w:hint="eastAsia" w:ascii="仿宋" w:hAnsi="仿宋" w:eastAsia="仿宋"/>
          <w:color w:val="auto"/>
          <w:sz w:val="32"/>
          <w:szCs w:val="32"/>
          <w:lang w:val="en-US" w:eastAsia="zh-CN"/>
        </w:rPr>
        <w:t>2020</w:t>
      </w:r>
      <w:r>
        <w:rPr>
          <w:rFonts w:hint="eastAsia" w:ascii="仿宋" w:hAnsi="仿宋" w:eastAsia="仿宋"/>
          <w:color w:val="auto"/>
          <w:sz w:val="32"/>
          <w:szCs w:val="32"/>
          <w:lang w:eastAsia="zh-CN"/>
        </w:rPr>
        <w:t>年末单位固定资产</w:t>
      </w:r>
      <w:r>
        <w:rPr>
          <w:rFonts w:hint="eastAsia" w:ascii="仿宋" w:hAnsi="仿宋" w:eastAsia="仿宋"/>
          <w:color w:val="auto"/>
          <w:sz w:val="32"/>
          <w:szCs w:val="32"/>
          <w:lang w:val="en-US" w:eastAsia="zh-CN"/>
        </w:rPr>
        <w:t>1526.89</w:t>
      </w:r>
      <w:r>
        <w:rPr>
          <w:rFonts w:hint="eastAsia" w:ascii="仿宋" w:hAnsi="仿宋" w:eastAsia="仿宋"/>
          <w:color w:val="auto"/>
          <w:sz w:val="32"/>
          <w:szCs w:val="32"/>
          <w:lang w:eastAsia="zh-CN"/>
        </w:rPr>
        <w:t>万元（详见下表），本年度拟购置固定资产总额为</w:t>
      </w:r>
      <w:r>
        <w:rPr>
          <w:rFonts w:hint="eastAsia" w:ascii="仿宋" w:hAnsi="仿宋" w:eastAsia="仿宋"/>
          <w:color w:val="auto"/>
          <w:sz w:val="32"/>
          <w:szCs w:val="32"/>
          <w:lang w:val="en-US" w:eastAsia="zh-CN"/>
        </w:rPr>
        <w:t>0</w:t>
      </w:r>
      <w:r>
        <w:rPr>
          <w:rFonts w:hint="eastAsia" w:ascii="仿宋" w:hAnsi="仿宋" w:eastAsia="仿宋"/>
          <w:color w:val="auto"/>
          <w:sz w:val="32"/>
          <w:szCs w:val="32"/>
          <w:lang w:eastAsia="zh-CN"/>
        </w:rPr>
        <w:t>万元。</w:t>
      </w:r>
    </w:p>
    <w:p>
      <w:pPr>
        <w:pStyle w:val="7"/>
        <w:keepNext w:val="0"/>
        <w:keepLines w:val="0"/>
        <w:pageBreakBefore w:val="0"/>
        <w:kinsoku/>
        <w:wordWrap/>
        <w:overflowPunct/>
        <w:topLinePunct w:val="0"/>
        <w:bidi w:val="0"/>
        <w:spacing w:line="500" w:lineRule="exact"/>
        <w:ind w:firstLine="640" w:firstLineChars="200"/>
        <w:textAlignment w:val="auto"/>
        <w:rPr>
          <w:rFonts w:hint="eastAsia" w:ascii="仿宋" w:hAnsi="仿宋" w:eastAsia="仿宋"/>
          <w:color w:val="auto"/>
          <w:sz w:val="32"/>
          <w:szCs w:val="32"/>
          <w:lang w:eastAsia="zh-CN"/>
        </w:rPr>
      </w:pPr>
    </w:p>
    <w:tbl>
      <w:tblPr>
        <w:tblStyle w:val="4"/>
        <w:tblW w:w="0" w:type="auto"/>
        <w:tblInd w:w="93" w:type="dxa"/>
        <w:tblLayout w:type="fixed"/>
        <w:tblCellMar>
          <w:top w:w="0" w:type="dxa"/>
          <w:left w:w="108" w:type="dxa"/>
          <w:bottom w:w="0" w:type="dxa"/>
          <w:right w:w="108" w:type="dxa"/>
        </w:tblCellMar>
      </w:tblPr>
      <w:tblGrid>
        <w:gridCol w:w="14580"/>
      </w:tblGrid>
      <w:tr>
        <w:tblPrEx>
          <w:tblCellMar>
            <w:top w:w="0" w:type="dxa"/>
            <w:left w:w="108" w:type="dxa"/>
            <w:bottom w:w="0" w:type="dxa"/>
            <w:right w:w="108" w:type="dxa"/>
          </w:tblCellMar>
        </w:tblPrEx>
        <w:trPr>
          <w:trHeight w:val="600" w:hRule="atLeast"/>
        </w:trPr>
        <w:tc>
          <w:tcPr>
            <w:tcW w:w="14580" w:type="dxa"/>
            <w:tcBorders>
              <w:top w:val="nil"/>
              <w:left w:val="nil"/>
              <w:bottom w:val="nil"/>
              <w:right w:val="nil"/>
            </w:tcBorders>
            <w:noWrap w:val="0"/>
            <w:vAlign w:val="bottom"/>
          </w:tcPr>
          <w:p>
            <w:pPr>
              <w:keepNext w:val="0"/>
              <w:keepLines w:val="0"/>
              <w:pageBreakBefore w:val="0"/>
              <w:widowControl/>
              <w:kinsoku/>
              <w:wordWrap/>
              <w:overflowPunct/>
              <w:topLinePunct w:val="0"/>
              <w:bidi w:val="0"/>
              <w:spacing w:line="500" w:lineRule="exact"/>
              <w:jc w:val="center"/>
              <w:textAlignment w:val="auto"/>
              <w:rPr>
                <w:rFonts w:ascii="宋体" w:hAnsi="宋体" w:cs="Arial"/>
                <w:color w:val="auto"/>
                <w:kern w:val="0"/>
                <w:sz w:val="44"/>
                <w:szCs w:val="44"/>
              </w:rPr>
            </w:pPr>
            <w:r>
              <w:rPr>
                <w:rFonts w:hint="eastAsia" w:ascii="宋体" w:hAnsi="宋体" w:cs="宋体"/>
                <w:b/>
                <w:bCs/>
                <w:color w:val="auto"/>
                <w:kern w:val="0"/>
                <w:sz w:val="32"/>
                <w:szCs w:val="32"/>
              </w:rPr>
              <w:t>石家庄市藁城区</w:t>
            </w:r>
            <w:r>
              <w:rPr>
                <w:rFonts w:hint="eastAsia" w:ascii="宋体" w:hAnsi="宋体" w:cs="宋体"/>
                <w:b/>
                <w:bCs/>
                <w:color w:val="auto"/>
                <w:kern w:val="0"/>
                <w:sz w:val="32"/>
                <w:szCs w:val="32"/>
                <w:lang w:val="en-US" w:eastAsia="zh-CN"/>
              </w:rPr>
              <w:t>南董</w:t>
            </w:r>
            <w:r>
              <w:rPr>
                <w:rFonts w:hint="eastAsia" w:ascii="宋体" w:hAnsi="宋体" w:cs="宋体"/>
                <w:b/>
                <w:bCs/>
                <w:color w:val="auto"/>
                <w:kern w:val="0"/>
                <w:sz w:val="32"/>
                <w:szCs w:val="32"/>
              </w:rPr>
              <w:t>镇人民政府固定资产占用情况表</w:t>
            </w:r>
          </w:p>
        </w:tc>
      </w:tr>
    </w:tbl>
    <w:p>
      <w:pPr>
        <w:pStyle w:val="7"/>
        <w:keepNext w:val="0"/>
        <w:keepLines w:val="0"/>
        <w:pageBreakBefore w:val="0"/>
        <w:kinsoku/>
        <w:wordWrap/>
        <w:overflowPunct/>
        <w:topLinePunct w:val="0"/>
        <w:bidi w:val="0"/>
        <w:spacing w:line="500" w:lineRule="exact"/>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 xml:space="preserve">编制部门：石家庄市藁城区南董镇人民政府          </w:t>
      </w:r>
      <w:r>
        <w:rPr>
          <w:rFonts w:hint="eastAsia" w:ascii="仿宋" w:hAnsi="仿宋" w:eastAsia="仿宋"/>
          <w:color w:val="auto"/>
          <w:szCs w:val="24"/>
          <w:lang w:val="en-US" w:eastAsia="zh-CN"/>
        </w:rPr>
        <w:t xml:space="preserve">                                             </w:t>
      </w:r>
      <w:r>
        <w:rPr>
          <w:rFonts w:hint="eastAsia" w:ascii="仿宋" w:hAnsi="仿宋" w:eastAsia="仿宋"/>
          <w:color w:val="auto"/>
          <w:szCs w:val="24"/>
          <w:lang w:eastAsia="zh-CN"/>
        </w:rPr>
        <w:t xml:space="preserve">  截止时间：20</w:t>
      </w:r>
      <w:r>
        <w:rPr>
          <w:rFonts w:hint="eastAsia" w:ascii="仿宋" w:hAnsi="仿宋" w:eastAsia="仿宋"/>
          <w:color w:val="auto"/>
          <w:szCs w:val="24"/>
          <w:lang w:val="en-US" w:eastAsia="zh-CN"/>
        </w:rPr>
        <w:t>20</w:t>
      </w:r>
      <w:r>
        <w:rPr>
          <w:rFonts w:hint="eastAsia" w:ascii="仿宋" w:hAnsi="仿宋" w:eastAsia="仿宋"/>
          <w:color w:val="auto"/>
          <w:szCs w:val="24"/>
          <w:lang w:eastAsia="zh-CN"/>
        </w:rPr>
        <w:t>年12月31日</w:t>
      </w:r>
    </w:p>
    <w:tbl>
      <w:tblPr>
        <w:tblStyle w:val="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900"/>
        <w:gridCol w:w="3084"/>
        <w:gridCol w:w="67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4900"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项目</w:t>
            </w:r>
          </w:p>
        </w:tc>
        <w:tc>
          <w:tcPr>
            <w:tcW w:w="3084"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数量</w:t>
            </w:r>
          </w:p>
        </w:tc>
        <w:tc>
          <w:tcPr>
            <w:tcW w:w="6715"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价值（金额单位：万元）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资产总额</w:t>
            </w:r>
          </w:p>
        </w:tc>
        <w:tc>
          <w:tcPr>
            <w:tcW w:w="3084"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w:t>
            </w:r>
          </w:p>
        </w:tc>
        <w:tc>
          <w:tcPr>
            <w:tcW w:w="6715"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1526.89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4900" w:type="dxa"/>
            <w:noWrap w:val="0"/>
            <w:vAlign w:val="top"/>
          </w:tcPr>
          <w:p>
            <w:pPr>
              <w:pStyle w:val="7"/>
              <w:keepNext w:val="0"/>
              <w:keepLines w:val="0"/>
              <w:pageBreakBefore w:val="0"/>
              <w:kinsoku/>
              <w:wordWrap/>
              <w:overflowPunct/>
              <w:topLinePunct w:val="0"/>
              <w:bidi w:val="0"/>
              <w:spacing w:line="500" w:lineRule="exact"/>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1.房屋（平方米）</w:t>
            </w:r>
          </w:p>
        </w:tc>
        <w:tc>
          <w:tcPr>
            <w:tcW w:w="3084"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15633.75</w:t>
            </w:r>
          </w:p>
        </w:tc>
        <w:tc>
          <w:tcPr>
            <w:tcW w:w="6715"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1313.25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pPr>
              <w:pStyle w:val="7"/>
              <w:keepNext w:val="0"/>
              <w:keepLines w:val="0"/>
              <w:pageBreakBefore w:val="0"/>
              <w:kinsoku/>
              <w:wordWrap/>
              <w:overflowPunct/>
              <w:topLinePunct w:val="0"/>
              <w:bidi w:val="0"/>
              <w:spacing w:line="500" w:lineRule="exact"/>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其中办公用房（平方米）</w:t>
            </w:r>
          </w:p>
        </w:tc>
        <w:tc>
          <w:tcPr>
            <w:tcW w:w="3084"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650</w:t>
            </w:r>
          </w:p>
        </w:tc>
        <w:tc>
          <w:tcPr>
            <w:tcW w:w="6715"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94.38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7" w:hRule="atLeast"/>
        </w:trPr>
        <w:tc>
          <w:tcPr>
            <w:tcW w:w="4900" w:type="dxa"/>
            <w:noWrap w:val="0"/>
            <w:vAlign w:val="top"/>
          </w:tcPr>
          <w:p>
            <w:pPr>
              <w:pStyle w:val="7"/>
              <w:keepNext w:val="0"/>
              <w:keepLines w:val="0"/>
              <w:pageBreakBefore w:val="0"/>
              <w:kinsoku/>
              <w:wordWrap/>
              <w:overflowPunct/>
              <w:topLinePunct w:val="0"/>
              <w:bidi w:val="0"/>
              <w:spacing w:line="500" w:lineRule="exact"/>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2.车辆（台、辆）</w:t>
            </w:r>
          </w:p>
        </w:tc>
        <w:tc>
          <w:tcPr>
            <w:tcW w:w="3084"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val="en-US" w:eastAsia="zh-CN"/>
              </w:rPr>
            </w:pPr>
            <w:r>
              <w:rPr>
                <w:rFonts w:hint="eastAsia" w:ascii="仿宋" w:hAnsi="仿宋" w:eastAsia="仿宋"/>
                <w:color w:val="auto"/>
                <w:szCs w:val="24"/>
                <w:lang w:val="en-US" w:eastAsia="zh-CN"/>
              </w:rPr>
              <w:t>1</w:t>
            </w:r>
          </w:p>
        </w:tc>
        <w:tc>
          <w:tcPr>
            <w:tcW w:w="6715"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12.45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trPr>
        <w:tc>
          <w:tcPr>
            <w:tcW w:w="4900" w:type="dxa"/>
            <w:noWrap w:val="0"/>
            <w:vAlign w:val="top"/>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3、单价在20万元以上的设备</w:t>
            </w:r>
          </w:p>
        </w:tc>
        <w:tc>
          <w:tcPr>
            <w:tcW w:w="3084"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val="en-US" w:eastAsia="zh-CN"/>
              </w:rPr>
            </w:pPr>
            <w:r>
              <w:rPr>
                <w:rFonts w:hint="eastAsia" w:ascii="仿宋" w:hAnsi="仿宋" w:eastAsia="仿宋"/>
                <w:color w:val="auto"/>
                <w:szCs w:val="24"/>
                <w:lang w:val="en-US" w:eastAsia="zh-CN"/>
              </w:rPr>
              <w:t>0</w:t>
            </w:r>
          </w:p>
        </w:tc>
        <w:tc>
          <w:tcPr>
            <w:tcW w:w="6715"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val="en-US" w:eastAsia="zh-CN"/>
              </w:rPr>
            </w:pPr>
            <w:r>
              <w:rPr>
                <w:rFonts w:hint="eastAsia" w:ascii="仿宋" w:hAnsi="仿宋" w:eastAsia="仿宋"/>
                <w:color w:val="auto"/>
                <w:szCs w:val="24"/>
                <w:lang w:val="en-US" w:eastAsia="zh-CN"/>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6" w:hRule="atLeast"/>
        </w:trPr>
        <w:tc>
          <w:tcPr>
            <w:tcW w:w="4900" w:type="dxa"/>
            <w:noWrap w:val="0"/>
            <w:vAlign w:val="top"/>
          </w:tcPr>
          <w:p>
            <w:pPr>
              <w:pStyle w:val="7"/>
              <w:keepNext w:val="0"/>
              <w:keepLines w:val="0"/>
              <w:pageBreakBefore w:val="0"/>
              <w:kinsoku/>
              <w:wordWrap/>
              <w:overflowPunct/>
              <w:topLinePunct w:val="0"/>
              <w:bidi w:val="0"/>
              <w:spacing w:line="500" w:lineRule="exact"/>
              <w:textAlignment w:val="auto"/>
              <w:rPr>
                <w:rFonts w:hint="eastAsia" w:ascii="仿宋" w:hAnsi="仿宋" w:eastAsia="仿宋"/>
                <w:color w:val="auto"/>
                <w:szCs w:val="24"/>
                <w:lang w:eastAsia="zh-CN"/>
              </w:rPr>
            </w:pPr>
            <w:r>
              <w:rPr>
                <w:rFonts w:hint="eastAsia" w:ascii="仿宋" w:hAnsi="仿宋" w:eastAsia="仿宋"/>
                <w:color w:val="auto"/>
                <w:szCs w:val="24"/>
                <w:lang w:eastAsia="zh-CN"/>
              </w:rPr>
              <w:t>4、其它固定资产</w:t>
            </w:r>
          </w:p>
        </w:tc>
        <w:tc>
          <w:tcPr>
            <w:tcW w:w="3084"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eastAsia" w:ascii="仿宋" w:hAnsi="仿宋" w:eastAsia="仿宋"/>
                <w:color w:val="auto"/>
                <w:szCs w:val="24"/>
                <w:lang w:eastAsia="zh-CN"/>
              </w:rPr>
            </w:pPr>
          </w:p>
        </w:tc>
        <w:tc>
          <w:tcPr>
            <w:tcW w:w="6715" w:type="dxa"/>
            <w:noWrap w:val="0"/>
            <w:vAlign w:val="center"/>
          </w:tcPr>
          <w:p>
            <w:pPr>
              <w:pStyle w:val="7"/>
              <w:keepNext w:val="0"/>
              <w:keepLines w:val="0"/>
              <w:pageBreakBefore w:val="0"/>
              <w:kinsoku/>
              <w:wordWrap/>
              <w:overflowPunct/>
              <w:topLinePunct w:val="0"/>
              <w:bidi w:val="0"/>
              <w:spacing w:line="500" w:lineRule="exact"/>
              <w:jc w:val="center"/>
              <w:textAlignment w:val="auto"/>
              <w:rPr>
                <w:rFonts w:hint="default" w:ascii="仿宋" w:hAnsi="仿宋" w:eastAsia="仿宋"/>
                <w:color w:val="auto"/>
                <w:szCs w:val="24"/>
                <w:lang w:val="en-US" w:eastAsia="zh-CN"/>
              </w:rPr>
            </w:pPr>
            <w:r>
              <w:rPr>
                <w:rFonts w:hint="eastAsia" w:ascii="仿宋" w:hAnsi="仿宋" w:eastAsia="仿宋"/>
                <w:color w:val="auto"/>
                <w:szCs w:val="24"/>
                <w:lang w:val="en-US" w:eastAsia="zh-CN"/>
              </w:rPr>
              <w:t>201.19</w:t>
            </w:r>
          </w:p>
        </w:tc>
      </w:tr>
    </w:tbl>
    <w:p>
      <w:pPr>
        <w:pStyle w:val="7"/>
        <w:keepNext w:val="0"/>
        <w:keepLines w:val="0"/>
        <w:pageBreakBefore w:val="0"/>
        <w:kinsoku/>
        <w:wordWrap/>
        <w:overflowPunct/>
        <w:topLinePunct w:val="0"/>
        <w:bidi w:val="0"/>
        <w:spacing w:line="500" w:lineRule="exact"/>
        <w:textAlignment w:val="auto"/>
        <w:rPr>
          <w:rFonts w:hint="eastAsia" w:hAnsi="宋体"/>
          <w:color w:val="auto"/>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hAnsi="宋体"/>
          <w:color w:val="FF0000"/>
          <w:sz w:val="44"/>
          <w:szCs w:val="44"/>
          <w:lang w:eastAsia="zh-CN"/>
        </w:rPr>
      </w:pPr>
    </w:p>
    <w:p>
      <w:pPr>
        <w:pStyle w:val="7"/>
        <w:keepNext w:val="0"/>
        <w:keepLines w:val="0"/>
        <w:pageBreakBefore w:val="0"/>
        <w:kinsoku/>
        <w:wordWrap/>
        <w:overflowPunct/>
        <w:topLinePunct w:val="0"/>
        <w:bidi w:val="0"/>
        <w:spacing w:line="500" w:lineRule="exact"/>
        <w:textAlignment w:val="auto"/>
        <w:rPr>
          <w:rFonts w:hint="eastAsia" w:hAnsi="宋体"/>
          <w:color w:val="FF0000"/>
          <w:sz w:val="44"/>
          <w:szCs w:val="44"/>
          <w:lang w:eastAsia="zh-CN"/>
        </w:rPr>
      </w:pPr>
    </w:p>
    <w:p>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黑体" w:hAnsi="黑体" w:eastAsia="黑体" w:cs="Times New Roman"/>
          <w:color w:val="auto"/>
          <w:sz w:val="32"/>
          <w:szCs w:val="32"/>
          <w:lang w:eastAsia="zh-CN"/>
        </w:rPr>
      </w:pPr>
      <w:r>
        <w:rPr>
          <w:rFonts w:hint="eastAsia" w:ascii="黑体" w:hAnsi="黑体" w:eastAsia="黑体" w:cs="Times New Roman"/>
          <w:color w:val="auto"/>
          <w:sz w:val="32"/>
          <w:szCs w:val="32"/>
          <w:lang w:eastAsia="zh-CN"/>
        </w:rPr>
        <w:t>八、名词解释</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1、一般公共预算拨款收入：指</w:t>
      </w:r>
      <w:r>
        <w:rPr>
          <w:rFonts w:hint="eastAsia" w:ascii="Times New Roman" w:hAnsi="Times New Roman" w:eastAsia="仿宋" w:cs="Times New Roman"/>
          <w:color w:val="auto"/>
          <w:sz w:val="32"/>
          <w:szCs w:val="32"/>
          <w:lang w:val="en-US" w:eastAsia="zh-CN"/>
        </w:rPr>
        <w:t>区县</w:t>
      </w:r>
      <w:r>
        <w:rPr>
          <w:rFonts w:hint="eastAsia" w:ascii="Times New Roman" w:hAnsi="Times New Roman" w:eastAsia="仿宋" w:cs="Times New Roman"/>
          <w:color w:val="auto"/>
          <w:sz w:val="32"/>
          <w:szCs w:val="32"/>
        </w:rPr>
        <w:t>级财政当年拨付的资金。</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2、事业收入：指事业单位开展专业业务活动及辅助活动所取得的收入。</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6、上缴上级支出：指下级单位上缴上级的支出。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7、“三公”经费：纳入</w:t>
      </w:r>
      <w:r>
        <w:rPr>
          <w:rFonts w:hint="eastAsia" w:ascii="Times New Roman" w:hAnsi="Times New Roman" w:eastAsia="仿宋" w:cs="Times New Roman"/>
          <w:color w:val="auto"/>
          <w:sz w:val="32"/>
          <w:szCs w:val="32"/>
          <w:lang w:val="en-US" w:eastAsia="zh-CN"/>
        </w:rPr>
        <w:t>区县</w:t>
      </w:r>
      <w:r>
        <w:rPr>
          <w:rFonts w:hint="eastAsia" w:ascii="Times New Roman" w:hAnsi="Times New Roman" w:eastAsia="仿宋" w:cs="Times New Roman"/>
          <w:color w:val="auto"/>
          <w:sz w:val="32"/>
          <w:szCs w:val="32"/>
        </w:rPr>
        <w:t>级财政预算管理的“三公”经费，是指</w:t>
      </w:r>
      <w:r>
        <w:rPr>
          <w:rFonts w:hint="eastAsia" w:ascii="Times New Roman" w:hAnsi="Times New Roman" w:eastAsia="仿宋" w:cs="Times New Roman"/>
          <w:color w:val="auto"/>
          <w:sz w:val="32"/>
          <w:szCs w:val="32"/>
          <w:lang w:val="en-US" w:eastAsia="zh-CN"/>
        </w:rPr>
        <w:t>区县</w:t>
      </w:r>
      <w:r>
        <w:rPr>
          <w:rFonts w:hint="eastAsia" w:ascii="Times New Roman" w:hAnsi="Times New Roman" w:eastAsia="仿宋" w:cs="Times New Roman"/>
          <w:color w:val="auto"/>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color w:val="auto"/>
          <w:sz w:val="32"/>
          <w:szCs w:val="32"/>
        </w:rPr>
      </w:pPr>
      <w:r>
        <w:rPr>
          <w:rFonts w:hint="eastAsia" w:ascii="Times New Roman" w:hAnsi="Times New Roman" w:eastAsia="仿宋" w:cs="Times New Roman"/>
          <w:color w:val="auto"/>
          <w:sz w:val="32"/>
          <w:szCs w:val="32"/>
        </w:rPr>
        <w:t>9、上年结转：指以前年度尚未完成、结转到本年仍按原规定用途继续使用的资金。</w:t>
      </w:r>
    </w:p>
    <w:p>
      <w:pPr>
        <w:ind w:firstLine="640" w:firstLineChars="200"/>
        <w:rPr>
          <w:rFonts w:hint="eastAsia" w:ascii="方正小标宋_GBK" w:hAnsi="宋体" w:eastAsia="方正小标宋_GBK"/>
          <w:color w:val="auto"/>
          <w:sz w:val="44"/>
          <w:szCs w:val="44"/>
          <w:lang w:eastAsia="zh-CN"/>
        </w:rPr>
      </w:pPr>
      <w:r>
        <w:rPr>
          <w:rFonts w:hint="eastAsia" w:ascii="Times New Roman" w:hAnsi="Times New Roman" w:eastAsia="仿宋" w:cs="Times New Roman"/>
          <w:color w:val="auto"/>
          <w:sz w:val="32"/>
          <w:szCs w:val="32"/>
        </w:rPr>
        <w:t>10、事业单位经营支出：指事业单位在专业业务活动及其辅助活动之外开展非独立核算经营活动发生的支出。</w:t>
      </w:r>
    </w:p>
    <w:p>
      <w:pPr>
        <w:keepNext w:val="0"/>
        <w:keepLines w:val="0"/>
        <w:pageBreakBefore w:val="0"/>
        <w:kinsoku/>
        <w:wordWrap/>
        <w:overflowPunct/>
        <w:topLinePunct w:val="0"/>
        <w:autoSpaceDE w:val="0"/>
        <w:autoSpaceDN w:val="0"/>
        <w:bidi w:val="0"/>
        <w:adjustRightInd w:val="0"/>
        <w:spacing w:line="500" w:lineRule="exact"/>
        <w:ind w:firstLine="960" w:firstLineChars="300"/>
        <w:jc w:val="left"/>
        <w:textAlignment w:val="auto"/>
        <w:rPr>
          <w:rFonts w:hint="eastAsia" w:ascii="方正小标宋_GBK" w:hAnsi="宋体"/>
          <w:color w:val="auto"/>
          <w:sz w:val="32"/>
          <w:szCs w:val="32"/>
          <w:lang w:eastAsia="zh-CN"/>
        </w:rPr>
      </w:pPr>
      <w:r>
        <w:rPr>
          <w:rFonts w:hint="eastAsia" w:ascii="黑体" w:hAnsi="黑体" w:eastAsia="黑体" w:cs="Times New Roman"/>
          <w:color w:val="auto"/>
          <w:sz w:val="32"/>
          <w:szCs w:val="32"/>
          <w:lang w:eastAsia="zh-CN"/>
        </w:rPr>
        <w:t>九、其他需要说明的事项</w:t>
      </w:r>
    </w:p>
    <w:p>
      <w:pPr>
        <w:pStyle w:val="7"/>
        <w:keepNext w:val="0"/>
        <w:keepLines w:val="0"/>
        <w:pageBreakBefore w:val="0"/>
        <w:widowControl/>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color w:val="auto"/>
          <w:sz w:val="32"/>
          <w:szCs w:val="32"/>
          <w:highlight w:val="none"/>
          <w:lang w:eastAsia="zh-CN"/>
        </w:rPr>
      </w:pPr>
      <w:r>
        <w:rPr>
          <w:rFonts w:hint="eastAsia" w:ascii="仿宋" w:hAnsi="仿宋" w:eastAsia="仿宋" w:cs="仿宋"/>
          <w:color w:val="auto"/>
          <w:sz w:val="32"/>
          <w:szCs w:val="32"/>
          <w:highlight w:val="none"/>
          <w:lang w:eastAsia="zh-CN"/>
        </w:rPr>
        <w:t>我</w:t>
      </w:r>
      <w:r>
        <w:rPr>
          <w:rFonts w:hint="eastAsia" w:ascii="仿宋" w:hAnsi="仿宋" w:eastAsia="仿宋" w:cs="仿宋"/>
          <w:color w:val="auto"/>
          <w:sz w:val="32"/>
          <w:szCs w:val="32"/>
          <w:highlight w:val="none"/>
          <w:lang w:val="en-US" w:eastAsia="zh-CN"/>
        </w:rPr>
        <w:t>部门</w:t>
      </w:r>
      <w:r>
        <w:rPr>
          <w:rFonts w:hint="eastAsia" w:ascii="仿宋" w:hAnsi="仿宋" w:eastAsia="仿宋" w:cs="仿宋"/>
          <w:color w:val="auto"/>
          <w:sz w:val="32"/>
          <w:szCs w:val="32"/>
          <w:highlight w:val="none"/>
          <w:lang w:eastAsia="zh-CN"/>
        </w:rPr>
        <w:t>无其他需要说明的事项。</w:t>
      </w:r>
    </w:p>
    <w:p>
      <w:pPr>
        <w:pStyle w:val="7"/>
        <w:keepNext w:val="0"/>
        <w:keepLines w:val="0"/>
        <w:pageBreakBefore w:val="0"/>
        <w:tabs>
          <w:tab w:val="left" w:pos="1956"/>
        </w:tabs>
        <w:kinsoku/>
        <w:wordWrap/>
        <w:overflowPunct/>
        <w:topLinePunct w:val="0"/>
        <w:bidi w:val="0"/>
        <w:spacing w:line="500" w:lineRule="exact"/>
        <w:textAlignment w:val="auto"/>
        <w:rPr>
          <w:rFonts w:hint="eastAsia" w:ascii="仿宋" w:hAnsi="仿宋" w:eastAsia="仿宋"/>
          <w:color w:val="auto"/>
          <w:sz w:val="32"/>
          <w:szCs w:val="32"/>
          <w:lang w:eastAsia="zh-CN"/>
        </w:rPr>
      </w:pPr>
    </w:p>
    <w:p>
      <w:pPr>
        <w:keepNext w:val="0"/>
        <w:keepLines w:val="0"/>
        <w:pageBreakBefore w:val="0"/>
        <w:kinsoku/>
        <w:wordWrap/>
        <w:overflowPunct/>
        <w:topLinePunct w:val="0"/>
        <w:bidi w:val="0"/>
        <w:spacing w:line="500" w:lineRule="exact"/>
        <w:textAlignment w:val="auto"/>
        <w:rPr>
          <w:color w:val="auto"/>
        </w:rPr>
      </w:pPr>
    </w:p>
    <w:sectPr>
      <w:headerReference r:id="rId3" w:type="default"/>
      <w:footerReference r:id="rId4" w:type="default"/>
      <w:footerReference r:id="rId5" w:type="even"/>
      <w:pgSz w:w="16839" w:h="11907" w:orient="landscape"/>
      <w:pgMar w:top="1134" w:right="1020" w:bottom="1134" w:left="10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altName w:val="宋体"/>
    <w:panose1 w:val="03000509000000000000"/>
    <w:charset w:val="86"/>
    <w:family w:val="script"/>
    <w:pitch w:val="default"/>
    <w:sig w:usb0="00000000" w:usb1="00000000" w:usb2="00000010" w:usb3="00000000" w:csb0="00040000" w:csb1="00000000"/>
  </w:font>
  <w:font w:name="方正书宋_GBK">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rPr>
        <w:rStyle w:val="6"/>
      </w:rPr>
      <w:t>5</w:t>
    </w:r>
    <w:r>
      <w:fldChar w:fldCharType="end"/>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separate"/>
    </w:r>
    <w: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hYzIyNzNhZjUwNWVhZGQxMzQxYTM1ZDQwYmVjNjgifQ=="/>
  </w:docVars>
  <w:rsids>
    <w:rsidRoot w:val="1D23228B"/>
    <w:rsid w:val="120A4777"/>
    <w:rsid w:val="18B26B92"/>
    <w:rsid w:val="1D23228B"/>
    <w:rsid w:val="4AFD7F16"/>
    <w:rsid w:val="52CB5484"/>
    <w:rsid w:val="69A93A5A"/>
    <w:rsid w:val="6A9D67CD"/>
    <w:rsid w:val="70BD0FED"/>
    <w:rsid w:val="784B202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rFonts w:eastAsia="宋体"/>
      <w:kern w:val="2"/>
      <w:sz w:val="18"/>
      <w:szCs w:val="18"/>
      <w:lang w:val="en-US" w:eastAsia="zh-CN" w:bidi="ar-SA"/>
    </w:rPr>
  </w:style>
  <w:style w:type="character" w:styleId="6">
    <w:name w:val="page number"/>
    <w:basedOn w:val="5"/>
    <w:qFormat/>
    <w:uiPriority w:val="0"/>
  </w:style>
  <w:style w:type="paragraph" w:customStyle="1" w:styleId="7">
    <w:name w:val="[Normal]"/>
    <w:qFormat/>
    <w:uiPriority w:val="0"/>
    <w:rPr>
      <w:rFonts w:ascii="宋体" w:hAnsi="Calibri" w:eastAsia="宋体" w:cs="Times New Roman"/>
      <w:sz w:val="24"/>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18</Pages>
  <Words>7891</Words>
  <Characters>8568</Characters>
  <Lines>0</Lines>
  <Paragraphs>0</Paragraphs>
  <TotalTime>48</TotalTime>
  <ScaleCrop>false</ScaleCrop>
  <LinksUpToDate>false</LinksUpToDate>
  <CharactersWithSpaces>8660</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2020-02-21T02:33:00Z</dcterms:created>
  <dc:creator>韩小木</dc:creator>
  <cp:lastModifiedBy>韩小木</cp:lastModifiedBy>
  <dcterms:modified xsi:type="dcterms:W3CDTF">2022-08-29T10:51:07Z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8CCFBD91490F40A2B236DE721EB20238</vt:lpwstr>
  </property>
</Properties>
</file>