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left="0" w:leftChars="0" w:right="0" w:rightChars="0" w:firstLine="0" w:firstLineChars="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color w:val="auto"/>
          <w:sz w:val="44"/>
          <w:szCs w:val="44"/>
          <w:lang w:val="en-US" w:eastAsia="zh-CN"/>
        </w:rPr>
        <w:t>石家庄市藁城区人民检察院</w:t>
      </w: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val="en-US" w:eastAsia="zh-CN"/>
        </w:rPr>
        <w:t>石家庄市藁城区人民检察院</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pPr>
        <w:numPr>
          <w:ilvl w:val="0"/>
          <w:numId w:val="0"/>
        </w:numPr>
        <w:ind w:firstLine="643" w:firstLineChars="20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lang w:eastAsia="zh-CN"/>
        </w:rPr>
        <w:t>石家庄市藁城区人民检察院受上级人民检察院领导，对本级人民代表大会及其常务委员会负责并报告工作。</w:t>
      </w:r>
      <w:r>
        <w:rPr>
          <w:rFonts w:hint="eastAsia" w:ascii="Times New Roman" w:hAnsi="Times New Roman" w:eastAsia="仿宋" w:cs="Times New Roman"/>
          <w:sz w:val="32"/>
          <w:szCs w:val="32"/>
        </w:rPr>
        <w:t>依照宪法和地方组织法的规定，</w:t>
      </w:r>
      <w:r>
        <w:rPr>
          <w:rFonts w:hint="eastAsia" w:ascii="Times New Roman" w:hAnsi="Times New Roman" w:eastAsia="仿宋" w:cs="Times New Roman"/>
          <w:sz w:val="32"/>
          <w:szCs w:val="32"/>
          <w:lang w:eastAsia="zh-CN"/>
        </w:rPr>
        <w:t>石家庄市藁城区人民检察院的主要职责是</w:t>
      </w:r>
      <w:r>
        <w:rPr>
          <w:rFonts w:hint="eastAsia" w:ascii="Times New Roman" w:hAnsi="Times New Roman" w:eastAsia="仿宋" w:cs="Times New Roman"/>
          <w:sz w:val="32"/>
          <w:szCs w:val="32"/>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（一）</w:t>
      </w:r>
      <w:r>
        <w:rPr>
          <w:rFonts w:hint="eastAsia" w:ascii="Times New Roman" w:hAnsi="Times New Roman" w:eastAsia="仿宋" w:cs="Times New Roman"/>
          <w:sz w:val="32"/>
          <w:szCs w:val="32"/>
          <w:lang w:val="en-US" w:eastAsia="zh-CN"/>
        </w:rPr>
        <w:t>石家庄市藁城区人民检察院的主要职责是：</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深入贯彻习近平新时代中国特色社会主义思想，深入贯彻党的路线方针和决策部署,坚持党对检察工作的绝对领导,坚决维护习近平总书记的核心地位,坚决维护党中央权威和集中统一领导。</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(二)依法向区人民代表大会及其常务委员会提出议案。</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(三)贯彻落实检察工作方针、总体规划,研究制定检察工作计划并组织实施。</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(四)依照法律规定对直接受理的刑事案件行使侦查权。</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(五)负责对管辖的各类刑事案件依法审查批准逮捕、决定逮捕、提起公诉。</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(六)负责应由本院承办的刑事、民事、行政诉讼活动及刑事、民事、行政判决和裁定等生效法律文书执行的法律监督工作。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(七)负责应由本院承办的提起公益诉讼工作。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(八)依法受理核准追诉案件,审查是否上报。</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(九)负责应由本院承办的对看守所、社区矫正等执法活动</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的法律监督工作。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(十)受理向本院的控告申诉。</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(十一)组织检察工作中法律政策具体应用问題的研究;组</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织开展检察理论研究工作。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(十二)负责检察人员思想政治教育和业务培训工作;按照</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权限管理检察官和其他工作人员。</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(十三)负责本院检务督察工作。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(十四)负责本院检务保障以及检察技术、信息化建设工作。</w:t>
      </w:r>
    </w:p>
    <w:p>
      <w:pPr>
        <w:ind w:firstLine="640" w:firstLineChars="20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(十五)完成其他应当由本院负责的工作。</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ascii="Times New Roman" w:hAnsi="Times New Roman" w:cs="Times New Roman"/>
                <w:szCs w:val="24"/>
              </w:rPr>
            </w:pPr>
          </w:p>
        </w:tc>
        <w:tc>
          <w:tcPr>
            <w:tcW w:w="1134" w:type="dxa"/>
            <w:vMerge w:val="continue"/>
            <w:noWrap w:val="0"/>
            <w:vAlign w:val="center"/>
          </w:tcPr>
          <w:p>
            <w:pPr>
              <w:spacing w:line="300" w:lineRule="exact"/>
              <w:jc w:val="left"/>
              <w:outlineLvl w:val="0"/>
              <w:rPr>
                <w:rFonts w:ascii="Times New Roman" w:hAnsi="Times New Roman" w:cs="Times New Roman"/>
                <w:szCs w:val="24"/>
              </w:rPr>
            </w:pPr>
          </w:p>
        </w:tc>
        <w:tc>
          <w:tcPr>
            <w:tcW w:w="1276" w:type="dxa"/>
            <w:vMerge w:val="continue"/>
            <w:noWrap w:val="0"/>
            <w:vAlign w:val="center"/>
          </w:tcPr>
          <w:p>
            <w:pPr>
              <w:spacing w:line="300" w:lineRule="exact"/>
              <w:jc w:val="left"/>
              <w:outlineLvl w:val="0"/>
              <w:rPr>
                <w:rFonts w:ascii="Times New Roman" w:hAnsi="Times New Roman" w:cs="Times New Roman"/>
                <w:szCs w:val="24"/>
              </w:rPr>
            </w:pPr>
          </w:p>
        </w:tc>
        <w:tc>
          <w:tcPr>
            <w:tcW w:w="2902" w:type="dxa"/>
            <w:vMerge w:val="continue"/>
            <w:noWrap w:val="0"/>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lang w:eastAsia="zh-CN"/>
              </w:rPr>
              <w:t>石家庄市藁城区人民检察院</w:t>
            </w:r>
          </w:p>
        </w:tc>
        <w:tc>
          <w:tcPr>
            <w:tcW w:w="1134"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val="en-US" w:eastAsia="zh-CN"/>
              </w:rPr>
              <w:t>副处</w:t>
            </w:r>
            <w:r>
              <w:rPr>
                <w:rFonts w:hint="eastAsia" w:ascii="方正书宋_GBK" w:eastAsia="方正书宋_GBK"/>
              </w:rPr>
              <w:t>级</w:t>
            </w:r>
          </w:p>
        </w:tc>
        <w:tc>
          <w:tcPr>
            <w:tcW w:w="2902"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方正书宋_GBK" w:eastAsia="方正书宋_GBK"/>
                <w:lang w:eastAsia="zh-CN"/>
              </w:rPr>
            </w:pPr>
          </w:p>
        </w:tc>
        <w:tc>
          <w:tcPr>
            <w:tcW w:w="1134" w:type="dxa"/>
            <w:noWrap w:val="0"/>
            <w:vAlign w:val="center"/>
          </w:tcPr>
          <w:p>
            <w:pPr>
              <w:spacing w:line="300" w:lineRule="exact"/>
              <w:jc w:val="center"/>
              <w:rPr>
                <w:rFonts w:hint="eastAsia" w:ascii="方正书宋_GBK" w:eastAsia="方正书宋_GBK"/>
              </w:rPr>
            </w:pPr>
          </w:p>
        </w:tc>
        <w:tc>
          <w:tcPr>
            <w:tcW w:w="1276" w:type="dxa"/>
            <w:noWrap w:val="0"/>
            <w:vAlign w:val="center"/>
          </w:tcPr>
          <w:p>
            <w:pPr>
              <w:spacing w:line="300" w:lineRule="exact"/>
              <w:jc w:val="center"/>
              <w:rPr>
                <w:rFonts w:hint="eastAsia" w:ascii="方正书宋_GBK" w:eastAsia="方正书宋_GBK"/>
                <w:lang w:val="en-US" w:eastAsia="zh-CN"/>
              </w:rPr>
            </w:pPr>
          </w:p>
        </w:tc>
        <w:tc>
          <w:tcPr>
            <w:tcW w:w="2902" w:type="dxa"/>
            <w:noWrap w:val="0"/>
            <w:vAlign w:val="center"/>
          </w:tcPr>
          <w:p>
            <w:pPr>
              <w:spacing w:line="300" w:lineRule="exact"/>
              <w:jc w:val="center"/>
              <w:rPr>
                <w:rFonts w:hint="eastAsia" w:ascii="方正书宋_GBK" w:eastAsia="方正书宋_GBK"/>
              </w:rPr>
            </w:pPr>
          </w:p>
        </w:tc>
      </w:tr>
    </w:tbl>
    <w:p>
      <w:pPr>
        <w:ind w:firstLine="640"/>
        <w:rPr>
          <w:rFonts w:hint="eastAsia" w:ascii="黑体" w:hAnsi="黑体" w:eastAsia="黑体" w:cs="Times New Roman"/>
          <w:sz w:val="32"/>
          <w:szCs w:val="32"/>
        </w:rPr>
      </w:pPr>
    </w:p>
    <w:p>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部门预算安排的总体情况</w:t>
      </w:r>
    </w:p>
    <w:p>
      <w:pPr>
        <w:numPr>
          <w:ilvl w:val="0"/>
          <w:numId w:val="0"/>
        </w:num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val="en-US" w:eastAsia="zh-CN"/>
        </w:rPr>
        <w:t>石家庄市藁城区人民检察院</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1629.59</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1629.59</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val="en-US" w:eastAsia="zh-CN"/>
        </w:rPr>
        <w:t>石家庄市藁城区人民检察院</w:t>
      </w:r>
      <w:r>
        <w:rPr>
          <w:rFonts w:hint="eastAsia" w:ascii="Times New Roman" w:hAnsi="Times New Roman" w:eastAsia="仿宋" w:cs="Times New Roman"/>
          <w:sz w:val="32"/>
          <w:szCs w:val="32"/>
        </w:rPr>
        <w:t>预算中支出预算的总体情况。</w:t>
      </w: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1629.59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1258.22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1138.01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120.21</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371.37</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检查监督支出</w:t>
      </w:r>
      <w:r>
        <w:rPr>
          <w:rFonts w:hint="eastAsia" w:ascii="Times New Roman" w:hAnsi="Times New Roman" w:eastAsia="仿宋" w:cs="Times New Roman"/>
          <w:sz w:val="32"/>
          <w:szCs w:val="32"/>
          <w:lang w:val="en-US" w:eastAsia="zh-CN"/>
        </w:rPr>
        <w:t>371.37</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1629.59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eastAsia="zh-CN"/>
        </w:rPr>
        <w:t>2020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减少47.64</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1.4</w:t>
      </w:r>
      <w:r>
        <w:rPr>
          <w:rFonts w:hint="eastAsia" w:ascii="Times New Roman" w:hAnsi="Times New Roman" w:eastAsia="仿宋" w:cs="Times New Roman"/>
          <w:sz w:val="32"/>
          <w:szCs w:val="32"/>
        </w:rPr>
        <w:t>万元，主要是人员减少，相应减少人员经费和日常公用经费；项目支出</w:t>
      </w:r>
      <w:r>
        <w:rPr>
          <w:rFonts w:hint="eastAsia" w:ascii="Times New Roman" w:hAnsi="Times New Roman" w:eastAsia="仿宋" w:cs="Times New Roman"/>
          <w:sz w:val="32"/>
          <w:szCs w:val="32"/>
          <w:lang w:val="en-US" w:eastAsia="zh-CN"/>
        </w:rPr>
        <w:t>减少46.24</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罚没收入上交返还的金额有减少</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120.21</w:t>
      </w:r>
      <w:r>
        <w:rPr>
          <w:rFonts w:hint="eastAsia" w:ascii="Times New Roman" w:hAnsi="Times New Roman" w:eastAsia="仿宋" w:cs="Times New Roman"/>
          <w:sz w:val="32"/>
          <w:szCs w:val="32"/>
        </w:rPr>
        <w:t>万元，主要用于保证机关正常运转的办公及印刷费、邮电费、差旅费、福利费、办公用房水电费、办公用房取暖费、日常维修费、办公楼物业管理费、公务车运行维护费等支出。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22</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22</w:t>
      </w:r>
      <w:r>
        <w:rPr>
          <w:rFonts w:hint="eastAsia" w:ascii="Times New Roman" w:hAnsi="Times New Roman" w:eastAsia="仿宋" w:cs="Times New Roman"/>
          <w:sz w:val="32"/>
          <w:szCs w:val="32"/>
        </w:rPr>
        <w:t>万元</w:t>
      </w:r>
      <w:r>
        <w:rPr>
          <w:rFonts w:hint="eastAsia" w:ascii="Times New Roman" w:hAnsi="Times New Roman" w:eastAsia="仿宋" w:cs="Times New Roman"/>
          <w:color w:val="auto"/>
          <w:sz w:val="32"/>
          <w:szCs w:val="32"/>
        </w:rPr>
        <w:t>（其中：公务用车购置费</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万元，公务用车运行维护费</w:t>
      </w:r>
      <w:r>
        <w:rPr>
          <w:rFonts w:hint="eastAsia" w:ascii="Times New Roman" w:hAnsi="Times New Roman" w:eastAsia="仿宋" w:cs="Times New Roman"/>
          <w:color w:val="auto"/>
          <w:sz w:val="32"/>
          <w:szCs w:val="32"/>
          <w:lang w:val="en-US" w:eastAsia="zh-CN"/>
        </w:rPr>
        <w:t>22</w:t>
      </w:r>
      <w:r>
        <w:rPr>
          <w:rFonts w:hint="eastAsia" w:ascii="Times New Roman" w:hAnsi="Times New Roman" w:eastAsia="仿宋" w:cs="Times New Roman"/>
          <w:color w:val="auto"/>
          <w:sz w:val="32"/>
          <w:szCs w:val="32"/>
        </w:rPr>
        <w:t>万元)；公务</w:t>
      </w:r>
      <w:r>
        <w:rPr>
          <w:rFonts w:hint="eastAsia" w:ascii="Times New Roman" w:hAnsi="Times New Roman" w:eastAsia="仿宋" w:cs="Times New Roman"/>
          <w:sz w:val="32"/>
          <w:szCs w:val="32"/>
        </w:rPr>
        <w:t>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hint="eastAsia" w:ascii="Times New Roman" w:hAnsi="Times New Roman" w:eastAsia="方正仿宋_GBK" w:cs="Times New Roman"/>
          <w:sz w:val="32"/>
          <w:szCs w:val="32"/>
          <w:lang w:val="en-US" w:eastAsia="zh-CN"/>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要以时不我待的紧迫感、只争朝夕的责任感，认真贯彻落实习近平总书记在全国‘两会’上的重要讲话精神和全国‘两会’精神以及省委部署，聚焦法律监督主责主业，大力加强检察队伍建设，服务保障全省经济社会发展大局。更要坚持问题导向，着力补齐短板，深入贯彻落实高检院各项工作部署，全面提升检察工作水平，全力推进刑事检察、民事检察、行政检察、公益诉讼检察工作持续健康发展，以优质的检察产品积极顺应人民群众日益增长的司法需求，努力增强人民群众的获得感、幸福感、安全感。</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大力开展扫黑除恶专项斗争</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绩效目标：紧盯涉黑涉恶犯罪线索/深挖彻查“保护伞”，强化法律监督职能/增强监督工作实效，加大涉黑涉恶重大犯罪打击力度/铲除恶黑势力经济基础，不断强化扫黑队伍建设和宣传发动。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①阵地建设。领导小组及其办公室运行正常，工作到位；有专门办公室，办公室挂牌，相关制度上墙。②制度建设。制定本辖区扫黑除恶专项斗争2019年度方案，方案切实可行、操作性强；明确线索摸排、举报奖励、奖惩、责任追究等工作制度并组织实施；落实了工作经费。③工作部署。每季度召开党政联席会议部署、研究扫黑除恶工作，主要领导听取扫黑除恶工作汇报并亲自安排部署相关工作（要有记录和相关资料体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积极开展公益诉讼工作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绩效目标：全面落实开展公益诉讼工作的各项部署，努力办理一批党委政府关心/人民群众关注/社会反映强烈的公益诉讼案件。</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绩效指标：公益诉讼案件办结率达到85%以上，群众满意度达到90%以上</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不断强化检察监督。</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绩效目标：找准检察监督发展重点，明确检察监督主要内容；把握检察监督工作方法，坚持在党的领导下开展检察监督工作，进一步聚焦主责主业，努力让人民群众在每一起司法案件中感到公平正义。</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绩效指标：深化司法体制综合配套改革，持续建设过硬检察队伍。各项检察综合业务管理工作完成率达到85%以上。</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抓科学管理，制定严格的财务管理制度。我院进一步修改了本单位的财务管理制度，制定了《财务管理制度》、《固定资产管理制度》、《内控制度》，进一步明确经费支出各项规定，规范政府采购流程，强化内部控制建设。不断强化预算的刚性，加强预算执行监督，年中调整预算及时报财政审批；要把绩效管理引入预算管理，通过两者的有机融合，提高财政资金使用效益。</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抓基础建设，为一线科室提供强有力的物质支持。科技强检是新形势下检察机关借助高科技平台提高办案效率、保证司法公正的重要手段，是适应信息时代发展与和谐社会建设要求的必由之路。我院把信息化建设工作摆在重要位置常抓不懈，积极购置办公通用设备、业务专业设备等，打破了检察业务传统工作方式，使检察工作更加现代化、专业化。</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firstLine="640" w:firstLineChars="200"/>
        <w:jc w:val="left"/>
        <w:rPr>
          <w:rFonts w:hint="eastAsia" w:ascii="Times New Roman" w:hAnsi="Times New Roman" w:eastAsia="方正仿宋_GBK" w:cs="Times New Roman"/>
          <w:b/>
          <w:sz w:val="32"/>
          <w:szCs w:val="32"/>
          <w:lang w:eastAsia="zh-CN"/>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3"/>
        <w:rPr>
          <w:rFonts w:hAnsi="宋体"/>
          <w:b/>
          <w:sz w:val="28"/>
        </w:rPr>
      </w:pPr>
      <w:r>
        <w:rPr>
          <w:rFonts w:hint="eastAsia" w:ascii="方正仿宋_GBK" w:eastAsia="方正仿宋_GBK"/>
          <w:b/>
          <w:sz w:val="28"/>
        </w:rPr>
        <w:t xml:space="preserve"> </w:t>
      </w:r>
      <w:bookmarkEnd w:id="0"/>
      <w:bookmarkStart w:id="4" w:name="_Toc65750109"/>
      <w:r>
        <w:rPr>
          <w:rFonts w:hint="eastAsia" w:ascii="方正仿宋_GBK" w:eastAsia="方正仿宋_GBK"/>
          <w:b/>
          <w:sz w:val="28"/>
        </w:rPr>
        <w:t>1、石财行[2020]60号关于提前下达2021年中央政法纪检监察转移支付资金的通知（检察院）绩效目标表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1、石财行[2020]60号关于提前下达2021年中央政法纪检监察转移支付资金的通知（检察院）绩效目标表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1301092106AI6PA972PSH</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[2020]60</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年中央政法纪检监察转移支付资金的通知（检察院）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101.00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101.00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用于保障政法机关开展办案业务和业务装备支出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用于保障政法机关开展办案业务和业务装备支出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维护司法公正</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业务装备经费</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业务装备经费</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万元</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足额到位率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足额到位率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资金支出及时率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资金支出及时率</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101</w:t>
            </w:r>
            <w:r>
              <w:rPr>
                <w:rFonts w:hint="eastAsia" w:ascii="方正书宋_GBK" w:eastAsia="方正书宋_GBK"/>
              </w:rPr>
              <w:t>万元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持续维护公平正义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持续维护公平正义</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持续维护公平正义</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5" w:name="_Toc65750110"/>
      <w:r>
        <w:rPr>
          <w:rFonts w:hint="eastAsia" w:ascii="方正仿宋_GBK" w:eastAsia="方正仿宋_GBK"/>
          <w:b/>
          <w:sz w:val="28"/>
        </w:rPr>
        <w:t>2、石财行[2020]57号关于提前下达2021年省级基层公检法司转移支付资金的通知（检察院）绩效目标表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2、石财行[2020]57号关于提前下达2021年省级基层公检法司转移支付资金的通知（检察院）绩效目标表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130109210M1YPB6MGPSS8</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[2020]57</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年省级基层公检法司转移支付资金的通知（检察院）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77.00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77.00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保障我单位业务装备费和办案业务费支出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维护司法公正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保障我单位的业务装备费和办案业务费支出</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业务装备经费</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业务装备经费</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万元</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足额到位率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足额到位率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资金支出及时率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资金支出及时率</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101</w:t>
            </w:r>
            <w:r>
              <w:rPr>
                <w:rFonts w:hint="eastAsia" w:ascii="方正书宋_GBK" w:eastAsia="方正书宋_GBK"/>
              </w:rPr>
              <w:t>万元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持续维护公平正义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持续维护公平正义</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持续维护公平正义</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根据实际</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6" w:name="_Toc65750111"/>
      <w:r>
        <w:rPr>
          <w:rFonts w:hint="eastAsia" w:ascii="方正仿宋_GBK" w:eastAsia="方正仿宋_GBK"/>
          <w:b/>
          <w:sz w:val="28"/>
        </w:rPr>
        <w:t>3、检察辅助人员工资绩效目标表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3、检察辅助人员工资绩效目标表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13010921DDMO32C5G8GPL</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检察辅助人员工资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45.60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45.60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预算资金共计</w:t>
            </w:r>
            <w:r>
              <w:rPr>
                <w:rFonts w:ascii="方正书宋_GBK" w:eastAsia="方正书宋_GBK"/>
              </w:rPr>
              <w:t>45.6</w:t>
            </w:r>
            <w:r>
              <w:rPr>
                <w:rFonts w:hint="eastAsia" w:ascii="方正书宋_GBK" w:eastAsia="方正书宋_GBK"/>
              </w:rPr>
              <w:t>万元，用于发放检察辅助人员工资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提高检辅人员工作积极性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保障检察院各项事务顺利开展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提高工作效率</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关于招聘检查辅助人员的请示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月发放标准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月发放标准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藁人社字【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发放及时性</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领导决定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月发放标准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月发放标准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藁人社字【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对社会稳定性的影响程度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对社会稳定性的影响程度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提高检辅人员工作积极性</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领导决定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7" w:name="_Toc65750112"/>
      <w:r>
        <w:rPr>
          <w:rFonts w:hint="eastAsia" w:ascii="方正仿宋_GBK" w:eastAsia="方正仿宋_GBK"/>
          <w:b/>
          <w:sz w:val="28"/>
        </w:rPr>
        <w:t>4、检察院工作人员工作日之外加班补贴绩效目标表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4、检察院工作人员工作日之外加班补贴绩效目标表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13010921DNSM312C92486</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检察院工作人员工作日之外加班补贴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16.32</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16.32</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15.84</w:t>
            </w:r>
            <w:r>
              <w:rPr>
                <w:rFonts w:hint="eastAsia" w:ascii="方正书宋_GBK" w:eastAsia="方正书宋_GBK"/>
              </w:rPr>
              <w:t>万元，用于检察院工作人员工作日之外加班补贴，发放补贴对象为除法警以外的所有正式干警，人数为</w:t>
            </w:r>
            <w:r>
              <w:rPr>
                <w:rFonts w:ascii="方正书宋_GBK" w:eastAsia="方正书宋_GBK"/>
              </w:rPr>
              <w:t>44</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提高干警工作积极性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保障检察院各项事务顺利开展</w:t>
            </w:r>
            <w:r>
              <w:rPr>
                <w:rFonts w:ascii="方正书宋_GBK" w:eastAsia="方正书宋_GBK"/>
              </w:rPr>
              <w:t>,</w:t>
            </w:r>
            <w:r>
              <w:rPr>
                <w:rFonts w:hint="eastAsia" w:ascii="方正书宋_GBK" w:eastAsia="方正书宋_GBK"/>
              </w:rPr>
              <w:t>提高工作效率</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补助发放覆盖率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补助发放覆盖率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石人社字【</w:t>
            </w:r>
            <w:r>
              <w:rPr>
                <w:rFonts w:ascii="方正书宋_GBK" w:eastAsia="方正书宋_GBK"/>
              </w:rPr>
              <w:t>2013</w:t>
            </w:r>
            <w:r>
              <w:rPr>
                <w:rFonts w:hint="eastAsia" w:ascii="方正书宋_GBK" w:eastAsia="方正书宋_GBK"/>
              </w:rPr>
              <w:t>】</w:t>
            </w:r>
            <w:r>
              <w:rPr>
                <w:rFonts w:ascii="方正书宋_GBK" w:eastAsia="方正书宋_GBK"/>
              </w:rPr>
              <w:t>53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发放补助及时性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发放补助及时性</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每季度按时发放</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领导决定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月人均最高补贴标准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月人均最高补贴标准</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300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石人社字【</w:t>
            </w:r>
            <w:r>
              <w:rPr>
                <w:rFonts w:ascii="方正书宋_GBK" w:eastAsia="方正书宋_GBK"/>
              </w:rPr>
              <w:t>2013</w:t>
            </w:r>
            <w:r>
              <w:rPr>
                <w:rFonts w:hint="eastAsia" w:ascii="方正书宋_GBK" w:eastAsia="方正书宋_GBK"/>
              </w:rPr>
              <w:t>】</w:t>
            </w:r>
            <w:r>
              <w:rPr>
                <w:rFonts w:ascii="方正书宋_GBK" w:eastAsia="方正书宋_GBK"/>
              </w:rPr>
              <w:t>53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对社会稳定性的影响程度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对社会稳定性的影响程度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提高干警工作积极性</w:t>
            </w:r>
          </w:p>
        </w:tc>
        <w:tc>
          <w:tcPr>
            <w:tcW w:w="1701"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8" w:name="_Toc65750113"/>
      <w:r>
        <w:rPr>
          <w:rFonts w:hint="eastAsia" w:ascii="方正仿宋_GBK" w:eastAsia="方正仿宋_GBK"/>
          <w:b/>
          <w:sz w:val="28"/>
        </w:rPr>
        <w:t>5、办案业务费绩效目标表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5、办案业务费绩效目标表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13010921KBE3QWQBMDC8X</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办案业务费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120.00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120.00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165</w:t>
            </w:r>
            <w:r>
              <w:rPr>
                <w:rFonts w:hint="eastAsia" w:ascii="方正书宋_GBK" w:eastAsia="方正书宋_GBK"/>
              </w:rPr>
              <w:t>万元用于办案业务费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提高干警工作积极性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保障检察院各项事务顺利开展</w:t>
            </w:r>
            <w:r>
              <w:rPr>
                <w:rFonts w:ascii="方正书宋_GBK" w:eastAsia="方正书宋_GBK"/>
              </w:rPr>
              <w:t>,</w:t>
            </w:r>
            <w:r>
              <w:rPr>
                <w:rFonts w:hint="eastAsia" w:ascii="方正书宋_GBK" w:eastAsia="方正书宋_GBK"/>
              </w:rPr>
              <w:t>提高工作效率</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各项检务保障工作完成率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各项检务保障工作完成率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领导决定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出庭意见采纳率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出庭意见采纳率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办案保证及时率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及时保证业务正常开展</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严格控制成本，不超出项目预算数</w:t>
            </w:r>
          </w:p>
        </w:tc>
        <w:tc>
          <w:tcPr>
            <w:tcW w:w="2891" w:type="dxa"/>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对社会稳定性的影响程度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对社会稳定性的影响程度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工作需要</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9" w:name="_Toc65750114"/>
      <w:r>
        <w:rPr>
          <w:rFonts w:hint="eastAsia" w:ascii="方正仿宋_GBK" w:eastAsia="方正仿宋_GBK"/>
          <w:b/>
          <w:sz w:val="28"/>
        </w:rPr>
        <w:t>6、检察院法警工作日之外加班及执勤补贴绩效目标表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6、检察院法警工作日之外加班及执勤补贴绩效目标表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151001</w:t>
            </w:r>
            <w:r>
              <w:rPr>
                <w:rFonts w:hint="eastAsia" w:ascii="方正书宋_GBK" w:eastAsia="方正书宋_GBK"/>
                <w:b/>
              </w:rPr>
              <w:t>石家庄市藁城区人民检察院本级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13010921TVGPR3ZNW8S29</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检察院法警工作日之外加班及执勤补贴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11.45</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11.45</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15.84</w:t>
            </w:r>
            <w:r>
              <w:rPr>
                <w:rFonts w:hint="eastAsia" w:ascii="方正书宋_GBK" w:eastAsia="方正书宋_GBK"/>
              </w:rPr>
              <w:t>万元，用于检察院法警工作日之外加班及执勤补贴，发放补贴对象为法警，人数为</w:t>
            </w:r>
            <w:r>
              <w:rPr>
                <w:rFonts w:ascii="方正书宋_GBK" w:eastAsia="方正书宋_GBK"/>
              </w:rPr>
              <w:t>6</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提高法警工作积极性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保障检察院各项事务顺利开展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提高工作效率</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补贴月发放标准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补贴月发放标准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1590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人社规【</w:t>
            </w:r>
            <w:r>
              <w:rPr>
                <w:rFonts w:ascii="方正书宋_GBK" w:eastAsia="方正书宋_GBK"/>
              </w:rPr>
              <w:t>2017</w:t>
            </w:r>
            <w:r>
              <w:rPr>
                <w:rFonts w:hint="eastAsia" w:ascii="方正书宋_GBK" w:eastAsia="方正书宋_GBK"/>
              </w:rPr>
              <w:t>】</w:t>
            </w:r>
            <w:r>
              <w:rPr>
                <w:rFonts w:ascii="方正书宋_GBK" w:eastAsia="方正书宋_GBK"/>
              </w:rPr>
              <w:t>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发放补助及时性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发放补助及时性</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领导决定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补贴月发放标准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补贴月发放标准</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1590</w:t>
            </w:r>
            <w:r>
              <w:rPr>
                <w:rFonts w:hint="eastAsia" w:ascii="方正书宋_GBK" w:eastAsia="方正书宋_GBK"/>
              </w:rPr>
              <w:t>元</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人社规【</w:t>
            </w:r>
            <w:r>
              <w:rPr>
                <w:rFonts w:ascii="方正书宋_GBK" w:eastAsia="方正书宋_GBK"/>
              </w:rPr>
              <w:t>2017</w:t>
            </w:r>
            <w:r>
              <w:rPr>
                <w:rFonts w:hint="eastAsia" w:ascii="方正书宋_GBK" w:eastAsia="方正书宋_GBK"/>
              </w:rPr>
              <w:t>】</w:t>
            </w:r>
            <w:r>
              <w:rPr>
                <w:rFonts w:ascii="方正书宋_GBK" w:eastAsia="方正书宋_GBK"/>
              </w:rPr>
              <w:t>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对社会稳定性的影响程度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对社会稳定性的影响程度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提高法警工作积极性</w:t>
            </w:r>
          </w:p>
        </w:tc>
        <w:tc>
          <w:tcPr>
            <w:tcW w:w="1701"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百分比</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jc w:val="center"/>
        <w:rPr>
          <w:rFonts w:eastAsia="方正仿宋_GBK"/>
          <w:sz w:val="28"/>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w:t>
      </w:r>
      <w:r>
        <w:rPr>
          <w:rFonts w:hint="eastAsia" w:ascii="Times New Roman" w:hAnsi="Times New Roman" w:eastAsia="仿宋" w:cs="Times New Roman"/>
          <w:sz w:val="32"/>
          <w:szCs w:val="24"/>
          <w:lang w:eastAsia="zh-CN"/>
        </w:rPr>
        <w:t>2021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万元。具体内容见下表。</w:t>
      </w:r>
      <w:bookmarkEnd w:id="10"/>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3"/>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151石家庄市藁城区人民检察院</w:t>
            </w:r>
          </w:p>
        </w:tc>
        <w:tc>
          <w:tcPr>
            <w:tcW w:w="585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noWrap w:val="0"/>
            <w:vAlign w:val="center"/>
          </w:tcPr>
          <w:p>
            <w:pPr>
              <w:spacing w:line="300" w:lineRule="exact"/>
              <w:jc w:val="left"/>
              <w:outlineLvl w:val="0"/>
              <w:rPr>
                <w:rFonts w:ascii="Times New Roman" w:eastAsia="方正仿宋_GBK"/>
                <w:sz w:val="28"/>
              </w:rPr>
            </w:pPr>
          </w:p>
        </w:tc>
        <w:tc>
          <w:tcPr>
            <w:tcW w:w="1417" w:type="dxa"/>
            <w:vMerge w:val="continue"/>
            <w:noWrap w:val="0"/>
            <w:vAlign w:val="center"/>
          </w:tcPr>
          <w:p>
            <w:pPr>
              <w:spacing w:line="300" w:lineRule="exact"/>
              <w:jc w:val="left"/>
              <w:outlineLvl w:val="0"/>
              <w:rPr>
                <w:rFonts w:ascii="Times New Roman" w:eastAsia="方正仿宋_GBK"/>
                <w:sz w:val="28"/>
              </w:rPr>
            </w:pPr>
          </w:p>
        </w:tc>
        <w:tc>
          <w:tcPr>
            <w:tcW w:w="709" w:type="dxa"/>
            <w:vMerge w:val="continue"/>
            <w:noWrap w:val="0"/>
            <w:vAlign w:val="center"/>
          </w:tcPr>
          <w:p>
            <w:pPr>
              <w:spacing w:line="300" w:lineRule="exact"/>
              <w:jc w:val="left"/>
              <w:outlineLvl w:val="0"/>
              <w:rPr>
                <w:rFonts w:ascii="Times New Roman" w:eastAsia="方正仿宋_GBK"/>
                <w:sz w:val="28"/>
              </w:rPr>
            </w:pPr>
          </w:p>
        </w:tc>
        <w:tc>
          <w:tcPr>
            <w:tcW w:w="851" w:type="dxa"/>
            <w:vMerge w:val="continue"/>
            <w:noWrap w:val="0"/>
            <w:vAlign w:val="center"/>
          </w:tcPr>
          <w:p>
            <w:pPr>
              <w:spacing w:line="300" w:lineRule="exact"/>
              <w:jc w:val="left"/>
              <w:outlineLvl w:val="0"/>
              <w:rPr>
                <w:rFonts w:ascii="Times New Roman" w:eastAsia="方正仿宋_GBK"/>
                <w:sz w:val="28"/>
              </w:rPr>
            </w:pPr>
          </w:p>
        </w:tc>
        <w:tc>
          <w:tcPr>
            <w:tcW w:w="992" w:type="dxa"/>
            <w:vMerge w:val="continue"/>
            <w:noWrap w:val="0"/>
            <w:vAlign w:val="center"/>
          </w:tcPr>
          <w:p>
            <w:pPr>
              <w:spacing w:line="300" w:lineRule="exact"/>
              <w:jc w:val="left"/>
              <w:outlineLvl w:val="0"/>
              <w:rPr>
                <w:rFonts w:ascii="Times New Roman" w:eastAsia="方正仿宋_GBK"/>
                <w:sz w:val="28"/>
              </w:rPr>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noWrap w:val="0"/>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noWrap w:val="0"/>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noWrap w:val="0"/>
            <w:vAlign w:val="center"/>
          </w:tcPr>
          <w:p>
            <w:pPr>
              <w:spacing w:line="300" w:lineRule="exact"/>
              <w:jc w:val="right"/>
              <w:rPr>
                <w:rFonts w:ascii="方正书宋_GBK" w:eastAsia="方正书宋_GBK"/>
                <w:b/>
              </w:rPr>
            </w:pPr>
          </w:p>
        </w:tc>
        <w:tc>
          <w:tcPr>
            <w:tcW w:w="1559" w:type="dxa"/>
            <w:noWrap w:val="0"/>
            <w:vAlign w:val="center"/>
          </w:tcPr>
          <w:p>
            <w:pPr>
              <w:spacing w:line="300" w:lineRule="exact"/>
              <w:jc w:val="left"/>
              <w:rPr>
                <w:rFonts w:ascii="方正书宋_GBK" w:eastAsia="方正书宋_GBK"/>
                <w:b/>
              </w:rPr>
            </w:pPr>
          </w:p>
        </w:tc>
        <w:tc>
          <w:tcPr>
            <w:tcW w:w="1417"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left"/>
              <w:rPr>
                <w:rFonts w:ascii="方正书宋_GBK" w:eastAsia="方正书宋_GBK"/>
                <w:b/>
              </w:rPr>
            </w:pPr>
          </w:p>
        </w:tc>
        <w:tc>
          <w:tcPr>
            <w:tcW w:w="851" w:type="dxa"/>
            <w:noWrap w:val="0"/>
            <w:vAlign w:val="center"/>
          </w:tcPr>
          <w:p>
            <w:pPr>
              <w:spacing w:line="300" w:lineRule="exact"/>
              <w:jc w:val="right"/>
              <w:rPr>
                <w:rFonts w:ascii="方正书宋_GBK" w:eastAsia="方正书宋_GBK"/>
                <w:b/>
              </w:rPr>
            </w:pPr>
          </w:p>
        </w:tc>
        <w:tc>
          <w:tcPr>
            <w:tcW w:w="992" w:type="dxa"/>
            <w:noWrap w:val="0"/>
            <w:vAlign w:val="center"/>
          </w:tcPr>
          <w:p>
            <w:pPr>
              <w:spacing w:line="300" w:lineRule="exact"/>
              <w:jc w:val="right"/>
              <w:rPr>
                <w:rFonts w:ascii="方正书宋_GBK" w:eastAsia="方正书宋_GBK"/>
                <w:b/>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3"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850" w:type="dxa"/>
            <w:noWrap w:val="0"/>
            <w:vAlign w:val="center"/>
          </w:tcPr>
          <w:p>
            <w:pPr>
              <w:spacing w:line="300" w:lineRule="exact"/>
              <w:jc w:val="right"/>
              <w:rPr>
                <w:rFonts w:ascii="方正书宋_GBK" w:eastAsia="方正书宋_GBK"/>
                <w:b/>
              </w:rPr>
            </w:pPr>
          </w:p>
        </w:tc>
        <w:tc>
          <w:tcPr>
            <w:tcW w:w="893"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center"/>
              <w:rPr>
                <w:rFonts w:ascii="方正书宋_GBK" w:eastAsia="方正书宋_GBK"/>
                <w:b/>
              </w:rPr>
            </w:pPr>
            <w:r>
              <w:rPr>
                <w:rFonts w:hint="eastAsia" w:ascii="方正书宋_GBK" w:eastAsia="方正书宋_GBK"/>
                <w:b/>
                <w:lang w:val="en-US" w:eastAsia="zh-CN"/>
              </w:rPr>
              <w:t>石家庄市藁城区人民检察院</w:t>
            </w:r>
            <w:r>
              <w:rPr>
                <w:rFonts w:hint="eastAsia" w:ascii="方正书宋_GBK" w:eastAsia="方正书宋_GBK"/>
                <w:b/>
              </w:rPr>
              <w:t>小计</w:t>
            </w:r>
          </w:p>
        </w:tc>
        <w:tc>
          <w:tcPr>
            <w:tcW w:w="1134" w:type="dxa"/>
            <w:noWrap w:val="0"/>
            <w:vAlign w:val="center"/>
          </w:tcPr>
          <w:p>
            <w:pPr>
              <w:spacing w:line="300" w:lineRule="exact"/>
              <w:jc w:val="right"/>
              <w:rPr>
                <w:rFonts w:ascii="方正书宋_GBK" w:eastAsia="方正书宋_GBK"/>
                <w:b/>
              </w:rPr>
            </w:pPr>
          </w:p>
        </w:tc>
        <w:tc>
          <w:tcPr>
            <w:tcW w:w="1559" w:type="dxa"/>
            <w:noWrap w:val="0"/>
            <w:vAlign w:val="center"/>
          </w:tcPr>
          <w:p>
            <w:pPr>
              <w:spacing w:line="300" w:lineRule="exact"/>
              <w:jc w:val="left"/>
              <w:rPr>
                <w:rFonts w:ascii="方正书宋_GBK" w:eastAsia="方正书宋_GBK"/>
                <w:b/>
              </w:rPr>
            </w:pPr>
          </w:p>
        </w:tc>
        <w:tc>
          <w:tcPr>
            <w:tcW w:w="1417"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left"/>
              <w:rPr>
                <w:rFonts w:ascii="方正书宋_GBK" w:eastAsia="方正书宋_GBK"/>
                <w:b/>
              </w:rPr>
            </w:pPr>
          </w:p>
        </w:tc>
        <w:tc>
          <w:tcPr>
            <w:tcW w:w="851" w:type="dxa"/>
            <w:noWrap w:val="0"/>
            <w:vAlign w:val="center"/>
          </w:tcPr>
          <w:p>
            <w:pPr>
              <w:spacing w:line="300" w:lineRule="exact"/>
              <w:jc w:val="right"/>
              <w:rPr>
                <w:rFonts w:ascii="方正书宋_GBK" w:eastAsia="方正书宋_GBK"/>
                <w:b/>
              </w:rPr>
            </w:pPr>
          </w:p>
        </w:tc>
        <w:tc>
          <w:tcPr>
            <w:tcW w:w="992" w:type="dxa"/>
            <w:noWrap w:val="0"/>
            <w:vAlign w:val="center"/>
          </w:tcPr>
          <w:p>
            <w:pPr>
              <w:spacing w:line="300" w:lineRule="exact"/>
              <w:jc w:val="right"/>
              <w:rPr>
                <w:rFonts w:ascii="方正书宋_GBK" w:eastAsia="方正书宋_GBK"/>
                <w:b/>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3"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850" w:type="dxa"/>
            <w:noWrap w:val="0"/>
            <w:vAlign w:val="center"/>
          </w:tcPr>
          <w:p>
            <w:pPr>
              <w:spacing w:line="300" w:lineRule="exact"/>
              <w:jc w:val="right"/>
              <w:rPr>
                <w:rFonts w:ascii="方正书宋_GBK" w:eastAsia="方正书宋_GBK"/>
                <w:b/>
              </w:rPr>
            </w:pPr>
          </w:p>
        </w:tc>
        <w:tc>
          <w:tcPr>
            <w:tcW w:w="893" w:type="dxa"/>
            <w:noWrap w:val="0"/>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注：本部门无</w:t>
      </w:r>
      <w:r>
        <w:rPr>
          <w:rFonts w:hint="eastAsia" w:ascii="黑体" w:hAnsi="黑体" w:eastAsia="黑体" w:cs="Times New Roman"/>
          <w:color w:val="auto"/>
          <w:sz w:val="32"/>
          <w:szCs w:val="32"/>
        </w:rPr>
        <w:t>政府采购预算情况</w:t>
      </w:r>
      <w:r>
        <w:rPr>
          <w:rFonts w:hint="eastAsia" w:ascii="黑体" w:hAnsi="黑体" w:eastAsia="黑体" w:cs="Times New Roman"/>
          <w:color w:val="auto"/>
          <w:sz w:val="32"/>
          <w:szCs w:val="32"/>
          <w:lang w:eastAsia="zh-CN"/>
        </w:rPr>
        <w:t>，故空表列示。</w:t>
      </w: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七、国有资产信息</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lang w:val="en-US" w:eastAsia="zh-CN"/>
        </w:rPr>
        <w:t>石家庄市藁城区人民检察院</w:t>
      </w:r>
      <w:r>
        <w:rPr>
          <w:rFonts w:hint="eastAsia" w:ascii="Times New Roman" w:hAnsi="Times New Roman" w:eastAsia="仿宋" w:cs="Times New Roman"/>
          <w:color w:val="auto"/>
          <w:sz w:val="32"/>
          <w:szCs w:val="32"/>
          <w:lang w:eastAsia="zh-CN"/>
        </w:rPr>
        <w:t>2020</w:t>
      </w:r>
      <w:r>
        <w:rPr>
          <w:rFonts w:ascii="Times New Roman" w:hAnsi="Times New Roman" w:eastAsia="仿宋" w:cs="Times New Roman"/>
          <w:color w:val="auto"/>
          <w:sz w:val="32"/>
          <w:szCs w:val="32"/>
        </w:rPr>
        <w:t>年末固定资产金额为</w:t>
      </w:r>
      <w:r>
        <w:rPr>
          <w:rFonts w:hint="eastAsia" w:ascii="Times New Roman" w:hAnsi="Times New Roman" w:eastAsia="仿宋" w:cs="Times New Roman"/>
          <w:color w:val="auto"/>
          <w:sz w:val="32"/>
          <w:szCs w:val="32"/>
          <w:lang w:val="en-US" w:eastAsia="zh-CN"/>
        </w:rPr>
        <w:t>1656.97</w:t>
      </w:r>
      <w:r>
        <w:rPr>
          <w:rFonts w:ascii="Times New Roman" w:hAnsi="Times New Roman" w:eastAsia="仿宋" w:cs="Times New Roman"/>
          <w:color w:val="auto"/>
          <w:sz w:val="32"/>
          <w:szCs w:val="32"/>
        </w:rPr>
        <w:t>万元（详见下表），本年度各单位</w:t>
      </w:r>
      <w:r>
        <w:rPr>
          <w:rFonts w:hint="eastAsia" w:ascii="Times New Roman" w:hAnsi="Times New Roman" w:eastAsia="仿宋" w:cs="Times New Roman"/>
          <w:color w:val="auto"/>
          <w:sz w:val="32"/>
          <w:szCs w:val="32"/>
        </w:rPr>
        <w:t>（处室）</w:t>
      </w:r>
      <w:r>
        <w:rPr>
          <w:rFonts w:ascii="Times New Roman" w:hAnsi="Times New Roman" w:eastAsia="仿宋" w:cs="Times New Roman"/>
          <w:color w:val="auto"/>
          <w:sz w:val="32"/>
          <w:szCs w:val="32"/>
        </w:rPr>
        <w:t>拟购置固定资产</w:t>
      </w:r>
      <w:r>
        <w:rPr>
          <w:rFonts w:hint="eastAsia" w:ascii="Times New Roman" w:hAnsi="Times New Roman" w:eastAsia="仿宋" w:cs="Times New Roman"/>
          <w:color w:val="auto"/>
          <w:sz w:val="32"/>
          <w:szCs w:val="32"/>
        </w:rPr>
        <w:t>总额为</w:t>
      </w:r>
      <w:r>
        <w:rPr>
          <w:rFonts w:hint="eastAsia" w:ascii="Times New Roman" w:hAnsi="Times New Roman" w:eastAsia="仿宋" w:cs="Times New Roman"/>
          <w:color w:val="auto"/>
          <w:sz w:val="32"/>
          <w:szCs w:val="32"/>
          <w:lang w:val="en-US" w:eastAsia="zh-CN"/>
        </w:rPr>
        <w:t>0</w:t>
      </w:r>
      <w:r>
        <w:rPr>
          <w:rFonts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rPr>
        <w:t>。</w:t>
      </w:r>
    </w:p>
    <w:tbl>
      <w:tblPr>
        <w:tblStyle w:val="3"/>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0"/>
            <w:vAlign w:val="center"/>
          </w:tcPr>
          <w:p>
            <w:pPr>
              <w:widowControl/>
              <w:jc w:val="center"/>
              <w:rPr>
                <w:rFonts w:ascii="宋体" w:hAnsi="宋体" w:cs="宋体"/>
                <w:b/>
                <w:bCs/>
                <w:color w:val="auto"/>
                <w:kern w:val="0"/>
                <w:sz w:val="32"/>
                <w:szCs w:val="32"/>
              </w:rPr>
            </w:pPr>
            <w:r>
              <w:rPr>
                <w:rFonts w:hint="eastAsia" w:ascii="宋体" w:hAnsi="宋体" w:cs="宋体"/>
                <w:b/>
                <w:bCs/>
                <w:color w:val="auto"/>
                <w:kern w:val="0"/>
                <w:sz w:val="32"/>
                <w:szCs w:val="32"/>
                <w:lang w:val="en-US" w:eastAsia="zh-CN"/>
              </w:rPr>
              <w:t>石家庄市藁城区人民检察院</w:t>
            </w:r>
            <w:r>
              <w:rPr>
                <w:rFonts w:hint="eastAsia" w:ascii="宋体" w:hAnsi="宋体" w:cs="宋体"/>
                <w:b/>
                <w:bCs/>
                <w:color w:val="auto"/>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0"/>
            <w:vAlign w:val="center"/>
          </w:tcPr>
          <w:p>
            <w:pPr>
              <w:widowControl/>
              <w:jc w:val="left"/>
              <w:rPr>
                <w:rFonts w:hint="default" w:ascii="Times New Roman" w:hAnsi="Times New Roman" w:eastAsia="仿宋" w:cs="Times New Roman"/>
                <w:color w:val="auto"/>
                <w:kern w:val="0"/>
                <w:sz w:val="22"/>
                <w:lang w:val="en-US" w:eastAsia="zh-CN"/>
              </w:rPr>
            </w:pPr>
            <w:r>
              <w:rPr>
                <w:rFonts w:ascii="Times New Roman" w:hAnsi="Times New Roman" w:eastAsia="仿宋" w:cs="Times New Roman"/>
                <w:color w:val="auto"/>
                <w:kern w:val="0"/>
                <w:sz w:val="22"/>
              </w:rPr>
              <w:t>编制部门：</w:t>
            </w:r>
            <w:r>
              <w:rPr>
                <w:rFonts w:hint="eastAsia" w:ascii="Times New Roman" w:hAnsi="Times New Roman" w:eastAsia="仿宋" w:cs="Times New Roman"/>
                <w:color w:val="auto"/>
                <w:kern w:val="0"/>
                <w:sz w:val="22"/>
                <w:lang w:val="en-US" w:eastAsia="zh-CN"/>
              </w:rPr>
              <w:t>石家庄市藁城区人民检察院</w:t>
            </w:r>
          </w:p>
        </w:tc>
        <w:tc>
          <w:tcPr>
            <w:tcW w:w="5103" w:type="dxa"/>
            <w:tcBorders>
              <w:top w:val="nil"/>
              <w:left w:val="nil"/>
              <w:bottom w:val="nil"/>
              <w:right w:val="nil"/>
            </w:tcBorders>
            <w:noWrap w:val="0"/>
            <w:vAlign w:val="center"/>
          </w:tcPr>
          <w:p>
            <w:pPr>
              <w:widowControl/>
              <w:ind w:firstLine="1320" w:firstLineChars="600"/>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截止时间：</w:t>
            </w:r>
            <w:r>
              <w:rPr>
                <w:rFonts w:hint="eastAsia" w:ascii="Times New Roman" w:hAnsi="Times New Roman" w:eastAsia="仿宋" w:cs="Times New Roman"/>
                <w:color w:val="auto"/>
                <w:kern w:val="0"/>
                <w:sz w:val="22"/>
                <w:lang w:eastAsia="zh-CN"/>
              </w:rPr>
              <w:t>2020</w:t>
            </w:r>
            <w:r>
              <w:rPr>
                <w:rFonts w:ascii="Times New Roman" w:hAnsi="Times New Roman" w:eastAsia="仿宋" w:cs="Times New Roman"/>
                <w:color w:val="auto"/>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资产总额</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1656.97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1、房屋（平方米）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6617.84</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1275.62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其中：办公用房（平方米）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color w:val="auto"/>
                <w:kern w:val="0"/>
                <w:sz w:val="22"/>
                <w:lang w:eastAsia="zh-CN"/>
              </w:rPr>
            </w:pPr>
            <w:r>
              <w:rPr>
                <w:rFonts w:hint="eastAsia" w:ascii="Times New Roman" w:hAnsi="Times New Roman" w:eastAsia="仿宋" w:cs="Times New Roman"/>
                <w:color w:val="auto"/>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2、车辆（台、辆）</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10</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38.96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color w:val="auto"/>
                <w:kern w:val="0"/>
                <w:sz w:val="22"/>
                <w:lang w:eastAsia="zh-CN"/>
              </w:rPr>
            </w:pPr>
            <w:r>
              <w:rPr>
                <w:rFonts w:hint="eastAsia" w:ascii="Times New Roman" w:hAnsi="Times New Roman" w:eastAsia="仿宋" w:cs="Times New Roman"/>
                <w:color w:val="auto"/>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4、其他固定资产</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342.39</w:t>
            </w:r>
          </w:p>
        </w:tc>
      </w:tr>
    </w:tbl>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区县</w:t>
      </w:r>
      <w:bookmarkStart w:id="12" w:name="_GoBack"/>
      <w:bookmarkEnd w:id="12"/>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3000509000000000000"/>
    <w:charset w:val="86"/>
    <w:family w:val="auto"/>
    <w:pitch w:val="default"/>
    <w:sig w:usb0="00000000" w:usb1="00000000" w:usb2="00000010" w:usb3="00000000" w:csb0="00040000" w:csb1="00000000"/>
  </w:font>
  <w:font w:name="方正仿宋_GBK">
    <w:altName w:val="微软雅黑"/>
    <w:panose1 w:val="03000509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Pr>
    </w:pPr>
    <w:r>
      <w:fldChar w:fldCharType="begin"/>
    </w:r>
    <w:r>
      <w:rPr>
        <w:rStyle w:val="5"/>
      </w:rPr>
      <w:instrText xml:space="preserve">PAGE  </w:instrText>
    </w:r>
    <w:r>
      <w:fldChar w:fldCharType="separate"/>
    </w:r>
    <w:r>
      <w:rPr>
        <w:rStyle w:val="5"/>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277F28"/>
    <w:multiLevelType w:val="singleLevel"/>
    <w:tmpl w:val="5C277F2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3N2RmNWQ5NzE3ODY1YzgzNzNmOWExNjIyN2U1MzIifQ=="/>
  </w:docVars>
  <w:rsids>
    <w:rsidRoot w:val="00000000"/>
    <w:rsid w:val="01E51CB4"/>
    <w:rsid w:val="055E50A5"/>
    <w:rsid w:val="0B0521E7"/>
    <w:rsid w:val="0D8853B5"/>
    <w:rsid w:val="0F657030"/>
    <w:rsid w:val="106D43EE"/>
    <w:rsid w:val="16B5089D"/>
    <w:rsid w:val="18622CA6"/>
    <w:rsid w:val="18F338FE"/>
    <w:rsid w:val="19C806B9"/>
    <w:rsid w:val="1CA76EDA"/>
    <w:rsid w:val="201523AC"/>
    <w:rsid w:val="218E68BA"/>
    <w:rsid w:val="231352C9"/>
    <w:rsid w:val="23867DEA"/>
    <w:rsid w:val="25292B82"/>
    <w:rsid w:val="258B383C"/>
    <w:rsid w:val="2BB60EE7"/>
    <w:rsid w:val="2E2E4622"/>
    <w:rsid w:val="2EC14298"/>
    <w:rsid w:val="305D4027"/>
    <w:rsid w:val="36B2324A"/>
    <w:rsid w:val="37D7646D"/>
    <w:rsid w:val="3A1A6AE5"/>
    <w:rsid w:val="3AA77D53"/>
    <w:rsid w:val="3AF235BE"/>
    <w:rsid w:val="3EEC4EF4"/>
    <w:rsid w:val="40860A30"/>
    <w:rsid w:val="436B215F"/>
    <w:rsid w:val="43FF1225"/>
    <w:rsid w:val="44DC1567"/>
    <w:rsid w:val="48671147"/>
    <w:rsid w:val="516A3A56"/>
    <w:rsid w:val="51F85506"/>
    <w:rsid w:val="54574766"/>
    <w:rsid w:val="59D625D1"/>
    <w:rsid w:val="59E36A9C"/>
    <w:rsid w:val="5F904FD0"/>
    <w:rsid w:val="67CC6DC1"/>
    <w:rsid w:val="69AC0C58"/>
    <w:rsid w:val="6B685053"/>
    <w:rsid w:val="6BAE6F0A"/>
    <w:rsid w:val="6CD04C5E"/>
    <w:rsid w:val="6E2A4841"/>
    <w:rsid w:val="73EB6821"/>
    <w:rsid w:val="742D6E39"/>
    <w:rsid w:val="753C7334"/>
    <w:rsid w:val="75CD2682"/>
    <w:rsid w:val="7A1C5986"/>
    <w:rsid w:val="7A4F7B0A"/>
    <w:rsid w:val="7B1E5BF5"/>
    <w:rsid w:val="7CB9570E"/>
    <w:rsid w:val="7CF93D5D"/>
    <w:rsid w:val="7DB303AF"/>
    <w:rsid w:val="7F721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character" w:customStyle="1" w:styleId="5">
    <w:name w:val="页码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5984</Words>
  <Characters>6618</Characters>
  <Lines>0</Lines>
  <Paragraphs>0</Paragraphs>
  <TotalTime>14</TotalTime>
  <ScaleCrop>false</ScaleCrop>
  <LinksUpToDate>false</LinksUpToDate>
  <CharactersWithSpaces>6633</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2022-06-17T07:04:00Z</dcterms:created>
  <dc:creator>admin</dc:creator>
  <cp:lastModifiedBy>Administrator</cp:lastModifiedBy>
  <dcterms:modified xsi:type="dcterms:W3CDTF">2022-06-24T09:54:01Z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2292446F96C14AEDAD1703E7884880F9</vt:lpwstr>
  </property>
</Properties>
</file>