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EE025A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2021年度部门整体支出绩效评价报告</w:t>
      </w:r>
    </w:p>
    <w:p w14:paraId="7A15C9DA">
      <w:pPr>
        <w:snapToGrid w:val="0"/>
        <w:spacing w:line="560" w:lineRule="exact"/>
        <w:ind w:firstLine="640" w:firstLineChars="200"/>
        <w:rPr>
          <w:rFonts w:ascii="仿宋" w:hAnsi="仿宋" w:eastAsia="仿宋" w:cs="宋体"/>
          <w:sz w:val="32"/>
          <w:szCs w:val="32"/>
        </w:rPr>
      </w:pPr>
    </w:p>
    <w:p w14:paraId="1863DCC0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进一步推进我区绩效预算管理工作，提高财政资金使用效益和财政管理科学化、精细化水平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《石家庄市藁城区区级部门预算项目绩效自评管理办法》（藁财字</w:t>
      </w:r>
      <w:r>
        <w:rPr>
          <w:rFonts w:hint="eastAsia" w:ascii="仿宋" w:hAnsi="仿宋" w:eastAsia="仿宋" w:cs="仿宋"/>
          <w:sz w:val="32"/>
          <w:szCs w:val="32"/>
        </w:rPr>
        <w:t>〔2020〕23号</w:t>
      </w:r>
      <w:r>
        <w:rPr>
          <w:rFonts w:hint="eastAsia" w:ascii="仿宋" w:hAnsi="仿宋" w:eastAsia="仿宋" w:cs="宋体"/>
          <w:sz w:val="32"/>
          <w:szCs w:val="32"/>
        </w:rPr>
        <w:t>）要求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我局认真开展了2021年度预算绩效自评工作，现将有关情况报告如下：</w:t>
      </w:r>
    </w:p>
    <w:p w14:paraId="18210E9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一、部门基本情况及职责职能</w:t>
      </w:r>
    </w:p>
    <w:p w14:paraId="0221DB0E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机构设置：</w:t>
      </w:r>
    </w:p>
    <w:p w14:paraId="3D3798D6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我镇共有10个内设机构，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</w:t>
      </w:r>
    </w:p>
    <w:p w14:paraId="26B5FDFE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人员统计：</w:t>
      </w:r>
    </w:p>
    <w:p w14:paraId="763B5166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截止到2021年12月31日，我单位共有在编人员51人，其中行政编制31人，事业编制20人。</w:t>
      </w:r>
    </w:p>
    <w:p w14:paraId="2B126FFE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职责职能：</w:t>
      </w:r>
    </w:p>
    <w:p w14:paraId="6D77074F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根据《石家庄市藁城区贾市庄镇人民政府职能配置、内设机构和人员编制规定》，石家庄市藁城区贾市庄镇人民政府的主要职责是：</w:t>
      </w:r>
    </w:p>
    <w:p w14:paraId="13C11874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一、宣传贯彻执行党的路线方针政策和党中央，上级党组织的决议，贯彻执行法律、法规、规章和上级政府的决定、命令，执行本级人民代表大会的决议。</w:t>
      </w:r>
    </w:p>
    <w:p w14:paraId="3D01623F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二、讨论和决定本镇经济建设、的治建设、文化建设、社会建设、生态文明建设和党的建设以及乡村振兴中的重大问题，</w:t>
      </w:r>
    </w:p>
    <w:p w14:paraId="462320E5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三、执行本行政区域内的经济和社会发展计划、预算，管理本行政区域内的经济、教育、科学、文化、卫牛健康、体育事业和财政、统计、民政、司法行政等行政工作。落实本行政区域内发展规划、专项规划、区域规划、国土空间规划。</w:t>
      </w:r>
    </w:p>
    <w:p w14:paraId="5D134AEE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四、领导本镇的基层治理，加强社会主义民主政治建设和精神文明建设，加强社会治安综合治理，做好应急管理、生态环保、乡村振兴、民生保障、脱贫致富、民族宗教、防范邪教等工作。承担民兵预备役、征兵、退役军人服务、拥军优属的工作。</w:t>
      </w:r>
    </w:p>
    <w:p w14:paraId="0A5ED606">
      <w:pPr>
        <w:pStyle w:val="8"/>
        <w:ind w:firstLine="640" w:firstLineChars="200"/>
        <w:jc w:val="both"/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五、承办上级党委、政府交办的其他事项</w:t>
      </w:r>
    </w:p>
    <w:p w14:paraId="6F64ADB8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根据《石家庄市藁城区贾市庄镇人民政府职能配置、内设机构和人员编制规定》，石家庄市藁城区贾市庄镇人民政府的主要职责是：</w:t>
      </w:r>
    </w:p>
    <w:p w14:paraId="0782C2B0">
      <w:pPr>
        <w:pStyle w:val="8"/>
        <w:ind w:firstLine="640" w:firstLineChars="200"/>
        <w:jc w:val="both"/>
        <w:rPr>
          <w:rFonts w:ascii="仿宋" w:hAnsi="仿宋" w:eastAsia="仿宋" w:cs="仿宋_GB2312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kern w:val="2"/>
          <w:sz w:val="32"/>
          <w:szCs w:val="32"/>
          <w:lang w:eastAsia="zh-CN"/>
        </w:rPr>
        <w:t>（一）部门整体支出概况</w:t>
      </w:r>
    </w:p>
    <w:p w14:paraId="4A91A688">
      <w:pPr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2021年部门决算收支完成情况如下：</w:t>
      </w:r>
    </w:p>
    <w:p w14:paraId="52FF4469">
      <w:pPr>
        <w:pStyle w:val="8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1.全年收入为</w:t>
      </w:r>
      <w:r>
        <w:rPr>
          <w:rFonts w:hint="eastAsia" w:ascii="仿宋" w:hAnsi="仿宋" w:eastAsia="仿宋"/>
          <w:sz w:val="32"/>
          <w:szCs w:val="32"/>
          <w:lang w:eastAsia="zh-CN"/>
        </w:rPr>
        <w:t>53943040</w:t>
      </w:r>
      <w:r>
        <w:rPr>
          <w:rFonts w:hint="eastAsia" w:ascii="仿宋" w:hAnsi="仿宋" w:eastAsia="仿宋" w:cs="仿宋"/>
          <w:sz w:val="32"/>
          <w:szCs w:val="32"/>
        </w:rPr>
        <w:t>元，其中：财政拨款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收入</w:t>
      </w:r>
      <w:r>
        <w:rPr>
          <w:rFonts w:hint="eastAsia" w:ascii="仿宋" w:hAnsi="仿宋" w:eastAsia="仿宋"/>
          <w:sz w:val="32"/>
          <w:szCs w:val="32"/>
          <w:lang w:eastAsia="zh-CN"/>
        </w:rPr>
        <w:t>53943040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/>
          <w:sz w:val="32"/>
          <w:szCs w:val="32"/>
          <w:lang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7884D936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2.全年支出为</w:t>
      </w:r>
      <w:r>
        <w:rPr>
          <w:rFonts w:hint="eastAsia" w:ascii="仿宋" w:hAnsi="仿宋" w:eastAsia="仿宋"/>
          <w:sz w:val="32"/>
          <w:szCs w:val="32"/>
        </w:rPr>
        <w:t>53943040元。其中：行政支出50704398.5元，项目支出3238641.5元。</w:t>
      </w:r>
    </w:p>
    <w:p w14:paraId="7BEFE2A8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3、资金结存情况：财政拨款结转结余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元，财政结余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元，非财政拨款收入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13294A89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 w14:paraId="44503A94">
      <w:pPr>
        <w:snapToGrid w:val="0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1、部门总目标：</w:t>
      </w:r>
    </w:p>
    <w:p w14:paraId="0787FD35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2021年，以习近平新时代中国特色社会主义思想为指导，深入贯彻党的十九届五中全会和省委九届十一次、十二次全会精神，全面落实省委、市委和区委重大决策部署，动员全镇广大干部群众凝心聚力，为建设品质藁城增砖添瓦，在基层党建、疫情常态化防控、生态环境治理，社会稳定、经济发展、巩固脱贫攻坚成果、民生社会保障等方面甩开膀子、扑下身子真抓实干争先进位。为圆满完成藁城区委、区政府2021年各项工作目标、为“十四五”开好局和全面建设经济强区品质藁城提供强有力的财政支撑。</w:t>
      </w:r>
    </w:p>
    <w:p w14:paraId="249B222B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2、预决算公开：</w:t>
      </w:r>
    </w:p>
    <w:p w14:paraId="75A3B952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2021年按要求在区政府网站“财政预决算公开专栏-部门决算”进行公开</w:t>
      </w:r>
      <w:r>
        <w:rPr>
          <w:rFonts w:hint="eastAsia"/>
        </w:rPr>
        <w:t>。</w:t>
      </w:r>
    </w:p>
    <w:p w14:paraId="4B6EC3C8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资产管理：</w:t>
      </w:r>
    </w:p>
    <w:p w14:paraId="74E27106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本部门制定了详细的固定资产管理办法,</w:t>
      </w:r>
      <w:r>
        <w:rPr>
          <w:rFonts w:hint="eastAsia" w:ascii="仿宋" w:hAnsi="仿宋" w:eastAsia="仿宋" w:cs="仿宋"/>
          <w:sz w:val="32"/>
          <w:szCs w:val="32"/>
        </w:rPr>
        <w:t>严格执行《固定资产管理制度》，</w:t>
      </w:r>
      <w:r>
        <w:rPr>
          <w:rFonts w:hint="eastAsia" w:ascii="仿宋" w:hAnsi="仿宋" w:eastAsia="仿宋" w:cs="仿宋_GB2312"/>
          <w:sz w:val="32"/>
          <w:szCs w:val="32"/>
        </w:rPr>
        <w:t>对资产的购置、分配、保管、处置等细则进行规定，</w:t>
      </w:r>
      <w:r>
        <w:rPr>
          <w:rFonts w:hint="eastAsia" w:ascii="仿宋" w:hAnsi="仿宋" w:eastAsia="仿宋" w:cs="仿宋"/>
          <w:sz w:val="32"/>
          <w:szCs w:val="32"/>
        </w:rPr>
        <w:t>实行固定资产统一管理，专人负责固定资产分类，建立固定资产档案，登记固定资产账本及时录入固定资产系统，</w:t>
      </w:r>
      <w:r>
        <w:rPr>
          <w:rFonts w:hint="eastAsia" w:ascii="仿宋" w:hAnsi="仿宋" w:eastAsia="仿宋" w:cs="仿宋_GB2312"/>
          <w:sz w:val="32"/>
          <w:szCs w:val="32"/>
        </w:rPr>
        <w:t>同时加强资产的管理，对资产定期进行整理。</w:t>
      </w:r>
    </w:p>
    <w:p w14:paraId="5CB4DE8C"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三公经费控制情况：</w:t>
      </w:r>
    </w:p>
    <w:p w14:paraId="34FC8A1F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公款出国（境）费：本部门无公款出国（境）费。</w:t>
      </w:r>
    </w:p>
    <w:p w14:paraId="2D90EEC5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公务用车运行（维护）费：本部门全年费用支出4.4万元，在预算之内。严格执行公车管理规定，公务用车定点维修，定点加油，按要求上保险，严禁公车私用。</w:t>
      </w:r>
    </w:p>
    <w:p w14:paraId="0AD37033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公务接待费用：本部门无公务接待费用支出。</w:t>
      </w:r>
    </w:p>
    <w:p w14:paraId="38F7609D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5、内部管理制度建设：</w:t>
      </w:r>
    </w:p>
    <w:p w14:paraId="0153623A">
      <w:pPr>
        <w:pStyle w:val="2"/>
        <w:ind w:left="0" w:leftChars="0"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建立健全内部管理制度，预算业务管理层面，收支业务管理层面，政府采购业务管理层面，国有资产业务管理层面，建设项目业务管理层面，合同业务管理层面均已建立相关制度，内部管理制度建设较全面完善。</w:t>
      </w:r>
    </w:p>
    <w:p w14:paraId="1DD6B34B"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项目绩效总目标完成情况： </w:t>
      </w:r>
    </w:p>
    <w:p w14:paraId="2A343D64">
      <w:pPr>
        <w:snapToGrid w:val="0"/>
        <w:spacing w:line="360" w:lineRule="auto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部门总体工作正常开展，所有预算项目均已纳入绩效评价范围，较好的完成了年初的</w:t>
      </w:r>
      <w:r>
        <w:rPr>
          <w:rFonts w:ascii="仿宋" w:hAnsi="仿宋" w:eastAsia="仿宋" w:cs="仿宋"/>
          <w:sz w:val="32"/>
          <w:szCs w:val="32"/>
        </w:rPr>
        <w:t>目标，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</w:t>
      </w:r>
      <w:r>
        <w:rPr>
          <w:rFonts w:ascii="仿宋" w:hAnsi="仿宋" w:eastAsia="仿宋" w:cs="仿宋"/>
          <w:sz w:val="32"/>
          <w:szCs w:val="32"/>
        </w:rPr>
        <w:t>各项指标也基本达到了预期指标值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B5DE37E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（三）部门整体支出情况分析</w:t>
      </w:r>
    </w:p>
    <w:p w14:paraId="4DBD1273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从整体情况来看，2021年本部门人员经费支出4932.45985万元，日常公用经费支出137.98万元，本部门涉及项目共计17个，调整预算金额为323.86415万元，支出323.86415万元，执行率100%，各项目经费按预算实施，达到年初目标。</w:t>
      </w:r>
    </w:p>
    <w:p w14:paraId="3BFA9EA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二、绩效评价工作情况</w:t>
      </w:r>
    </w:p>
    <w:p w14:paraId="272CC1C0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（一）绩效评价目的</w:t>
      </w:r>
    </w:p>
    <w:p w14:paraId="0D147580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" w:hAnsi="仿宋" w:eastAsia="仿宋"/>
          <w:sz w:val="32"/>
          <w:szCs w:val="32"/>
        </w:rPr>
        <w:t>贾市庄镇各项事业</w:t>
      </w:r>
      <w:r>
        <w:rPr>
          <w:rFonts w:hint="eastAsia" w:ascii="仿宋" w:hAnsi="仿宋" w:eastAsia="仿宋" w:cs="仿宋_GB2312"/>
          <w:sz w:val="32"/>
          <w:szCs w:val="32"/>
        </w:rPr>
        <w:t>发展。</w:t>
      </w:r>
    </w:p>
    <w:p w14:paraId="3714FA7A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（二）绩效评价的主要过程</w:t>
      </w:r>
    </w:p>
    <w:p w14:paraId="0FD91C34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 w14:paraId="4491074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三、主要绩效及评价结论</w:t>
      </w:r>
    </w:p>
    <w:p w14:paraId="1337AFEC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本部门支出绩效总体良好，各项目标达到了相应时期执行进度，各项目经费按预算实施，使财政收支、预算执行都得到了良好的制度保障和实施效果。</w:t>
      </w:r>
    </w:p>
    <w:tbl>
      <w:tblPr>
        <w:tblStyle w:val="6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3956"/>
        <w:gridCol w:w="697"/>
        <w:gridCol w:w="1004"/>
        <w:gridCol w:w="792"/>
        <w:gridCol w:w="660"/>
        <w:gridCol w:w="656"/>
        <w:gridCol w:w="300"/>
      </w:tblGrid>
      <w:tr w14:paraId="06E0E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573023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36"/>
                <w:szCs w:val="36"/>
              </w:rPr>
              <w:t>贾市庄镇部门绩效自评结果汇总表</w:t>
            </w:r>
          </w:p>
        </w:tc>
      </w:tr>
      <w:tr w14:paraId="51BA3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85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3F1D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985D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40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D763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项目序号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5E1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预算调整数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BE12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预算执行进度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6731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自评得分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3F4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自评结果应用意见</w:t>
            </w:r>
          </w:p>
        </w:tc>
      </w:tr>
      <w:tr w14:paraId="1E765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546A6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47B568">
            <w:pPr>
              <w:widowControl/>
              <w:jc w:val="left"/>
              <w:textAlignment w:val="bottom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贾市庄镇农村人居环境整治提升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A66D5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78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08AF50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70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06F691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5427B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98.5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5D78B7">
            <w:pPr>
              <w:rPr>
                <w:rFonts w:ascii="Tahoma" w:hAnsi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3BE0B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55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E522A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680D73">
            <w:pPr>
              <w:widowControl/>
              <w:jc w:val="lef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Style w:val="9"/>
                <w:rFonts w:hint="default"/>
              </w:rPr>
              <w:t>贾市庄镇农村人居环境提升</w:t>
            </w:r>
            <w:r>
              <w:rPr>
                <w:rStyle w:val="10"/>
              </w:rPr>
              <w:t>----</w:t>
            </w:r>
            <w:r>
              <w:rPr>
                <w:rStyle w:val="9"/>
                <w:rFonts w:hint="default"/>
              </w:rPr>
              <w:t>拆除私搭乱建项目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DF43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79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102794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40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65D33A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F0D603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98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D4AB78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3F3E5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EC130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68F6AD">
            <w:pPr>
              <w:widowControl/>
              <w:jc w:val="left"/>
              <w:textAlignment w:val="bottom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村级服务群众专项经费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850D5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80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E87FCD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32.5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A667D6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F7BAD9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D9CCA9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50BA9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540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74621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A5A4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政府聘用人员、联防队员工资【综合工作经费】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1BABB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81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98C5F2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30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17A40B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363A9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D4A4B2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37CB6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28F6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8588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农村环境治理（综合工作经费）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A271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82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1E39FF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41524E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77744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98.5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AB728A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6433B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420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8CDF6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23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0C2162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信访维稳（综合工作经费）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74AE9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83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729088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20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28A1DB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2DD3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98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2909C3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10CAA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726FB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AFFB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贾市庄镇2021年度学区工会经费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6E954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84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4DCE5B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B8ECB2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69B48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DE4848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399AE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F357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E2C7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政府机关占地补偿（综合工作经费）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E6258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85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651D6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E20FA1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92E16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D2F2CF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3ACDF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E3130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33F31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衡井定魏新藁贾路公路占地补偿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9B2FC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86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F3525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9.77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BDBB7B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8A7A0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99.5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27DD5F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12538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DAE69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17A27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农村独生子女奖励（综合工作经费）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E4C2A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87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F007E0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5.28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BA89B8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C663B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F7FD82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0A624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419E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11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C0048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贾市庄镇综合工作经费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408FD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88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7A0E76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5.12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DFB097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FDCB6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F90519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567A1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9522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12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B426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村级办公经费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92859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89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18E9BE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565C31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78F07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159A53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0BFB4F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377CB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13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8FBF9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土地治理（综合工作经费）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9E27A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90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62F179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AF0F35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041C3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98.5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3A5F6D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6E46D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F4444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14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21E74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贾市庄镇正常离任村干部补贴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805D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91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400A6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3.24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48C37D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7821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E29F3F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550A5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47E7F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15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27B94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贾市庄镇2021年度政府工会费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F9692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92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FE46E6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DF76F9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4B3D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045A5E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59285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28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CC745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16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08A2D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贾市庄镇离任村干部生活补贴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9E5C0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93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28DA15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0.18615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36B32E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44EF0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D29889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  <w:tr w14:paraId="20526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93" w:type="pct"/>
          <w:trHeight w:val="345" w:hRule="atLeast"/>
        </w:trPr>
        <w:tc>
          <w:tcPr>
            <w:tcW w:w="2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1C027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17</w:t>
            </w:r>
          </w:p>
        </w:tc>
        <w:tc>
          <w:tcPr>
            <w:tcW w:w="2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BE343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贾市庄110千伏输变电工程征地补偿款</w:t>
            </w:r>
          </w:p>
        </w:tc>
        <w:tc>
          <w:tcPr>
            <w:tcW w:w="4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6E856">
            <w:pPr>
              <w:widowControl/>
              <w:jc w:val="center"/>
              <w:textAlignment w:val="center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1925</w:t>
            </w:r>
          </w:p>
        </w:tc>
        <w:tc>
          <w:tcPr>
            <w:tcW w:w="5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69D1BA">
            <w:pPr>
              <w:widowControl/>
              <w:jc w:val="center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54.918</w:t>
            </w:r>
          </w:p>
        </w:tc>
        <w:tc>
          <w:tcPr>
            <w:tcW w:w="4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5AD142">
            <w:pPr>
              <w:widowControl/>
              <w:jc w:val="right"/>
              <w:textAlignment w:val="bottom"/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ascii="Tahoma" w:hAnsi="Tahoma" w:eastAsia="Tahoma" w:cs="Tahoma"/>
                <w:color w:val="000000"/>
                <w:kern w:val="0"/>
                <w:sz w:val="22"/>
                <w:szCs w:val="22"/>
              </w:rPr>
              <w:t>100%</w:t>
            </w:r>
          </w:p>
        </w:tc>
        <w:tc>
          <w:tcPr>
            <w:tcW w:w="3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9F3D4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99</w:t>
            </w:r>
          </w:p>
        </w:tc>
        <w:tc>
          <w:tcPr>
            <w:tcW w:w="2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D75443">
            <w:pPr>
              <w:rPr>
                <w:rFonts w:ascii="Tahoma" w:hAnsi="Tahoma" w:eastAsia="Tahoma" w:cs="Tahoma"/>
                <w:color w:val="000000"/>
                <w:sz w:val="22"/>
                <w:szCs w:val="22"/>
              </w:rPr>
            </w:pPr>
            <w:r>
              <w:rPr>
                <w:rFonts w:hint="eastAsia" w:ascii="Tahoma" w:hAnsi="Tahoma" w:cs="Tahoma"/>
                <w:color w:val="000000"/>
                <w:sz w:val="22"/>
                <w:szCs w:val="22"/>
              </w:rPr>
              <w:t>优秀</w:t>
            </w:r>
          </w:p>
        </w:tc>
      </w:tr>
    </w:tbl>
    <w:p w14:paraId="20A8B6C4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color w:val="0000FF"/>
          <w:sz w:val="32"/>
          <w:szCs w:val="32"/>
        </w:rPr>
      </w:pPr>
    </w:p>
    <w:p w14:paraId="5FB371F6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四、存在问题</w:t>
      </w:r>
    </w:p>
    <w:p w14:paraId="7768B43B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一些上级专项资金下达时间较短，支出时间较短。</w:t>
      </w:r>
    </w:p>
    <w:p w14:paraId="5FE9FFF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五、改进措施</w:t>
      </w:r>
    </w:p>
    <w:p w14:paraId="0B66875E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加强与上级业务部门对接，提前做好准备工作，资金下达后立即开展项目工作，加快执行进度，充分发挥项目资金效益。</w:t>
      </w:r>
    </w:p>
    <w:p w14:paraId="784DFD4F"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其他需要说明的问题及有关建议</w:t>
      </w:r>
    </w:p>
    <w:p w14:paraId="799EA008">
      <w:pPr>
        <w:adjustRightInd w:val="0"/>
        <w:snapToGrid w:val="0"/>
        <w:spacing w:line="560" w:lineRule="exact"/>
        <w:ind w:left="420" w:left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无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2EA52C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C3432E5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- 6 -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3432E5"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- 6 -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85FF08"/>
    <w:multiLevelType w:val="singleLevel"/>
    <w:tmpl w:val="8F85FF08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B6842380"/>
    <w:multiLevelType w:val="singleLevel"/>
    <w:tmpl w:val="B684238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D046867"/>
    <w:multiLevelType w:val="singleLevel"/>
    <w:tmpl w:val="FD046867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28036C09"/>
    <w:rsid w:val="005051A2"/>
    <w:rsid w:val="009075A5"/>
    <w:rsid w:val="00BD6005"/>
    <w:rsid w:val="097757C5"/>
    <w:rsid w:val="0B4A1A76"/>
    <w:rsid w:val="19266AB6"/>
    <w:rsid w:val="1CAE0268"/>
    <w:rsid w:val="1FE94337"/>
    <w:rsid w:val="22AC3903"/>
    <w:rsid w:val="23256DAA"/>
    <w:rsid w:val="28036C09"/>
    <w:rsid w:val="322446DF"/>
    <w:rsid w:val="3663183C"/>
    <w:rsid w:val="427C68CE"/>
    <w:rsid w:val="4455188C"/>
    <w:rsid w:val="44E81CBA"/>
    <w:rsid w:val="473D6B48"/>
    <w:rsid w:val="539C2AB2"/>
    <w:rsid w:val="53A97137"/>
    <w:rsid w:val="6DE6491E"/>
    <w:rsid w:val="70315121"/>
    <w:rsid w:val="711C11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semiHidden/>
    <w:unhideWhenUsed/>
    <w:qFormat/>
    <w:uiPriority w:val="99"/>
    <w:pPr>
      <w:ind w:left="420" w:leftChars="200"/>
    </w:pPr>
  </w:style>
  <w:style w:type="paragraph" w:styleId="3">
    <w:name w:val="Normal Indent"/>
    <w:basedOn w:val="1"/>
    <w:next w:val="1"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character" w:customStyle="1" w:styleId="9">
    <w:name w:val="font51"/>
    <w:basedOn w:val="7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71"/>
    <w:basedOn w:val="7"/>
    <w:qFormat/>
    <w:uiPriority w:val="0"/>
    <w:rPr>
      <w:rFonts w:hint="default" w:ascii="Tahoma" w:hAnsi="Tahoma" w:eastAsia="Tahoma" w:cs="Tahoma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2542</Words>
  <Characters>2799</Characters>
  <Lines>3</Lines>
  <Paragraphs>5</Paragraphs>
  <TotalTime>4</TotalTime>
  <ScaleCrop>false</ScaleCrop>
  <LinksUpToDate>false</LinksUpToDate>
  <CharactersWithSpaces>2800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2022-04-20T02:44:00Z</dcterms:created>
  <dc:creator>z</dc:creator>
  <cp:lastModifiedBy> </cp:lastModifiedBy>
  <dcterms:modified xsi:type="dcterms:W3CDTF">2024-09-19T05:50:38Z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35D7E6DE13A94760B92F7BC213F89E02</vt:lpwstr>
  </property>
</Properties>
</file>