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hAnsi="黑体" w:eastAsia="黑体"/>
          <w:b/>
          <w:sz w:val="44"/>
          <w:szCs w:val="44"/>
        </w:rPr>
      </w:pPr>
      <w:r>
        <w:rPr>
          <w:rFonts w:ascii="黑体" w:hAnsi="黑体" w:eastAsia="黑体"/>
          <w:b/>
          <w:sz w:val="44"/>
          <w:szCs w:val="44"/>
        </w:rPr>
        <w:t>藁城区教育局职责边界清单</w:t>
      </w:r>
    </w:p>
    <w:p>
      <w:pPr>
        <w:spacing w:before="312" w:beforeLines="100" w:after="156" w:afterLines="50"/>
        <w:rPr>
          <w:rFonts w:asciiTheme="minorEastAsia" w:hAnsiTheme="minorEastAsia"/>
          <w:b/>
          <w:sz w:val="24"/>
          <w:szCs w:val="24"/>
          <w:u w:val="single"/>
        </w:rPr>
      </w:pPr>
      <w:r>
        <w:rPr>
          <w:rFonts w:hint="eastAsia" w:asciiTheme="minorEastAsia" w:hAnsiTheme="minorEastAsia"/>
          <w:b/>
          <w:sz w:val="24"/>
          <w:szCs w:val="24"/>
        </w:rPr>
        <w:t>填报单位（盖章）</w:t>
      </w:r>
      <w:r>
        <w:rPr>
          <w:rFonts w:hint="eastAsia" w:asciiTheme="minorEastAsia" w:hAnsiTheme="minorEastAsia"/>
          <w:b/>
          <w:sz w:val="24"/>
          <w:szCs w:val="24"/>
          <w:u w:val="single"/>
        </w:rPr>
        <w:t xml:space="preserve">藁城区教育局  </w:t>
      </w:r>
      <w:r>
        <w:rPr>
          <w:rFonts w:hint="eastAsia" w:asciiTheme="minorEastAsia" w:hAnsiTheme="minorEastAsia"/>
          <w:b/>
          <w:sz w:val="24"/>
          <w:szCs w:val="24"/>
        </w:rPr>
        <w:t xml:space="preserve">        联系人：</w:t>
      </w:r>
      <w:r>
        <w:rPr>
          <w:rFonts w:hint="eastAsia" w:asciiTheme="minorEastAsia" w:hAnsiTheme="minorEastAsia"/>
          <w:b/>
          <w:sz w:val="24"/>
          <w:szCs w:val="24"/>
          <w:u w:val="single"/>
        </w:rPr>
        <w:t xml:space="preserve">米英斌 </w:t>
      </w:r>
      <w:r>
        <w:rPr>
          <w:rFonts w:hint="eastAsia" w:asciiTheme="minorEastAsia" w:hAnsiTheme="minorEastAsia"/>
          <w:b/>
          <w:sz w:val="24"/>
          <w:szCs w:val="24"/>
        </w:rPr>
        <w:t xml:space="preserve">     电话：</w:t>
      </w:r>
      <w:r>
        <w:rPr>
          <w:rFonts w:hint="eastAsia" w:asciiTheme="minorEastAsia" w:hAnsiTheme="minorEastAsia"/>
          <w:b/>
          <w:sz w:val="24"/>
          <w:szCs w:val="24"/>
          <w:u w:val="single"/>
        </w:rPr>
        <w:t xml:space="preserve"> 86519069  </w:t>
      </w:r>
      <w:r>
        <w:rPr>
          <w:rFonts w:hint="eastAsia" w:asciiTheme="minorEastAsia" w:hAnsiTheme="minorEastAsia"/>
          <w:b/>
          <w:sz w:val="24"/>
          <w:szCs w:val="24"/>
        </w:rPr>
        <w:t xml:space="preserve">       填报日期：</w:t>
      </w:r>
      <w:r>
        <w:rPr>
          <w:rFonts w:asciiTheme="minorEastAsia" w:hAnsiTheme="minorEastAsia"/>
          <w:b/>
          <w:sz w:val="24"/>
          <w:szCs w:val="24"/>
          <w:u w:val="single"/>
        </w:rPr>
        <w:t>2021年11月10日</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
        <w:gridCol w:w="1976"/>
        <w:gridCol w:w="1677"/>
        <w:gridCol w:w="6269"/>
        <w:gridCol w:w="2552"/>
        <w:gridCol w:w="14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59" w:type="dxa"/>
          </w:tcPr>
          <w:p>
            <w:pPr>
              <w:jc w:val="center"/>
              <w:rPr>
                <w:rFonts w:ascii="黑体" w:hAnsi="黑体" w:eastAsia="黑体"/>
                <w:b/>
                <w:sz w:val="28"/>
                <w:szCs w:val="28"/>
              </w:rPr>
            </w:pPr>
            <w:r>
              <w:rPr>
                <w:rFonts w:ascii="黑体" w:hAnsi="黑体" w:eastAsia="黑体"/>
                <w:b/>
                <w:sz w:val="28"/>
                <w:szCs w:val="28"/>
              </w:rPr>
              <w:t>序号</w:t>
            </w:r>
          </w:p>
        </w:tc>
        <w:tc>
          <w:tcPr>
            <w:tcW w:w="1976" w:type="dxa"/>
          </w:tcPr>
          <w:p>
            <w:pPr>
              <w:jc w:val="center"/>
              <w:rPr>
                <w:rFonts w:ascii="黑体" w:hAnsi="黑体" w:eastAsia="黑体"/>
                <w:b/>
                <w:sz w:val="28"/>
                <w:szCs w:val="28"/>
              </w:rPr>
            </w:pPr>
            <w:r>
              <w:rPr>
                <w:rFonts w:ascii="黑体" w:hAnsi="黑体" w:eastAsia="黑体"/>
                <w:b/>
                <w:sz w:val="28"/>
                <w:szCs w:val="28"/>
              </w:rPr>
              <w:t>管理事项</w:t>
            </w:r>
          </w:p>
        </w:tc>
        <w:tc>
          <w:tcPr>
            <w:tcW w:w="1677" w:type="dxa"/>
          </w:tcPr>
          <w:p>
            <w:pPr>
              <w:jc w:val="center"/>
              <w:rPr>
                <w:rFonts w:ascii="黑体" w:hAnsi="黑体" w:eastAsia="黑体"/>
                <w:b/>
                <w:sz w:val="28"/>
                <w:szCs w:val="28"/>
              </w:rPr>
            </w:pPr>
            <w:r>
              <w:rPr>
                <w:rFonts w:ascii="黑体" w:hAnsi="黑体" w:eastAsia="黑体"/>
                <w:b/>
                <w:sz w:val="28"/>
                <w:szCs w:val="28"/>
              </w:rPr>
              <w:t>涉及部门</w:t>
            </w:r>
          </w:p>
        </w:tc>
        <w:tc>
          <w:tcPr>
            <w:tcW w:w="6269" w:type="dxa"/>
          </w:tcPr>
          <w:p>
            <w:pPr>
              <w:jc w:val="center"/>
              <w:rPr>
                <w:rFonts w:ascii="黑体" w:hAnsi="黑体" w:eastAsia="黑体"/>
                <w:b/>
                <w:sz w:val="28"/>
                <w:szCs w:val="28"/>
              </w:rPr>
            </w:pPr>
            <w:r>
              <w:rPr>
                <w:rFonts w:ascii="黑体" w:hAnsi="黑体" w:eastAsia="黑体"/>
                <w:b/>
                <w:sz w:val="28"/>
                <w:szCs w:val="28"/>
              </w:rPr>
              <w:t>职责分工</w:t>
            </w:r>
          </w:p>
        </w:tc>
        <w:tc>
          <w:tcPr>
            <w:tcW w:w="2552" w:type="dxa"/>
          </w:tcPr>
          <w:p>
            <w:pPr>
              <w:jc w:val="center"/>
              <w:rPr>
                <w:rFonts w:ascii="黑体" w:hAnsi="黑体" w:eastAsia="黑体"/>
                <w:b/>
                <w:sz w:val="28"/>
                <w:szCs w:val="28"/>
              </w:rPr>
            </w:pPr>
            <w:r>
              <w:rPr>
                <w:rFonts w:ascii="黑体" w:hAnsi="黑体" w:eastAsia="黑体"/>
                <w:b/>
                <w:sz w:val="28"/>
                <w:szCs w:val="28"/>
              </w:rPr>
              <w:t>相关依据</w:t>
            </w:r>
          </w:p>
        </w:tc>
        <w:tc>
          <w:tcPr>
            <w:tcW w:w="1417" w:type="dxa"/>
          </w:tcPr>
          <w:p>
            <w:pPr>
              <w:jc w:val="center"/>
              <w:rPr>
                <w:rFonts w:ascii="黑体" w:hAnsi="黑体" w:eastAsia="黑体"/>
                <w:b/>
                <w:sz w:val="28"/>
                <w:szCs w:val="28"/>
              </w:rPr>
            </w:pPr>
            <w:r>
              <w:rPr>
                <w:rFonts w:ascii="黑体" w:hAnsi="黑体" w:eastAsia="黑体"/>
                <w:b/>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0" w:hRule="atLeast"/>
        </w:trPr>
        <w:tc>
          <w:tcPr>
            <w:tcW w:w="959" w:type="dxa"/>
            <w:vMerge w:val="restart"/>
            <w:vAlign w:val="center"/>
          </w:tcPr>
          <w:p>
            <w:pPr>
              <w:spacing w:line="300" w:lineRule="exact"/>
              <w:jc w:val="center"/>
              <w:rPr>
                <w:rFonts w:ascii="黑体" w:hAnsi="黑体" w:eastAsia="黑体"/>
                <w:b/>
                <w:sz w:val="28"/>
                <w:szCs w:val="28"/>
              </w:rPr>
            </w:pPr>
            <w:r>
              <w:rPr>
                <w:rFonts w:hint="eastAsia" w:ascii="黑体" w:hAnsi="黑体" w:eastAsia="黑体"/>
                <w:b/>
                <w:sz w:val="28"/>
                <w:szCs w:val="28"/>
              </w:rPr>
              <w:t>1</w:t>
            </w:r>
          </w:p>
        </w:tc>
        <w:tc>
          <w:tcPr>
            <w:tcW w:w="1976" w:type="dxa"/>
            <w:vMerge w:val="restart"/>
            <w:vAlign w:val="center"/>
          </w:tcPr>
          <w:p>
            <w:pPr>
              <w:widowControl/>
              <w:spacing w:line="300" w:lineRule="exact"/>
              <w:jc w:val="center"/>
              <w:rPr>
                <w:rFonts w:ascii="黑体" w:hAnsi="黑体" w:eastAsia="黑体"/>
                <w:b/>
                <w:sz w:val="28"/>
                <w:szCs w:val="28"/>
              </w:rPr>
            </w:pPr>
            <w:r>
              <w:rPr>
                <w:rFonts w:hint="eastAsia" w:ascii="黑体" w:hAnsi="黑体" w:eastAsia="黑体" w:cs="宋体"/>
                <w:b/>
                <w:kern w:val="0"/>
                <w:sz w:val="28"/>
                <w:szCs w:val="28"/>
              </w:rPr>
              <w:t>校车安全管理</w:t>
            </w:r>
          </w:p>
        </w:tc>
        <w:tc>
          <w:tcPr>
            <w:tcW w:w="1677" w:type="dxa"/>
            <w:vAlign w:val="center"/>
          </w:tcPr>
          <w:p>
            <w:pPr>
              <w:widowControl/>
              <w:spacing w:line="300" w:lineRule="exact"/>
              <w:jc w:val="center"/>
              <w:rPr>
                <w:rFonts w:ascii="华文细黑" w:hAnsi="华文细黑" w:eastAsia="华文细黑"/>
                <w:b/>
                <w:szCs w:val="21"/>
              </w:rPr>
            </w:pPr>
            <w:r>
              <w:rPr>
                <w:rFonts w:hint="eastAsia" w:ascii="华文细黑" w:hAnsi="华文细黑" w:eastAsia="华文细黑" w:cs="宋体"/>
                <w:b/>
                <w:kern w:val="0"/>
                <w:szCs w:val="21"/>
              </w:rPr>
              <w:t>区教育局</w:t>
            </w:r>
          </w:p>
        </w:tc>
        <w:tc>
          <w:tcPr>
            <w:tcW w:w="6269" w:type="dxa"/>
            <w:vAlign w:val="center"/>
          </w:tcPr>
          <w:p>
            <w:pPr>
              <w:widowControl/>
              <w:spacing w:line="300" w:lineRule="exact"/>
              <w:jc w:val="left"/>
              <w:rPr>
                <w:rFonts w:ascii="华文细黑" w:hAnsi="华文细黑" w:eastAsia="华文细黑"/>
                <w:b/>
                <w:color w:val="000000" w:themeColor="text1"/>
                <w:szCs w:val="21"/>
                <w14:textFill>
                  <w14:solidFill>
                    <w14:schemeClr w14:val="tx1"/>
                  </w14:solidFill>
                </w14:textFill>
              </w:rPr>
            </w:pPr>
            <w:r>
              <w:rPr>
                <w:rFonts w:hint="eastAsia" w:ascii="华文细黑" w:hAnsi="华文细黑" w:eastAsia="华文细黑" w:cs="宋体"/>
                <w:b/>
                <w:kern w:val="0"/>
                <w:szCs w:val="21"/>
              </w:rPr>
              <w:t>　　负责指导、监督学校建立健全学生接送安全管理制度，落实学生接送安全管理责任；会同公安、交通运输、综合执法等部门审核校车许可申请和接送线路等；建立校车台账，组织学校开展交通安全宣传教育。</w:t>
            </w:r>
          </w:p>
        </w:tc>
        <w:tc>
          <w:tcPr>
            <w:tcW w:w="2552" w:type="dxa"/>
            <w:vMerge w:val="restart"/>
            <w:vAlign w:val="center"/>
          </w:tcPr>
          <w:p>
            <w:pPr>
              <w:widowControl/>
              <w:spacing w:line="300" w:lineRule="exact"/>
              <w:rPr>
                <w:rFonts w:ascii="华文细黑" w:hAnsi="华文细黑" w:eastAsia="华文细黑"/>
                <w:b/>
                <w:szCs w:val="21"/>
              </w:rPr>
            </w:pPr>
            <w:r>
              <w:rPr>
                <w:rFonts w:hint="eastAsia" w:ascii="华文细黑" w:hAnsi="华文细黑" w:eastAsia="华文细黑" w:cs="宋体"/>
                <w:b/>
                <w:kern w:val="0"/>
                <w:szCs w:val="21"/>
              </w:rPr>
              <w:t>1.《校车安全管理条例》</w:t>
            </w:r>
            <w:r>
              <w:rPr>
                <w:rFonts w:hint="eastAsia" w:ascii="华文细黑" w:hAnsi="华文细黑" w:eastAsia="华文细黑"/>
                <w:b/>
                <w:szCs w:val="21"/>
              </w:rPr>
              <w:t>（中华人民共和国国务院令第617号）</w:t>
            </w:r>
          </w:p>
          <w:p>
            <w:pPr>
              <w:widowControl/>
              <w:spacing w:line="300" w:lineRule="exact"/>
              <w:rPr>
                <w:rFonts w:ascii="华文细黑" w:hAnsi="华文细黑" w:eastAsia="华文细黑"/>
                <w:b/>
                <w:szCs w:val="21"/>
              </w:rPr>
            </w:pPr>
            <w:r>
              <w:rPr>
                <w:rFonts w:hint="eastAsia" w:ascii="华文细黑" w:hAnsi="华文细黑" w:eastAsia="华文细黑" w:cs="宋体"/>
                <w:b/>
                <w:kern w:val="0"/>
                <w:szCs w:val="21"/>
              </w:rPr>
              <w:t>2、《河北省教育厅河北省公安厅关于校车和接送学生车辆安全管理工作的通知》（冀教案[2013]30）</w:t>
            </w:r>
          </w:p>
        </w:tc>
        <w:tc>
          <w:tcPr>
            <w:tcW w:w="1417" w:type="dxa"/>
            <w:vMerge w:val="restart"/>
          </w:tcPr>
          <w:p>
            <w:pPr>
              <w:spacing w:line="300" w:lineRule="exact"/>
              <w:jc w:val="left"/>
              <w:rPr>
                <w:rFonts w:ascii="华文细黑" w:hAnsi="华文细黑" w:eastAsia="华文细黑"/>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3" w:hRule="atLeast"/>
        </w:trPr>
        <w:tc>
          <w:tcPr>
            <w:tcW w:w="959" w:type="dxa"/>
            <w:vMerge w:val="continue"/>
            <w:vAlign w:val="center"/>
          </w:tcPr>
          <w:p>
            <w:pPr>
              <w:spacing w:line="300" w:lineRule="exact"/>
              <w:jc w:val="center"/>
              <w:rPr>
                <w:rFonts w:ascii="华文细黑" w:hAnsi="华文细黑" w:eastAsia="华文细黑"/>
                <w:b/>
                <w:szCs w:val="21"/>
              </w:rPr>
            </w:pPr>
          </w:p>
        </w:tc>
        <w:tc>
          <w:tcPr>
            <w:tcW w:w="1976" w:type="dxa"/>
            <w:vMerge w:val="continue"/>
            <w:vAlign w:val="center"/>
          </w:tcPr>
          <w:p>
            <w:pPr>
              <w:spacing w:line="300" w:lineRule="exact"/>
              <w:jc w:val="center"/>
              <w:rPr>
                <w:rFonts w:ascii="华文细黑" w:hAnsi="华文细黑" w:eastAsia="华文细黑"/>
                <w:b/>
                <w:szCs w:val="21"/>
              </w:rPr>
            </w:pPr>
          </w:p>
        </w:tc>
        <w:tc>
          <w:tcPr>
            <w:tcW w:w="1677" w:type="dxa"/>
            <w:vAlign w:val="center"/>
          </w:tcPr>
          <w:p>
            <w:pPr>
              <w:widowControl/>
              <w:spacing w:line="300" w:lineRule="exact"/>
              <w:jc w:val="center"/>
              <w:rPr>
                <w:rFonts w:ascii="华文细黑" w:hAnsi="华文细黑" w:eastAsia="华文细黑" w:cs="宋体"/>
                <w:b/>
                <w:kern w:val="0"/>
                <w:szCs w:val="21"/>
              </w:rPr>
            </w:pPr>
            <w:r>
              <w:rPr>
                <w:rFonts w:hint="eastAsia" w:ascii="华文细黑" w:hAnsi="华文细黑" w:eastAsia="华文细黑" w:cs="宋体"/>
                <w:b/>
                <w:kern w:val="0"/>
                <w:szCs w:val="21"/>
              </w:rPr>
              <w:t>区政法委</w:t>
            </w:r>
          </w:p>
        </w:tc>
        <w:tc>
          <w:tcPr>
            <w:tcW w:w="6269" w:type="dxa"/>
            <w:vAlign w:val="center"/>
          </w:tcPr>
          <w:p>
            <w:pPr>
              <w:widowControl/>
              <w:spacing w:line="300" w:lineRule="exact"/>
              <w:jc w:val="left"/>
              <w:rPr>
                <w:rFonts w:ascii="华文细黑" w:hAnsi="华文细黑" w:eastAsia="华文细黑" w:cs="宋体"/>
                <w:b/>
                <w:kern w:val="0"/>
                <w:szCs w:val="21"/>
              </w:rPr>
            </w:pPr>
            <w:r>
              <w:rPr>
                <w:rFonts w:hint="eastAsia" w:ascii="华文细黑" w:hAnsi="华文细黑" w:eastAsia="华文细黑" w:cs="宋体"/>
                <w:b/>
                <w:kern w:val="0"/>
                <w:szCs w:val="21"/>
              </w:rPr>
              <w:t>　　负责督促和协调各地落实学生交通安全保障工作实施方案，并将各地落实情况纳入平安综治考核。</w:t>
            </w:r>
          </w:p>
        </w:tc>
        <w:tc>
          <w:tcPr>
            <w:tcW w:w="2552" w:type="dxa"/>
            <w:vMerge w:val="continue"/>
          </w:tcPr>
          <w:p>
            <w:pPr>
              <w:spacing w:line="300" w:lineRule="exact"/>
              <w:jc w:val="left"/>
              <w:rPr>
                <w:rFonts w:ascii="华文细黑" w:hAnsi="华文细黑" w:eastAsia="华文细黑"/>
                <w:b/>
                <w:szCs w:val="21"/>
              </w:rPr>
            </w:pPr>
          </w:p>
        </w:tc>
        <w:tc>
          <w:tcPr>
            <w:tcW w:w="1417" w:type="dxa"/>
            <w:vMerge w:val="continue"/>
          </w:tcPr>
          <w:p>
            <w:pPr>
              <w:spacing w:line="300" w:lineRule="exact"/>
              <w:jc w:val="left"/>
              <w:rPr>
                <w:rFonts w:ascii="华文细黑" w:hAnsi="华文细黑" w:eastAsia="华文细黑"/>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4" w:hRule="atLeast"/>
        </w:trPr>
        <w:tc>
          <w:tcPr>
            <w:tcW w:w="959" w:type="dxa"/>
            <w:vMerge w:val="continue"/>
            <w:vAlign w:val="center"/>
          </w:tcPr>
          <w:p>
            <w:pPr>
              <w:spacing w:line="300" w:lineRule="exact"/>
              <w:jc w:val="center"/>
              <w:rPr>
                <w:rFonts w:ascii="华文细黑" w:hAnsi="华文细黑" w:eastAsia="华文细黑"/>
                <w:b/>
                <w:szCs w:val="21"/>
              </w:rPr>
            </w:pPr>
          </w:p>
        </w:tc>
        <w:tc>
          <w:tcPr>
            <w:tcW w:w="1976" w:type="dxa"/>
            <w:vMerge w:val="continue"/>
            <w:vAlign w:val="center"/>
          </w:tcPr>
          <w:p>
            <w:pPr>
              <w:spacing w:line="300" w:lineRule="exact"/>
              <w:jc w:val="center"/>
              <w:rPr>
                <w:rFonts w:ascii="华文细黑" w:hAnsi="华文细黑" w:eastAsia="华文细黑"/>
                <w:b/>
                <w:szCs w:val="21"/>
              </w:rPr>
            </w:pPr>
          </w:p>
        </w:tc>
        <w:tc>
          <w:tcPr>
            <w:tcW w:w="1677" w:type="dxa"/>
            <w:vAlign w:val="center"/>
          </w:tcPr>
          <w:p>
            <w:pPr>
              <w:widowControl/>
              <w:spacing w:line="300" w:lineRule="exact"/>
              <w:jc w:val="center"/>
              <w:rPr>
                <w:rFonts w:ascii="华文细黑" w:hAnsi="华文细黑" w:eastAsia="华文细黑" w:cs="宋体"/>
                <w:b/>
                <w:kern w:val="0"/>
                <w:szCs w:val="21"/>
              </w:rPr>
            </w:pPr>
            <w:r>
              <w:rPr>
                <w:rFonts w:hint="eastAsia" w:ascii="华文细黑" w:hAnsi="华文细黑" w:eastAsia="华文细黑" w:cs="宋体"/>
                <w:b/>
                <w:kern w:val="0"/>
                <w:szCs w:val="21"/>
              </w:rPr>
              <w:t>区公安局</w:t>
            </w:r>
          </w:p>
        </w:tc>
        <w:tc>
          <w:tcPr>
            <w:tcW w:w="6269" w:type="dxa"/>
            <w:vAlign w:val="center"/>
          </w:tcPr>
          <w:p>
            <w:pPr>
              <w:widowControl/>
              <w:spacing w:line="300" w:lineRule="exact"/>
              <w:jc w:val="left"/>
              <w:rPr>
                <w:rFonts w:ascii="华文细黑" w:hAnsi="华文细黑" w:eastAsia="华文细黑" w:cs="宋体"/>
                <w:b/>
                <w:kern w:val="0"/>
                <w:szCs w:val="21"/>
              </w:rPr>
            </w:pPr>
            <w:r>
              <w:rPr>
                <w:rFonts w:hint="eastAsia" w:ascii="华文细黑" w:hAnsi="华文细黑" w:eastAsia="华文细黑" w:cs="宋体"/>
                <w:b/>
                <w:kern w:val="0"/>
                <w:szCs w:val="21"/>
              </w:rPr>
              <w:t>　　负责维护校园周边道路及校车行驶线路交通秩序，配合交通运输、综合执法等部门完善校园周边道路交通安全设施；审核校车使用许可，办理校车注册、变更登记，核发校车标牌，审查校车驾驶员资格，依法查处校车道路交通违法行为，配合教育部门组织开展学校交通安全教育。</w:t>
            </w:r>
          </w:p>
        </w:tc>
        <w:tc>
          <w:tcPr>
            <w:tcW w:w="2552" w:type="dxa"/>
            <w:vMerge w:val="continue"/>
          </w:tcPr>
          <w:p>
            <w:pPr>
              <w:spacing w:line="300" w:lineRule="exact"/>
              <w:jc w:val="left"/>
              <w:rPr>
                <w:rFonts w:ascii="华文细黑" w:hAnsi="华文细黑" w:eastAsia="华文细黑"/>
                <w:b/>
                <w:szCs w:val="21"/>
              </w:rPr>
            </w:pPr>
          </w:p>
        </w:tc>
        <w:tc>
          <w:tcPr>
            <w:tcW w:w="1417" w:type="dxa"/>
            <w:vMerge w:val="continue"/>
          </w:tcPr>
          <w:p>
            <w:pPr>
              <w:spacing w:line="300" w:lineRule="exact"/>
              <w:jc w:val="left"/>
              <w:rPr>
                <w:rFonts w:ascii="华文细黑" w:hAnsi="华文细黑" w:eastAsia="华文细黑"/>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9" w:hRule="atLeast"/>
        </w:trPr>
        <w:tc>
          <w:tcPr>
            <w:tcW w:w="959" w:type="dxa"/>
            <w:vMerge w:val="continue"/>
            <w:vAlign w:val="center"/>
          </w:tcPr>
          <w:p>
            <w:pPr>
              <w:spacing w:line="300" w:lineRule="exact"/>
              <w:jc w:val="center"/>
              <w:rPr>
                <w:rFonts w:ascii="华文细黑" w:hAnsi="华文细黑" w:eastAsia="华文细黑"/>
                <w:b/>
                <w:szCs w:val="21"/>
              </w:rPr>
            </w:pPr>
          </w:p>
        </w:tc>
        <w:tc>
          <w:tcPr>
            <w:tcW w:w="1976" w:type="dxa"/>
            <w:vMerge w:val="continue"/>
            <w:vAlign w:val="center"/>
          </w:tcPr>
          <w:p>
            <w:pPr>
              <w:spacing w:line="300" w:lineRule="exact"/>
              <w:jc w:val="center"/>
              <w:rPr>
                <w:rFonts w:ascii="华文细黑" w:hAnsi="华文细黑" w:eastAsia="华文细黑"/>
                <w:b/>
                <w:szCs w:val="21"/>
              </w:rPr>
            </w:pPr>
          </w:p>
        </w:tc>
        <w:tc>
          <w:tcPr>
            <w:tcW w:w="1677" w:type="dxa"/>
            <w:vAlign w:val="center"/>
          </w:tcPr>
          <w:p>
            <w:pPr>
              <w:widowControl/>
              <w:spacing w:line="300" w:lineRule="exact"/>
              <w:jc w:val="center"/>
              <w:rPr>
                <w:rFonts w:ascii="华文细黑" w:hAnsi="华文细黑" w:eastAsia="华文细黑" w:cs="宋体"/>
                <w:b/>
                <w:kern w:val="0"/>
                <w:szCs w:val="21"/>
              </w:rPr>
            </w:pPr>
            <w:r>
              <w:rPr>
                <w:rFonts w:hint="eastAsia" w:ascii="华文细黑" w:hAnsi="华文细黑" w:eastAsia="华文细黑" w:cs="宋体"/>
                <w:b/>
                <w:kern w:val="0"/>
                <w:szCs w:val="21"/>
              </w:rPr>
              <w:t>区财政局</w:t>
            </w:r>
          </w:p>
        </w:tc>
        <w:tc>
          <w:tcPr>
            <w:tcW w:w="6269" w:type="dxa"/>
            <w:vAlign w:val="center"/>
          </w:tcPr>
          <w:p>
            <w:pPr>
              <w:widowControl/>
              <w:spacing w:line="300" w:lineRule="exact"/>
              <w:jc w:val="left"/>
              <w:rPr>
                <w:rFonts w:ascii="华文细黑" w:hAnsi="华文细黑" w:eastAsia="华文细黑" w:cs="宋体"/>
                <w:b/>
                <w:kern w:val="0"/>
                <w:szCs w:val="21"/>
              </w:rPr>
            </w:pPr>
            <w:r>
              <w:rPr>
                <w:rFonts w:hint="eastAsia" w:ascii="华文细黑" w:hAnsi="华文细黑" w:eastAsia="华文细黑" w:cs="宋体"/>
                <w:b/>
                <w:kern w:val="0"/>
                <w:szCs w:val="21"/>
              </w:rPr>
              <w:t>　　负责学生交通安全保障工作专项资金筹措和保障，确保资金及时到位；会同有关部门加强资金监管，加强对政府投资校车车辆采购、维修等环节的监管。</w:t>
            </w:r>
          </w:p>
        </w:tc>
        <w:tc>
          <w:tcPr>
            <w:tcW w:w="2552" w:type="dxa"/>
            <w:vMerge w:val="continue"/>
          </w:tcPr>
          <w:p>
            <w:pPr>
              <w:spacing w:line="300" w:lineRule="exact"/>
              <w:jc w:val="left"/>
              <w:rPr>
                <w:rFonts w:ascii="华文细黑" w:hAnsi="华文细黑" w:eastAsia="华文细黑"/>
                <w:b/>
                <w:szCs w:val="21"/>
              </w:rPr>
            </w:pPr>
          </w:p>
        </w:tc>
        <w:tc>
          <w:tcPr>
            <w:tcW w:w="1417" w:type="dxa"/>
            <w:vMerge w:val="continue"/>
          </w:tcPr>
          <w:p>
            <w:pPr>
              <w:spacing w:line="300" w:lineRule="exact"/>
              <w:jc w:val="left"/>
              <w:rPr>
                <w:rFonts w:ascii="华文细黑" w:hAnsi="华文细黑" w:eastAsia="华文细黑"/>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59" w:type="dxa"/>
            <w:vMerge w:val="continue"/>
            <w:vAlign w:val="center"/>
          </w:tcPr>
          <w:p>
            <w:pPr>
              <w:spacing w:line="300" w:lineRule="exact"/>
              <w:jc w:val="center"/>
              <w:rPr>
                <w:rFonts w:ascii="华文细黑" w:hAnsi="华文细黑" w:eastAsia="华文细黑"/>
                <w:b/>
                <w:szCs w:val="21"/>
              </w:rPr>
            </w:pPr>
          </w:p>
        </w:tc>
        <w:tc>
          <w:tcPr>
            <w:tcW w:w="1976" w:type="dxa"/>
            <w:vMerge w:val="continue"/>
            <w:vAlign w:val="center"/>
          </w:tcPr>
          <w:p>
            <w:pPr>
              <w:spacing w:line="300" w:lineRule="exact"/>
              <w:jc w:val="center"/>
              <w:rPr>
                <w:rFonts w:ascii="华文细黑" w:hAnsi="华文细黑" w:eastAsia="华文细黑"/>
                <w:b/>
                <w:szCs w:val="21"/>
              </w:rPr>
            </w:pPr>
          </w:p>
        </w:tc>
        <w:tc>
          <w:tcPr>
            <w:tcW w:w="1677" w:type="dxa"/>
            <w:vAlign w:val="center"/>
          </w:tcPr>
          <w:p>
            <w:pPr>
              <w:widowControl/>
              <w:spacing w:line="300" w:lineRule="exact"/>
              <w:jc w:val="center"/>
              <w:rPr>
                <w:rFonts w:ascii="华文细黑" w:hAnsi="华文细黑" w:eastAsia="华文细黑" w:cs="宋体"/>
                <w:b/>
                <w:kern w:val="0"/>
                <w:szCs w:val="21"/>
              </w:rPr>
            </w:pPr>
            <w:r>
              <w:rPr>
                <w:rFonts w:hint="eastAsia" w:ascii="华文细黑" w:hAnsi="华文细黑" w:eastAsia="华文细黑" w:cs="宋体"/>
                <w:b/>
                <w:kern w:val="0"/>
                <w:szCs w:val="21"/>
              </w:rPr>
              <w:t>区交通运输局</w:t>
            </w:r>
          </w:p>
        </w:tc>
        <w:tc>
          <w:tcPr>
            <w:tcW w:w="6269" w:type="dxa"/>
            <w:vAlign w:val="center"/>
          </w:tcPr>
          <w:p>
            <w:pPr>
              <w:widowControl/>
              <w:spacing w:line="300" w:lineRule="exact"/>
              <w:jc w:val="left"/>
              <w:rPr>
                <w:rFonts w:ascii="华文细黑" w:hAnsi="华文细黑" w:eastAsia="华文细黑" w:cs="宋体"/>
                <w:b/>
                <w:kern w:val="0"/>
                <w:szCs w:val="21"/>
              </w:rPr>
            </w:pPr>
            <w:r>
              <w:rPr>
                <w:rFonts w:hint="eastAsia" w:ascii="华文细黑" w:hAnsi="华文细黑" w:eastAsia="华文细黑" w:cs="宋体"/>
                <w:b/>
                <w:kern w:val="0"/>
                <w:szCs w:val="21"/>
              </w:rPr>
              <w:t>　　负责专业道路客运企业参与学生接送车辆的监督管理，督促道路客运企业完善安全管理机构和人员配备，严格遵守各项规章制度，提高校车服务质量；合理规划渔农村客运线路，提升渔农村公路通行安全技术标准；配合做好校车线路勘察等工作。</w:t>
            </w:r>
          </w:p>
        </w:tc>
        <w:tc>
          <w:tcPr>
            <w:tcW w:w="2552" w:type="dxa"/>
            <w:vMerge w:val="continue"/>
          </w:tcPr>
          <w:p>
            <w:pPr>
              <w:spacing w:line="300" w:lineRule="exact"/>
              <w:jc w:val="left"/>
              <w:rPr>
                <w:rFonts w:ascii="华文细黑" w:hAnsi="华文细黑" w:eastAsia="华文细黑"/>
                <w:b/>
                <w:szCs w:val="21"/>
              </w:rPr>
            </w:pPr>
          </w:p>
        </w:tc>
        <w:tc>
          <w:tcPr>
            <w:tcW w:w="1417" w:type="dxa"/>
            <w:vMerge w:val="continue"/>
          </w:tcPr>
          <w:p>
            <w:pPr>
              <w:spacing w:line="300" w:lineRule="exact"/>
              <w:jc w:val="left"/>
              <w:rPr>
                <w:rFonts w:ascii="华文细黑" w:hAnsi="华文细黑" w:eastAsia="华文细黑"/>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6" w:hRule="atLeast"/>
        </w:trPr>
        <w:tc>
          <w:tcPr>
            <w:tcW w:w="959" w:type="dxa"/>
            <w:vMerge w:val="continue"/>
            <w:vAlign w:val="center"/>
          </w:tcPr>
          <w:p>
            <w:pPr>
              <w:spacing w:line="300" w:lineRule="exact"/>
              <w:jc w:val="center"/>
              <w:rPr>
                <w:rFonts w:ascii="华文细黑" w:hAnsi="华文细黑" w:eastAsia="华文细黑"/>
                <w:b/>
                <w:szCs w:val="21"/>
              </w:rPr>
            </w:pPr>
          </w:p>
        </w:tc>
        <w:tc>
          <w:tcPr>
            <w:tcW w:w="1976" w:type="dxa"/>
            <w:vMerge w:val="continue"/>
            <w:vAlign w:val="center"/>
          </w:tcPr>
          <w:p>
            <w:pPr>
              <w:spacing w:line="300" w:lineRule="exact"/>
              <w:jc w:val="center"/>
              <w:rPr>
                <w:rFonts w:ascii="华文细黑" w:hAnsi="华文细黑" w:eastAsia="华文细黑"/>
                <w:b/>
                <w:szCs w:val="21"/>
              </w:rPr>
            </w:pPr>
          </w:p>
        </w:tc>
        <w:tc>
          <w:tcPr>
            <w:tcW w:w="1677" w:type="dxa"/>
            <w:vAlign w:val="center"/>
          </w:tcPr>
          <w:p>
            <w:pPr>
              <w:widowControl/>
              <w:spacing w:line="300" w:lineRule="exact"/>
              <w:jc w:val="center"/>
              <w:rPr>
                <w:rFonts w:ascii="华文细黑" w:hAnsi="华文细黑" w:eastAsia="华文细黑" w:cs="宋体"/>
                <w:b/>
                <w:kern w:val="0"/>
                <w:szCs w:val="21"/>
              </w:rPr>
            </w:pPr>
            <w:r>
              <w:rPr>
                <w:rFonts w:hint="eastAsia" w:ascii="华文细黑" w:hAnsi="华文细黑" w:eastAsia="华文细黑" w:cs="宋体"/>
                <w:b/>
                <w:kern w:val="0"/>
                <w:szCs w:val="21"/>
              </w:rPr>
              <w:t>区发改局</w:t>
            </w:r>
          </w:p>
        </w:tc>
        <w:tc>
          <w:tcPr>
            <w:tcW w:w="6269" w:type="dxa"/>
            <w:vAlign w:val="center"/>
          </w:tcPr>
          <w:p>
            <w:pPr>
              <w:widowControl/>
              <w:spacing w:line="300" w:lineRule="exact"/>
              <w:jc w:val="left"/>
              <w:rPr>
                <w:rFonts w:ascii="华文细黑" w:hAnsi="华文细黑" w:eastAsia="华文细黑" w:cs="宋体"/>
                <w:b/>
                <w:kern w:val="0"/>
                <w:szCs w:val="21"/>
              </w:rPr>
            </w:pPr>
            <w:r>
              <w:rPr>
                <w:rFonts w:hint="eastAsia" w:ascii="华文细黑" w:hAnsi="华文细黑" w:eastAsia="华文细黑" w:cs="宋体"/>
                <w:b/>
                <w:kern w:val="0"/>
                <w:szCs w:val="21"/>
              </w:rPr>
              <w:t>　　负责根据有关规定，核定学生乘坐校车收费标准。</w:t>
            </w:r>
          </w:p>
        </w:tc>
        <w:tc>
          <w:tcPr>
            <w:tcW w:w="2552" w:type="dxa"/>
            <w:vMerge w:val="continue"/>
          </w:tcPr>
          <w:p>
            <w:pPr>
              <w:spacing w:line="300" w:lineRule="exact"/>
              <w:jc w:val="left"/>
              <w:rPr>
                <w:rFonts w:ascii="华文细黑" w:hAnsi="华文细黑" w:eastAsia="华文细黑"/>
                <w:b/>
                <w:szCs w:val="21"/>
              </w:rPr>
            </w:pPr>
          </w:p>
        </w:tc>
        <w:tc>
          <w:tcPr>
            <w:tcW w:w="1417" w:type="dxa"/>
            <w:vMerge w:val="continue"/>
          </w:tcPr>
          <w:p>
            <w:pPr>
              <w:spacing w:line="300" w:lineRule="exact"/>
              <w:jc w:val="left"/>
              <w:rPr>
                <w:rFonts w:ascii="华文细黑" w:hAnsi="华文细黑" w:eastAsia="华文细黑"/>
                <w:b/>
                <w:szCs w:val="21"/>
              </w:rPr>
            </w:pPr>
          </w:p>
        </w:tc>
      </w:tr>
    </w:tbl>
    <w:p>
      <w:pPr>
        <w:spacing w:line="300" w:lineRule="exact"/>
        <w:jc w:val="left"/>
        <w:rPr>
          <w:rFonts w:ascii="华文细黑" w:hAnsi="华文细黑" w:eastAsia="华文细黑"/>
          <w:b/>
          <w:szCs w:val="21"/>
        </w:rPr>
        <w:sectPr>
          <w:pgSz w:w="16838" w:h="11906" w:orient="landscape"/>
          <w:pgMar w:top="1440" w:right="1080" w:bottom="1440" w:left="1080" w:header="851" w:footer="992" w:gutter="0"/>
          <w:cols w:space="425" w:num="1"/>
          <w:docGrid w:type="lines" w:linePitch="312" w:charSpace="0"/>
        </w:sectPr>
      </w:pPr>
    </w:p>
    <w:tbl>
      <w:tblPr>
        <w:tblStyle w:val="2"/>
        <w:tblW w:w="1485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8"/>
        <w:gridCol w:w="1985"/>
        <w:gridCol w:w="1701"/>
        <w:gridCol w:w="7797"/>
        <w:gridCol w:w="1417"/>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5" w:hRule="atLeast"/>
        </w:trPr>
        <w:tc>
          <w:tcPr>
            <w:tcW w:w="958" w:type="dxa"/>
            <w:vMerge w:val="restart"/>
            <w:tcBorders>
              <w:top w:val="single" w:color="auto" w:sz="4" w:space="0"/>
              <w:left w:val="single" w:color="auto" w:sz="4" w:space="0"/>
              <w:right w:val="single" w:color="auto" w:sz="4" w:space="0"/>
            </w:tcBorders>
            <w:vAlign w:val="center"/>
          </w:tcPr>
          <w:p>
            <w:pPr>
              <w:jc w:val="center"/>
              <w:rPr>
                <w:rFonts w:ascii="黑体" w:hAnsi="黑体" w:eastAsia="黑体"/>
                <w:b/>
                <w:sz w:val="28"/>
                <w:szCs w:val="28"/>
              </w:rPr>
            </w:pPr>
            <w:r>
              <w:rPr>
                <w:rFonts w:hint="eastAsia" w:ascii="黑体" w:hAnsi="黑体" w:eastAsia="黑体"/>
                <w:b/>
                <w:sz w:val="28"/>
                <w:szCs w:val="28"/>
              </w:rPr>
              <w:t>2</w:t>
            </w:r>
          </w:p>
          <w:p>
            <w:pPr>
              <w:jc w:val="center"/>
              <w:rPr>
                <w:rFonts w:ascii="黑体" w:hAnsi="黑体" w:eastAsia="黑体"/>
                <w:b/>
                <w:sz w:val="28"/>
                <w:szCs w:val="28"/>
              </w:rPr>
            </w:pPr>
          </w:p>
        </w:tc>
        <w:tc>
          <w:tcPr>
            <w:tcW w:w="1985" w:type="dxa"/>
            <w:vMerge w:val="restart"/>
            <w:tcBorders>
              <w:top w:val="single" w:color="auto" w:sz="4" w:space="0"/>
              <w:left w:val="single" w:color="auto" w:sz="4" w:space="0"/>
              <w:right w:val="single" w:color="auto" w:sz="4" w:space="0"/>
            </w:tcBorders>
            <w:vAlign w:val="center"/>
          </w:tcPr>
          <w:p>
            <w:pPr>
              <w:jc w:val="center"/>
              <w:rPr>
                <w:rFonts w:ascii="黑体" w:hAnsi="黑体" w:eastAsia="黑体"/>
                <w:b/>
                <w:sz w:val="28"/>
                <w:szCs w:val="28"/>
              </w:rPr>
            </w:pPr>
            <w:r>
              <w:rPr>
                <w:rFonts w:ascii="黑体" w:hAnsi="黑体" w:eastAsia="黑体"/>
                <w:b/>
                <w:sz w:val="28"/>
                <w:szCs w:val="28"/>
              </w:rPr>
              <w:t>校园周边治安综合治理</w:t>
            </w:r>
          </w:p>
          <w:p>
            <w:pPr>
              <w:jc w:val="center"/>
              <w:rPr>
                <w:rFonts w:ascii="黑体" w:hAnsi="黑体" w:eastAsia="黑体"/>
                <w:b/>
                <w:sz w:val="28"/>
                <w:szCs w:val="28"/>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r>
              <w:rPr>
                <w:rFonts w:hint="eastAsia" w:ascii="华文细黑" w:hAnsi="华文细黑" w:eastAsia="华文细黑" w:cs="仿宋_GB2312"/>
                <w:b/>
                <w:szCs w:val="21"/>
              </w:rPr>
              <w:t>区</w:t>
            </w:r>
            <w:r>
              <w:rPr>
                <w:rFonts w:ascii="华文细黑" w:hAnsi="华文细黑" w:eastAsia="华文细黑" w:cs="仿宋_GB2312"/>
                <w:b/>
                <w:szCs w:val="21"/>
              </w:rPr>
              <w:t>教育局</w:t>
            </w:r>
          </w:p>
        </w:tc>
        <w:tc>
          <w:tcPr>
            <w:tcW w:w="7797"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华文细黑" w:hAnsi="华文细黑" w:eastAsia="华文细黑" w:cs="仿宋_GB2312"/>
                <w:b/>
                <w:szCs w:val="21"/>
              </w:rPr>
            </w:pPr>
            <w:r>
              <w:rPr>
                <w:rFonts w:ascii="华文细黑" w:hAnsi="华文细黑" w:eastAsia="华文细黑" w:cs="仿宋_GB2312"/>
                <w:b/>
                <w:szCs w:val="21"/>
              </w:rPr>
              <w:t>　　承担</w:t>
            </w:r>
            <w:r>
              <w:rPr>
                <w:rFonts w:hint="eastAsia" w:ascii="华文细黑" w:hAnsi="华文细黑" w:eastAsia="华文细黑" w:cs="仿宋_GB2312"/>
                <w:b/>
                <w:szCs w:val="21"/>
              </w:rPr>
              <w:t>区</w:t>
            </w:r>
            <w:r>
              <w:rPr>
                <w:rFonts w:ascii="华文细黑" w:hAnsi="华文细黑" w:eastAsia="华文细黑" w:cs="仿宋_GB2312"/>
                <w:b/>
                <w:szCs w:val="21"/>
              </w:rPr>
              <w:t>综治</w:t>
            </w:r>
            <w:r>
              <w:rPr>
                <w:rFonts w:hint="eastAsia" w:ascii="华文细黑" w:hAnsi="华文细黑" w:eastAsia="华文细黑" w:cs="仿宋_GB2312"/>
                <w:b/>
                <w:szCs w:val="21"/>
              </w:rPr>
              <w:t>办</w:t>
            </w:r>
            <w:r>
              <w:rPr>
                <w:rFonts w:ascii="华文细黑" w:hAnsi="华文细黑" w:eastAsia="华文细黑" w:cs="仿宋_GB2312"/>
                <w:b/>
                <w:szCs w:val="21"/>
              </w:rPr>
              <w:t>校园及周边治安综合治理专项组组长工作，负责指导开展校园及周边治安综合治理日常工作，负责制订工作实施方案</w:t>
            </w:r>
          </w:p>
        </w:tc>
        <w:tc>
          <w:tcPr>
            <w:tcW w:w="1417" w:type="dxa"/>
            <w:vMerge w:val="restart"/>
            <w:tcBorders>
              <w:top w:val="single" w:color="auto" w:sz="4" w:space="0"/>
              <w:left w:val="single" w:color="auto" w:sz="4" w:space="0"/>
              <w:right w:val="single" w:color="auto" w:sz="4" w:space="0"/>
            </w:tcBorders>
            <w:vAlign w:val="center"/>
          </w:tcPr>
          <w:p>
            <w:pPr>
              <w:widowControl/>
              <w:spacing w:line="300" w:lineRule="exact"/>
              <w:rPr>
                <w:rFonts w:ascii="华文细黑" w:hAnsi="华文细黑" w:eastAsia="华文细黑" w:cs="宋体"/>
                <w:b/>
                <w:kern w:val="0"/>
                <w:szCs w:val="21"/>
              </w:rPr>
            </w:pPr>
            <w:r>
              <w:rPr>
                <w:rFonts w:hint="eastAsia" w:ascii="华文细黑" w:hAnsi="华文细黑" w:eastAsia="华文细黑" w:cs="宋体"/>
                <w:b/>
                <w:kern w:val="0"/>
                <w:szCs w:val="21"/>
              </w:rPr>
              <w:t>《河北省学校安全工作管理规定》</w:t>
            </w:r>
            <w:r>
              <w:rPr>
                <w:rFonts w:ascii="华文细黑" w:hAnsi="华文细黑" w:eastAsia="华文细黑" w:cs="宋体"/>
                <w:b/>
                <w:kern w:val="0"/>
                <w:szCs w:val="21"/>
              </w:rPr>
              <w:t>河北省人民政府令（2010）第8号</w:t>
            </w:r>
          </w:p>
          <w:p>
            <w:pPr>
              <w:widowControl/>
              <w:spacing w:line="300" w:lineRule="exact"/>
              <w:rPr>
                <w:rFonts w:ascii="华文细黑" w:hAnsi="华文细黑" w:eastAsia="华文细黑" w:cs="宋体"/>
                <w:b/>
                <w:kern w:val="0"/>
                <w:szCs w:val="21"/>
              </w:rPr>
            </w:pPr>
          </w:p>
          <w:p>
            <w:pPr>
              <w:widowControl/>
              <w:spacing w:line="300" w:lineRule="exact"/>
              <w:jc w:val="center"/>
              <w:rPr>
                <w:rFonts w:ascii="华文细黑" w:hAnsi="华文细黑" w:eastAsia="华文细黑" w:cs="宋体"/>
                <w:b/>
                <w:kern w:val="0"/>
                <w:szCs w:val="21"/>
              </w:rPr>
            </w:pPr>
          </w:p>
        </w:tc>
        <w:tc>
          <w:tcPr>
            <w:tcW w:w="992" w:type="dxa"/>
            <w:vMerge w:val="restart"/>
            <w:tcBorders>
              <w:top w:val="single" w:color="auto" w:sz="4" w:space="0"/>
              <w:left w:val="single" w:color="auto" w:sz="4" w:space="0"/>
              <w:right w:val="single" w:color="auto" w:sz="4" w:space="0"/>
            </w:tcBorders>
            <w:vAlign w:val="center"/>
          </w:tcPr>
          <w:p>
            <w:pPr>
              <w:spacing w:line="300" w:lineRule="exact"/>
              <w:rPr>
                <w:rFonts w:ascii="华文细黑" w:hAnsi="华文细黑" w:eastAsia="华文细黑"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trPr>
        <w:tc>
          <w:tcPr>
            <w:tcW w:w="958" w:type="dxa"/>
            <w:vMerge w:val="continue"/>
            <w:tcBorders>
              <w:left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r>
              <w:rPr>
                <w:rFonts w:hint="eastAsia" w:ascii="华文细黑" w:hAnsi="华文细黑" w:eastAsia="华文细黑" w:cs="仿宋_GB2312"/>
                <w:b/>
                <w:szCs w:val="21"/>
              </w:rPr>
              <w:t>区政法委</w:t>
            </w:r>
          </w:p>
        </w:tc>
        <w:tc>
          <w:tcPr>
            <w:tcW w:w="7797"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华文细黑" w:hAnsi="华文细黑" w:eastAsia="华文细黑" w:cs="仿宋_GB2312"/>
                <w:b/>
                <w:szCs w:val="21"/>
              </w:rPr>
            </w:pPr>
            <w:r>
              <w:rPr>
                <w:rFonts w:ascii="华文细黑" w:hAnsi="华文细黑" w:eastAsia="华文细黑" w:cs="仿宋_GB2312"/>
                <w:b/>
                <w:szCs w:val="21"/>
              </w:rPr>
              <w:t>　　协助</w:t>
            </w:r>
            <w:r>
              <w:rPr>
                <w:rFonts w:hint="eastAsia" w:ascii="华文细黑" w:hAnsi="华文细黑" w:eastAsia="华文细黑" w:cs="仿宋_GB2312"/>
                <w:b/>
                <w:szCs w:val="21"/>
              </w:rPr>
              <w:t>有关</w:t>
            </w:r>
            <w:r>
              <w:rPr>
                <w:rFonts w:ascii="华文细黑" w:hAnsi="华文细黑" w:eastAsia="华文细黑" w:cs="仿宋_GB2312"/>
                <w:b/>
                <w:szCs w:val="21"/>
              </w:rPr>
              <w:t>单位做好校园及周边治安综合治理专项组的协调工作，协助收集专项组工作实施情况；将校园及周边治安综合治理工作纳入年度平安、综治考核</w:t>
            </w:r>
            <w:r>
              <w:rPr>
                <w:rFonts w:hint="eastAsia" w:ascii="华文细黑" w:hAnsi="华文细黑" w:eastAsia="华文细黑" w:cs="仿宋_GB2312"/>
                <w:b/>
                <w:szCs w:val="21"/>
              </w:rPr>
              <w:t>。</w:t>
            </w:r>
          </w:p>
        </w:tc>
        <w:tc>
          <w:tcPr>
            <w:tcW w:w="1417" w:type="dxa"/>
            <w:vMerge w:val="continue"/>
            <w:tcBorders>
              <w:left w:val="single" w:color="auto" w:sz="4" w:space="0"/>
              <w:right w:val="single" w:color="auto" w:sz="4" w:space="0"/>
            </w:tcBorders>
            <w:vAlign w:val="center"/>
          </w:tcPr>
          <w:p>
            <w:pPr>
              <w:widowControl/>
              <w:spacing w:line="300" w:lineRule="exact"/>
              <w:rPr>
                <w:rFonts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spacing w:line="300" w:lineRule="exact"/>
              <w:rPr>
                <w:rFonts w:ascii="华文细黑" w:hAnsi="华文细黑" w:eastAsia="华文细黑"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7" w:hRule="atLeast"/>
        </w:trPr>
        <w:tc>
          <w:tcPr>
            <w:tcW w:w="958" w:type="dxa"/>
            <w:vMerge w:val="continue"/>
            <w:tcBorders>
              <w:left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r>
              <w:rPr>
                <w:rFonts w:hint="eastAsia" w:ascii="华文细黑" w:hAnsi="华文细黑" w:eastAsia="华文细黑" w:cs="仿宋_GB2312"/>
                <w:b/>
                <w:szCs w:val="21"/>
              </w:rPr>
              <w:t>区</w:t>
            </w:r>
            <w:r>
              <w:rPr>
                <w:rFonts w:ascii="华文细黑" w:hAnsi="华文细黑" w:eastAsia="华文细黑" w:cs="仿宋_GB2312"/>
                <w:b/>
                <w:szCs w:val="21"/>
              </w:rPr>
              <w:t>公安局</w:t>
            </w:r>
          </w:p>
        </w:tc>
        <w:tc>
          <w:tcPr>
            <w:tcW w:w="7797" w:type="dxa"/>
            <w:tcBorders>
              <w:top w:val="single" w:color="auto" w:sz="4" w:space="0"/>
              <w:left w:val="single" w:color="auto" w:sz="4" w:space="0"/>
              <w:bottom w:val="single" w:color="auto" w:sz="4" w:space="0"/>
              <w:right w:val="single" w:color="auto" w:sz="4" w:space="0"/>
            </w:tcBorders>
            <w:vAlign w:val="center"/>
          </w:tcPr>
          <w:p>
            <w:pPr>
              <w:spacing w:before="156" w:beforeLines="50" w:after="156" w:afterLines="50" w:line="300" w:lineRule="exact"/>
              <w:rPr>
                <w:rFonts w:ascii="华文细黑" w:hAnsi="华文细黑" w:eastAsia="华文细黑" w:cs="仿宋_GB2312"/>
                <w:b/>
                <w:szCs w:val="21"/>
              </w:rPr>
            </w:pPr>
            <w:r>
              <w:rPr>
                <w:rFonts w:ascii="华文细黑" w:hAnsi="华文细黑" w:eastAsia="华文细黑" w:cs="仿宋_GB2312"/>
                <w:b/>
                <w:szCs w:val="21"/>
              </w:rPr>
              <w:t>　　负责校园及周边的治安工作，协助</w:t>
            </w:r>
            <w:r>
              <w:rPr>
                <w:rFonts w:hint="eastAsia" w:ascii="华文细黑" w:hAnsi="华文细黑" w:eastAsia="华文细黑" w:cs="仿宋_GB2312"/>
                <w:b/>
                <w:szCs w:val="21"/>
              </w:rPr>
              <w:t>镇村</w:t>
            </w:r>
            <w:r>
              <w:rPr>
                <w:rFonts w:ascii="华文细黑" w:hAnsi="华文细黑" w:eastAsia="华文细黑" w:cs="仿宋_GB2312"/>
                <w:b/>
                <w:szCs w:val="21"/>
              </w:rPr>
              <w:t>及相关人员对现有危害社会人员的帮教管控；指导督促学校落实内部治安安全、消防安全管理，消除安全隐患；依法及时打击查处危害校园和师生人身财产安全的违法行为；负责校园及周边的交通安全工作；加强互联网安全监管；推进警校联系机制建设等</w:t>
            </w:r>
            <w:r>
              <w:rPr>
                <w:rFonts w:hint="eastAsia" w:ascii="华文细黑" w:hAnsi="华文细黑" w:eastAsia="华文细黑" w:cs="仿宋_GB2312"/>
                <w:b/>
                <w:szCs w:val="21"/>
              </w:rPr>
              <w:t>。</w:t>
            </w:r>
          </w:p>
        </w:tc>
        <w:tc>
          <w:tcPr>
            <w:tcW w:w="1417" w:type="dxa"/>
            <w:vMerge w:val="continue"/>
            <w:tcBorders>
              <w:left w:val="single" w:color="auto" w:sz="4" w:space="0"/>
              <w:right w:val="single" w:color="auto" w:sz="4" w:space="0"/>
            </w:tcBorders>
            <w:vAlign w:val="center"/>
          </w:tcPr>
          <w:p>
            <w:pPr>
              <w:widowControl/>
              <w:spacing w:line="300" w:lineRule="exact"/>
              <w:rPr>
                <w:rFonts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spacing w:line="300" w:lineRule="exact"/>
              <w:rPr>
                <w:rFonts w:ascii="华文细黑" w:hAnsi="华文细黑" w:eastAsia="华文细黑"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958" w:type="dxa"/>
            <w:vMerge w:val="continue"/>
            <w:tcBorders>
              <w:left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r>
              <w:rPr>
                <w:rFonts w:hint="eastAsia" w:ascii="华文细黑" w:hAnsi="华文细黑" w:eastAsia="华文细黑" w:cs="仿宋_GB2312"/>
                <w:b/>
                <w:szCs w:val="21"/>
              </w:rPr>
              <w:t>区</w:t>
            </w:r>
            <w:r>
              <w:rPr>
                <w:rFonts w:ascii="华文细黑" w:hAnsi="华文细黑" w:eastAsia="华文细黑" w:cs="仿宋_GB2312"/>
                <w:b/>
                <w:szCs w:val="21"/>
              </w:rPr>
              <w:t>卫</w:t>
            </w:r>
            <w:r>
              <w:rPr>
                <w:rFonts w:hint="eastAsia" w:ascii="华文细黑" w:hAnsi="华文细黑" w:eastAsia="华文细黑" w:cs="仿宋_GB2312"/>
                <w:b/>
                <w:szCs w:val="21"/>
              </w:rPr>
              <w:t>健</w:t>
            </w:r>
            <w:r>
              <w:rPr>
                <w:rFonts w:ascii="华文细黑" w:hAnsi="华文细黑" w:eastAsia="华文细黑" w:cs="仿宋_GB2312"/>
                <w:b/>
                <w:szCs w:val="21"/>
              </w:rPr>
              <w:t>局</w:t>
            </w:r>
          </w:p>
        </w:tc>
        <w:tc>
          <w:tcPr>
            <w:tcW w:w="7797"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华文细黑" w:hAnsi="华文细黑" w:eastAsia="华文细黑" w:cs="仿宋_GB2312"/>
                <w:b/>
                <w:szCs w:val="21"/>
              </w:rPr>
            </w:pPr>
            <w:r>
              <w:rPr>
                <w:rFonts w:ascii="华文细黑" w:hAnsi="华文细黑" w:eastAsia="华文细黑" w:cs="仿宋_GB2312"/>
                <w:b/>
                <w:szCs w:val="21"/>
              </w:rPr>
              <w:t>承担校园及周边具有肇事肇祸倾向精神病人“医疗救治”工作职责。</w:t>
            </w:r>
          </w:p>
        </w:tc>
        <w:tc>
          <w:tcPr>
            <w:tcW w:w="1417" w:type="dxa"/>
            <w:vMerge w:val="continue"/>
            <w:tcBorders>
              <w:left w:val="single" w:color="auto" w:sz="4" w:space="0"/>
              <w:right w:val="single" w:color="auto" w:sz="4" w:space="0"/>
            </w:tcBorders>
            <w:vAlign w:val="center"/>
          </w:tcPr>
          <w:p>
            <w:pPr>
              <w:widowControl/>
              <w:spacing w:line="300" w:lineRule="exact"/>
              <w:rPr>
                <w:rFonts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spacing w:line="300" w:lineRule="exact"/>
              <w:rPr>
                <w:rFonts w:ascii="华文细黑" w:hAnsi="华文细黑" w:eastAsia="华文细黑"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trPr>
        <w:tc>
          <w:tcPr>
            <w:tcW w:w="958" w:type="dxa"/>
            <w:vMerge w:val="continue"/>
            <w:tcBorders>
              <w:left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r>
              <w:rPr>
                <w:rFonts w:hint="eastAsia" w:ascii="华文细黑" w:hAnsi="华文细黑" w:eastAsia="华文细黑" w:cs="仿宋_GB2312"/>
                <w:b/>
                <w:szCs w:val="21"/>
              </w:rPr>
              <w:t>区</w:t>
            </w:r>
            <w:r>
              <w:rPr>
                <w:rFonts w:ascii="华文细黑" w:hAnsi="华文细黑" w:eastAsia="华文细黑" w:cs="仿宋_GB2312"/>
                <w:b/>
                <w:szCs w:val="21"/>
              </w:rPr>
              <w:t>司法局</w:t>
            </w:r>
          </w:p>
        </w:tc>
        <w:tc>
          <w:tcPr>
            <w:tcW w:w="7797"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华文细黑" w:hAnsi="华文细黑" w:eastAsia="华文细黑" w:cs="仿宋_GB2312"/>
                <w:b/>
                <w:szCs w:val="21"/>
              </w:rPr>
            </w:pPr>
            <w:r>
              <w:rPr>
                <w:rFonts w:ascii="华文细黑" w:hAnsi="华文细黑" w:eastAsia="华文细黑" w:cs="仿宋_GB2312"/>
                <w:b/>
                <w:szCs w:val="21"/>
              </w:rPr>
              <w:t>　　帮助学校开展普法教育和法制宣传工作；负责对在本</w:t>
            </w:r>
            <w:r>
              <w:rPr>
                <w:rFonts w:hint="eastAsia" w:ascii="华文细黑" w:hAnsi="华文细黑" w:eastAsia="华文细黑" w:cs="仿宋_GB2312"/>
                <w:b/>
                <w:szCs w:val="21"/>
              </w:rPr>
              <w:t>区</w:t>
            </w:r>
            <w:r>
              <w:rPr>
                <w:rFonts w:ascii="华文细黑" w:hAnsi="华文细黑" w:eastAsia="华文细黑" w:cs="仿宋_GB2312"/>
                <w:b/>
                <w:szCs w:val="21"/>
              </w:rPr>
              <w:t>服刑的未成年社区矫正人员、劳教戒毒人员的帮教工作</w:t>
            </w:r>
            <w:r>
              <w:rPr>
                <w:rFonts w:hint="eastAsia" w:ascii="华文细黑" w:hAnsi="华文细黑" w:eastAsia="华文细黑" w:cs="仿宋_GB2312"/>
                <w:b/>
                <w:szCs w:val="21"/>
              </w:rPr>
              <w:t>。</w:t>
            </w:r>
          </w:p>
        </w:tc>
        <w:tc>
          <w:tcPr>
            <w:tcW w:w="1417" w:type="dxa"/>
            <w:vMerge w:val="continue"/>
            <w:tcBorders>
              <w:left w:val="single" w:color="auto" w:sz="4" w:space="0"/>
              <w:right w:val="single" w:color="auto" w:sz="4" w:space="0"/>
            </w:tcBorders>
            <w:vAlign w:val="center"/>
          </w:tcPr>
          <w:p>
            <w:pPr>
              <w:widowControl/>
              <w:spacing w:line="300" w:lineRule="exact"/>
              <w:rPr>
                <w:rFonts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5" w:hRule="atLeast"/>
        </w:trPr>
        <w:tc>
          <w:tcPr>
            <w:tcW w:w="958" w:type="dxa"/>
            <w:vMerge w:val="continue"/>
            <w:tcBorders>
              <w:left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华文细黑" w:hAnsi="华文细黑" w:eastAsia="华文细黑" w:cs="仿宋_GB2312"/>
                <w:b/>
                <w:szCs w:val="21"/>
              </w:rPr>
            </w:pPr>
            <w:r>
              <w:rPr>
                <w:rFonts w:hint="eastAsia" w:ascii="华文细黑" w:hAnsi="华文细黑" w:eastAsia="华文细黑" w:cs="仿宋_GB2312"/>
                <w:b/>
                <w:szCs w:val="21"/>
              </w:rPr>
              <w:t>区</w:t>
            </w:r>
            <w:r>
              <w:rPr>
                <w:rFonts w:ascii="华文细黑" w:hAnsi="华文细黑" w:eastAsia="华文细黑" w:cs="仿宋_GB2312"/>
                <w:b/>
                <w:szCs w:val="21"/>
              </w:rPr>
              <w:t>文</w:t>
            </w:r>
            <w:r>
              <w:rPr>
                <w:rFonts w:hint="eastAsia" w:ascii="华文细黑" w:hAnsi="华文细黑" w:eastAsia="华文细黑" w:cs="仿宋_GB2312"/>
                <w:b/>
                <w:szCs w:val="21"/>
              </w:rPr>
              <w:t>化广电</w:t>
            </w:r>
          </w:p>
          <w:p>
            <w:pPr>
              <w:spacing w:line="300" w:lineRule="exact"/>
              <w:jc w:val="center"/>
              <w:rPr>
                <w:rFonts w:ascii="华文细黑" w:hAnsi="华文细黑" w:eastAsia="华文细黑" w:cs="仿宋_GB2312"/>
                <w:b/>
                <w:szCs w:val="21"/>
              </w:rPr>
            </w:pPr>
            <w:r>
              <w:rPr>
                <w:rFonts w:hint="eastAsia" w:ascii="华文细黑" w:hAnsi="华文细黑" w:eastAsia="华文细黑" w:cs="仿宋_GB2312"/>
                <w:b/>
                <w:szCs w:val="21"/>
              </w:rPr>
              <w:t>体育和旅游</w:t>
            </w:r>
            <w:r>
              <w:rPr>
                <w:rFonts w:ascii="华文细黑" w:hAnsi="华文细黑" w:eastAsia="华文细黑" w:cs="仿宋_GB2312"/>
                <w:b/>
                <w:szCs w:val="21"/>
              </w:rPr>
              <w:t>局</w:t>
            </w:r>
          </w:p>
        </w:tc>
        <w:tc>
          <w:tcPr>
            <w:tcW w:w="7797"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华文细黑" w:hAnsi="华文细黑" w:eastAsia="华文细黑" w:cs="仿宋_GB2312"/>
                <w:b/>
                <w:szCs w:val="21"/>
              </w:rPr>
            </w:pPr>
            <w:r>
              <w:rPr>
                <w:rFonts w:ascii="华文细黑" w:hAnsi="华文细黑" w:eastAsia="华文细黑" w:cs="仿宋_GB2312"/>
                <w:b/>
                <w:szCs w:val="21"/>
              </w:rPr>
              <w:t>　　负责校园周边文化市场综合治理工作</w:t>
            </w:r>
            <w:r>
              <w:rPr>
                <w:rFonts w:hint="eastAsia" w:ascii="华文细黑" w:hAnsi="华文细黑" w:eastAsia="华文细黑" w:cs="仿宋_GB2312"/>
                <w:b/>
                <w:szCs w:val="21"/>
              </w:rPr>
              <w:t>。</w:t>
            </w:r>
          </w:p>
        </w:tc>
        <w:tc>
          <w:tcPr>
            <w:tcW w:w="1417" w:type="dxa"/>
            <w:vMerge w:val="continue"/>
            <w:tcBorders>
              <w:left w:val="single" w:color="auto" w:sz="4" w:space="0"/>
              <w:right w:val="single" w:color="auto" w:sz="4" w:space="0"/>
            </w:tcBorders>
            <w:vAlign w:val="center"/>
          </w:tcPr>
          <w:p>
            <w:pPr>
              <w:widowControl/>
              <w:spacing w:line="300" w:lineRule="exact"/>
              <w:rPr>
                <w:rFonts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spacing w:line="300" w:lineRule="exact"/>
              <w:rPr>
                <w:rFonts w:ascii="华文细黑" w:hAnsi="华文细黑" w:eastAsia="华文细黑"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3" w:hRule="atLeast"/>
        </w:trPr>
        <w:tc>
          <w:tcPr>
            <w:tcW w:w="958" w:type="dxa"/>
            <w:vMerge w:val="continue"/>
            <w:tcBorders>
              <w:left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r>
              <w:rPr>
                <w:rFonts w:hint="eastAsia" w:ascii="华文细黑" w:hAnsi="华文细黑" w:eastAsia="华文细黑" w:cs="仿宋_GB2312"/>
                <w:b/>
                <w:szCs w:val="21"/>
              </w:rPr>
              <w:t>区</w:t>
            </w:r>
            <w:r>
              <w:rPr>
                <w:rFonts w:ascii="华文细黑" w:hAnsi="华文细黑" w:eastAsia="华文细黑" w:cs="仿宋_GB2312"/>
                <w:b/>
                <w:szCs w:val="21"/>
              </w:rPr>
              <w:t>市场监管局</w:t>
            </w:r>
          </w:p>
        </w:tc>
        <w:tc>
          <w:tcPr>
            <w:tcW w:w="7797"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华文细黑" w:hAnsi="华文细黑" w:eastAsia="华文细黑" w:cs="仿宋_GB2312"/>
                <w:b/>
                <w:szCs w:val="21"/>
              </w:rPr>
            </w:pPr>
            <w:r>
              <w:rPr>
                <w:rFonts w:ascii="华文细黑" w:hAnsi="华文细黑" w:eastAsia="华文细黑" w:cs="仿宋_GB2312"/>
                <w:b/>
                <w:szCs w:val="21"/>
              </w:rPr>
              <w:t>　　负责校园及周边商店、摊点等的食品安全管理工作</w:t>
            </w:r>
            <w:r>
              <w:rPr>
                <w:rFonts w:hint="eastAsia" w:ascii="华文细黑" w:hAnsi="华文细黑" w:eastAsia="华文细黑" w:cs="仿宋_GB2312"/>
                <w:b/>
                <w:szCs w:val="21"/>
              </w:rPr>
              <w:t>。</w:t>
            </w:r>
          </w:p>
        </w:tc>
        <w:tc>
          <w:tcPr>
            <w:tcW w:w="1417" w:type="dxa"/>
            <w:vMerge w:val="continue"/>
            <w:tcBorders>
              <w:left w:val="single" w:color="auto" w:sz="4" w:space="0"/>
              <w:right w:val="single" w:color="auto" w:sz="4" w:space="0"/>
            </w:tcBorders>
            <w:vAlign w:val="center"/>
          </w:tcPr>
          <w:p>
            <w:pPr>
              <w:widowControl/>
              <w:spacing w:line="300" w:lineRule="exact"/>
              <w:rPr>
                <w:rFonts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spacing w:line="300" w:lineRule="exact"/>
              <w:rPr>
                <w:rFonts w:ascii="华文细黑" w:hAnsi="华文细黑" w:eastAsia="华文细黑"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trPr>
        <w:tc>
          <w:tcPr>
            <w:tcW w:w="958" w:type="dxa"/>
            <w:vMerge w:val="continue"/>
            <w:tcBorders>
              <w:left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r>
              <w:rPr>
                <w:rFonts w:hint="eastAsia" w:ascii="华文细黑" w:hAnsi="华文细黑" w:eastAsia="华文细黑" w:cs="仿宋_GB2312"/>
                <w:b/>
                <w:szCs w:val="21"/>
              </w:rPr>
              <w:t>区</w:t>
            </w:r>
            <w:r>
              <w:rPr>
                <w:rFonts w:ascii="华文细黑" w:hAnsi="华文细黑" w:eastAsia="华文细黑" w:cs="仿宋_GB2312"/>
                <w:b/>
                <w:szCs w:val="21"/>
              </w:rPr>
              <w:t>住建局</w:t>
            </w:r>
          </w:p>
        </w:tc>
        <w:tc>
          <w:tcPr>
            <w:tcW w:w="7797"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华文细黑" w:hAnsi="华文细黑" w:eastAsia="华文细黑" w:cs="仿宋_GB2312"/>
                <w:b/>
                <w:szCs w:val="21"/>
              </w:rPr>
            </w:pPr>
            <w:r>
              <w:rPr>
                <w:rFonts w:ascii="华文细黑" w:hAnsi="华文细黑" w:eastAsia="华文细黑" w:cs="仿宋_GB2312"/>
                <w:b/>
                <w:szCs w:val="21"/>
              </w:rPr>
              <w:t>　　负责对校园周边跨门经营、乱搭乱建及无证流动摊贩的查处、取缔</w:t>
            </w:r>
            <w:r>
              <w:rPr>
                <w:rFonts w:hint="eastAsia" w:ascii="华文细黑" w:hAnsi="华文细黑" w:eastAsia="华文细黑" w:cs="仿宋_GB2312"/>
                <w:b/>
                <w:szCs w:val="21"/>
              </w:rPr>
              <w:t>。</w:t>
            </w:r>
          </w:p>
        </w:tc>
        <w:tc>
          <w:tcPr>
            <w:tcW w:w="1417" w:type="dxa"/>
            <w:vMerge w:val="continue"/>
            <w:tcBorders>
              <w:left w:val="single" w:color="auto" w:sz="4" w:space="0"/>
              <w:right w:val="single" w:color="auto" w:sz="4" w:space="0"/>
            </w:tcBorders>
            <w:vAlign w:val="center"/>
          </w:tcPr>
          <w:p>
            <w:pPr>
              <w:widowControl/>
              <w:spacing w:line="300" w:lineRule="exact"/>
              <w:rPr>
                <w:rFonts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spacing w:line="300" w:lineRule="exact"/>
              <w:rPr>
                <w:rFonts w:ascii="华文细黑" w:hAnsi="华文细黑" w:eastAsia="华文细黑"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0" w:hRule="atLeast"/>
        </w:trPr>
        <w:tc>
          <w:tcPr>
            <w:tcW w:w="958" w:type="dxa"/>
            <w:vMerge w:val="continue"/>
            <w:tcBorders>
              <w:left w:val="single" w:color="auto" w:sz="4" w:space="0"/>
              <w:bottom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p>
        </w:tc>
        <w:tc>
          <w:tcPr>
            <w:tcW w:w="1985" w:type="dxa"/>
            <w:vMerge w:val="continue"/>
            <w:tcBorders>
              <w:left w:val="single" w:color="auto" w:sz="4" w:space="0"/>
              <w:bottom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r>
              <w:rPr>
                <w:rFonts w:hint="eastAsia" w:ascii="华文细黑" w:hAnsi="华文细黑" w:eastAsia="华文细黑" w:cs="仿宋_GB2312"/>
                <w:b/>
                <w:szCs w:val="21"/>
              </w:rPr>
              <w:t>区</w:t>
            </w:r>
            <w:r>
              <w:rPr>
                <w:rFonts w:ascii="华文细黑" w:hAnsi="华文细黑" w:eastAsia="华文细黑" w:cs="仿宋_GB2312"/>
                <w:b/>
                <w:szCs w:val="21"/>
              </w:rPr>
              <w:t>水</w:t>
            </w:r>
            <w:r>
              <w:rPr>
                <w:rFonts w:hint="eastAsia" w:ascii="华文细黑" w:hAnsi="华文细黑" w:eastAsia="华文细黑" w:cs="仿宋_GB2312"/>
                <w:b/>
                <w:szCs w:val="21"/>
              </w:rPr>
              <w:t>利</w:t>
            </w:r>
            <w:r>
              <w:rPr>
                <w:rFonts w:ascii="华文细黑" w:hAnsi="华文细黑" w:eastAsia="华文细黑" w:cs="仿宋_GB2312"/>
                <w:b/>
                <w:szCs w:val="21"/>
              </w:rPr>
              <w:t>局</w:t>
            </w:r>
          </w:p>
        </w:tc>
        <w:tc>
          <w:tcPr>
            <w:tcW w:w="7797"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华文细黑" w:hAnsi="华文细黑" w:eastAsia="华文细黑" w:cs="仿宋_GB2312"/>
                <w:b/>
                <w:szCs w:val="21"/>
              </w:rPr>
            </w:pPr>
            <w:r>
              <w:rPr>
                <w:rFonts w:ascii="华文细黑" w:hAnsi="华文细黑" w:eastAsia="华文细黑" w:cs="仿宋_GB2312"/>
                <w:b/>
                <w:szCs w:val="21"/>
              </w:rPr>
              <w:t>　　加强对管辖范围内的</w:t>
            </w:r>
            <w:r>
              <w:rPr>
                <w:rFonts w:hint="eastAsia" w:ascii="华文细黑" w:hAnsi="华文细黑" w:eastAsia="华文细黑"/>
                <w:b/>
                <w:szCs w:val="21"/>
              </w:rPr>
              <w:t>石津渠</w:t>
            </w:r>
            <w:r>
              <w:rPr>
                <w:rFonts w:ascii="华文细黑" w:hAnsi="华文细黑" w:eastAsia="华文细黑" w:cs="仿宋_GB2312"/>
                <w:b/>
                <w:szCs w:val="21"/>
              </w:rPr>
              <w:t>的日常管理，设置提示牌，禁止无关人员下水游泳；配合有关部门和学校做好防溺水宣传教育</w:t>
            </w:r>
            <w:r>
              <w:rPr>
                <w:rFonts w:hint="eastAsia" w:ascii="华文细黑" w:hAnsi="华文细黑" w:eastAsia="华文细黑" w:cs="仿宋_GB2312"/>
                <w:b/>
                <w:szCs w:val="21"/>
              </w:rPr>
              <w:t>。</w:t>
            </w:r>
          </w:p>
        </w:tc>
        <w:tc>
          <w:tcPr>
            <w:tcW w:w="1417" w:type="dxa"/>
            <w:vMerge w:val="continue"/>
            <w:tcBorders>
              <w:left w:val="single" w:color="auto" w:sz="4" w:space="0"/>
              <w:bottom w:val="single" w:color="auto" w:sz="4" w:space="0"/>
              <w:right w:val="single" w:color="auto" w:sz="4" w:space="0"/>
            </w:tcBorders>
            <w:vAlign w:val="center"/>
          </w:tcPr>
          <w:p>
            <w:pPr>
              <w:widowControl/>
              <w:spacing w:line="300" w:lineRule="exact"/>
              <w:rPr>
                <w:rFonts w:ascii="华文细黑" w:hAnsi="华文细黑" w:eastAsia="华文细黑" w:cs="宋体"/>
                <w:b/>
                <w:kern w:val="0"/>
                <w:szCs w:val="21"/>
              </w:rPr>
            </w:pPr>
          </w:p>
        </w:tc>
        <w:tc>
          <w:tcPr>
            <w:tcW w:w="992" w:type="dxa"/>
            <w:vMerge w:val="continue"/>
            <w:tcBorders>
              <w:left w:val="single" w:color="auto" w:sz="4" w:space="0"/>
              <w:bottom w:val="single" w:color="auto" w:sz="4" w:space="0"/>
              <w:right w:val="single" w:color="auto" w:sz="4" w:space="0"/>
            </w:tcBorders>
            <w:vAlign w:val="center"/>
          </w:tcPr>
          <w:p>
            <w:pPr>
              <w:spacing w:line="300" w:lineRule="exact"/>
              <w:rPr>
                <w:rFonts w:ascii="华文细黑" w:hAnsi="华文细黑" w:eastAsia="华文细黑"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2" w:hRule="atLeast"/>
        </w:trPr>
        <w:tc>
          <w:tcPr>
            <w:tcW w:w="958" w:type="dxa"/>
            <w:vMerge w:val="restart"/>
            <w:tcBorders>
              <w:top w:val="single" w:color="auto" w:sz="4" w:space="0"/>
              <w:left w:val="single" w:color="auto" w:sz="4" w:space="0"/>
              <w:right w:val="single" w:color="auto" w:sz="4" w:space="0"/>
            </w:tcBorders>
            <w:vAlign w:val="center"/>
          </w:tcPr>
          <w:p>
            <w:pPr>
              <w:jc w:val="center"/>
              <w:rPr>
                <w:rFonts w:ascii="黑体" w:hAnsi="黑体" w:eastAsia="黑体"/>
                <w:b/>
                <w:sz w:val="28"/>
                <w:szCs w:val="28"/>
              </w:rPr>
            </w:pPr>
            <w:r>
              <w:rPr>
                <w:rFonts w:hint="eastAsia" w:ascii="黑体" w:hAnsi="黑体" w:eastAsia="黑体"/>
                <w:b/>
                <w:sz w:val="28"/>
                <w:szCs w:val="28"/>
              </w:rPr>
              <w:t>3</w:t>
            </w:r>
          </w:p>
        </w:tc>
        <w:tc>
          <w:tcPr>
            <w:tcW w:w="1985" w:type="dxa"/>
            <w:vMerge w:val="restart"/>
            <w:tcBorders>
              <w:top w:val="single" w:color="auto" w:sz="4" w:space="0"/>
              <w:left w:val="single" w:color="auto" w:sz="4" w:space="0"/>
              <w:right w:val="single" w:color="auto" w:sz="4" w:space="0"/>
            </w:tcBorders>
            <w:vAlign w:val="center"/>
          </w:tcPr>
          <w:p>
            <w:pPr>
              <w:jc w:val="center"/>
              <w:rPr>
                <w:rFonts w:hint="eastAsia" w:ascii="黑体" w:hAnsi="黑体" w:eastAsia="黑体"/>
                <w:b/>
                <w:sz w:val="28"/>
                <w:szCs w:val="28"/>
              </w:rPr>
            </w:pPr>
            <w:r>
              <w:rPr>
                <w:rFonts w:hint="eastAsia" w:ascii="黑体" w:hAnsi="黑体" w:eastAsia="黑体"/>
                <w:b/>
                <w:sz w:val="28"/>
                <w:szCs w:val="28"/>
              </w:rPr>
              <w:t>学校食品</w:t>
            </w:r>
          </w:p>
          <w:p>
            <w:pPr>
              <w:jc w:val="center"/>
              <w:rPr>
                <w:rFonts w:ascii="黑体" w:hAnsi="黑体" w:eastAsia="黑体"/>
                <w:b/>
                <w:sz w:val="28"/>
                <w:szCs w:val="28"/>
              </w:rPr>
            </w:pPr>
            <w:r>
              <w:rPr>
                <w:rFonts w:hint="eastAsia" w:ascii="黑体" w:hAnsi="黑体" w:eastAsia="黑体"/>
                <w:b/>
                <w:sz w:val="28"/>
                <w:szCs w:val="28"/>
              </w:rPr>
              <w:t>安全监管</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华文细黑" w:hAnsi="华文细黑" w:eastAsia="华文细黑" w:cs="宋体"/>
                <w:b/>
                <w:kern w:val="0"/>
                <w:szCs w:val="21"/>
              </w:rPr>
            </w:pPr>
            <w:r>
              <w:rPr>
                <w:rFonts w:hint="eastAsia" w:ascii="华文细黑" w:hAnsi="华文细黑" w:eastAsia="华文细黑" w:cs="宋体"/>
                <w:b/>
                <w:kern w:val="0"/>
                <w:szCs w:val="21"/>
              </w:rPr>
              <w:t>区教育局</w:t>
            </w:r>
          </w:p>
        </w:tc>
        <w:tc>
          <w:tcPr>
            <w:tcW w:w="779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ascii="华文细黑" w:hAnsi="华文细黑" w:eastAsia="华文细黑" w:cs="宋体"/>
                <w:b/>
                <w:kern w:val="0"/>
                <w:szCs w:val="21"/>
              </w:rPr>
            </w:pPr>
            <w:r>
              <w:rPr>
                <w:rFonts w:hint="eastAsia" w:ascii="华文细黑" w:hAnsi="华文细黑" w:eastAsia="华文细黑" w:cs="宋体"/>
                <w:b/>
                <w:kern w:val="0"/>
                <w:szCs w:val="21"/>
              </w:rPr>
              <w:t>　　教育局将学校食品安全工作纳入工作计划及体育卫生专项督导评估指标，对师生和食堂从业人员开展食品安全知识教育和培训，督促学校严格落实食品安全主体责任；配合市场监督管理局、卫生健康局开展学校食品卫生安全检查和调查处理学校发生的食品安全事件。</w:t>
            </w:r>
          </w:p>
        </w:tc>
        <w:tc>
          <w:tcPr>
            <w:tcW w:w="1417" w:type="dxa"/>
            <w:vMerge w:val="restart"/>
            <w:tcBorders>
              <w:top w:val="single" w:color="auto" w:sz="4" w:space="0"/>
              <w:left w:val="single" w:color="auto" w:sz="4" w:space="0"/>
              <w:right w:val="single" w:color="auto" w:sz="4" w:space="0"/>
            </w:tcBorders>
            <w:vAlign w:val="center"/>
          </w:tcPr>
          <w:p>
            <w:pPr>
              <w:widowControl/>
              <w:spacing w:line="300" w:lineRule="exact"/>
              <w:rPr>
                <w:rFonts w:ascii="华文细黑" w:hAnsi="华文细黑" w:eastAsia="华文细黑" w:cs="宋体"/>
                <w:b/>
                <w:kern w:val="0"/>
                <w:szCs w:val="21"/>
              </w:rPr>
            </w:pPr>
            <w:r>
              <w:rPr>
                <w:rFonts w:hint="eastAsia" w:ascii="华文细黑" w:hAnsi="华文细黑" w:eastAsia="华文细黑" w:cs="宋体"/>
                <w:b/>
                <w:kern w:val="0"/>
                <w:szCs w:val="21"/>
              </w:rPr>
              <w:t>《中华人民共和国食品安全法》；《河北省食品安全监督管理规定》河北省人民政府令〔2013〕第1号；《学校卫生工作条例》。</w:t>
            </w:r>
          </w:p>
        </w:tc>
        <w:tc>
          <w:tcPr>
            <w:tcW w:w="992" w:type="dxa"/>
            <w:vMerge w:val="restart"/>
            <w:tcBorders>
              <w:top w:val="single" w:color="auto" w:sz="4" w:space="0"/>
              <w:left w:val="single" w:color="auto" w:sz="4" w:space="0"/>
              <w:right w:val="single" w:color="auto" w:sz="4" w:space="0"/>
            </w:tcBorders>
            <w:vAlign w:val="center"/>
          </w:tcPr>
          <w:p>
            <w:pPr>
              <w:widowControl/>
              <w:spacing w:line="300" w:lineRule="exact"/>
              <w:rPr>
                <w:rFonts w:ascii="华文细黑" w:hAnsi="华文细黑" w:eastAsia="华文细黑" w:cs="宋体"/>
                <w:b/>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3" w:hRule="atLeast"/>
        </w:trPr>
        <w:tc>
          <w:tcPr>
            <w:tcW w:w="958" w:type="dxa"/>
            <w:vMerge w:val="continue"/>
            <w:tcBorders>
              <w:left w:val="single" w:color="auto" w:sz="4" w:space="0"/>
              <w:right w:val="single" w:color="auto" w:sz="4" w:space="0"/>
            </w:tcBorders>
            <w:vAlign w:val="center"/>
          </w:tcPr>
          <w:p>
            <w:pPr>
              <w:spacing w:line="300" w:lineRule="exact"/>
              <w:jc w:val="center"/>
              <w:rPr>
                <w:rFonts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center"/>
              <w:rPr>
                <w:rFonts w:ascii="华文细黑" w:hAnsi="华文细黑" w:eastAsia="华文细黑" w:cs="宋体"/>
                <w:b/>
                <w:kern w:val="0"/>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华文细黑" w:hAnsi="华文细黑" w:eastAsia="华文细黑" w:cs="宋体"/>
                <w:b/>
                <w:kern w:val="0"/>
                <w:szCs w:val="21"/>
              </w:rPr>
            </w:pPr>
            <w:r>
              <w:rPr>
                <w:rFonts w:hint="eastAsia" w:ascii="华文细黑" w:hAnsi="华文细黑" w:eastAsia="华文细黑" w:cs="仿宋_GB2312"/>
                <w:b/>
                <w:szCs w:val="21"/>
              </w:rPr>
              <w:t>区</w:t>
            </w:r>
            <w:r>
              <w:rPr>
                <w:rFonts w:ascii="华文细黑" w:hAnsi="华文细黑" w:eastAsia="华文细黑" w:cs="仿宋_GB2312"/>
                <w:b/>
                <w:szCs w:val="21"/>
              </w:rPr>
              <w:t>市场监管局</w:t>
            </w:r>
          </w:p>
        </w:tc>
        <w:tc>
          <w:tcPr>
            <w:tcW w:w="779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ascii="华文细黑" w:hAnsi="华文细黑" w:eastAsia="华文细黑" w:cs="宋体"/>
                <w:b/>
                <w:kern w:val="0"/>
                <w:szCs w:val="21"/>
              </w:rPr>
            </w:pPr>
            <w:r>
              <w:rPr>
                <w:rFonts w:hint="eastAsia" w:ascii="华文细黑" w:hAnsi="华文细黑" w:eastAsia="华文细黑" w:cs="宋体"/>
                <w:b/>
                <w:kern w:val="0"/>
                <w:szCs w:val="21"/>
              </w:rPr>
              <w:t>　　对学校食品安全工作进行督导、检查，调查处理学校发生的食品安全事件，建立和完善信息通报制度。</w:t>
            </w:r>
          </w:p>
        </w:tc>
        <w:tc>
          <w:tcPr>
            <w:tcW w:w="1417" w:type="dxa"/>
            <w:vMerge w:val="continue"/>
            <w:tcBorders>
              <w:left w:val="single" w:color="auto" w:sz="4" w:space="0"/>
              <w:right w:val="single" w:color="auto" w:sz="4" w:space="0"/>
            </w:tcBorders>
            <w:vAlign w:val="center"/>
          </w:tcPr>
          <w:p>
            <w:pPr>
              <w:widowControl/>
              <w:spacing w:line="300" w:lineRule="exact"/>
              <w:rPr>
                <w:rFonts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widowControl/>
              <w:spacing w:line="300" w:lineRule="exact"/>
              <w:rPr>
                <w:rFonts w:ascii="华文细黑" w:hAnsi="华文细黑" w:eastAsia="华文细黑" w:cs="宋体"/>
                <w:b/>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 w:hRule="atLeast"/>
        </w:trPr>
        <w:tc>
          <w:tcPr>
            <w:tcW w:w="958" w:type="dxa"/>
            <w:vMerge w:val="restart"/>
            <w:tcBorders>
              <w:left w:val="single" w:color="auto" w:sz="4" w:space="0"/>
              <w:right w:val="single" w:color="auto" w:sz="4" w:space="0"/>
            </w:tcBorders>
            <w:vAlign w:val="center"/>
          </w:tcPr>
          <w:p>
            <w:pPr>
              <w:jc w:val="center"/>
              <w:rPr>
                <w:rFonts w:ascii="黑体" w:hAnsi="黑体" w:eastAsia="黑体"/>
                <w:b/>
                <w:sz w:val="28"/>
                <w:szCs w:val="28"/>
              </w:rPr>
            </w:pPr>
            <w:r>
              <w:rPr>
                <w:rFonts w:hint="eastAsia" w:ascii="黑体" w:hAnsi="黑体" w:eastAsia="黑体"/>
                <w:b/>
                <w:sz w:val="28"/>
                <w:szCs w:val="28"/>
              </w:rPr>
              <w:t>4</w:t>
            </w:r>
          </w:p>
        </w:tc>
        <w:tc>
          <w:tcPr>
            <w:tcW w:w="1985" w:type="dxa"/>
            <w:vMerge w:val="restart"/>
            <w:tcBorders>
              <w:left w:val="single" w:color="auto" w:sz="4" w:space="0"/>
              <w:right w:val="single" w:color="auto" w:sz="4" w:space="0"/>
            </w:tcBorders>
            <w:vAlign w:val="center"/>
          </w:tcPr>
          <w:p>
            <w:pPr>
              <w:jc w:val="center"/>
              <w:rPr>
                <w:rFonts w:hint="eastAsia" w:ascii="黑体" w:hAnsi="黑体" w:eastAsia="黑体"/>
                <w:b/>
                <w:sz w:val="28"/>
                <w:szCs w:val="28"/>
              </w:rPr>
            </w:pPr>
            <w:r>
              <w:rPr>
                <w:rFonts w:hint="eastAsia" w:ascii="黑体" w:hAnsi="黑体" w:eastAsia="黑体"/>
                <w:b/>
                <w:sz w:val="28"/>
                <w:szCs w:val="28"/>
              </w:rPr>
              <w:t>校外培训</w:t>
            </w:r>
          </w:p>
          <w:p>
            <w:pPr>
              <w:jc w:val="center"/>
              <w:rPr>
                <w:rFonts w:ascii="黑体" w:hAnsi="黑体" w:eastAsia="黑体"/>
                <w:b/>
                <w:sz w:val="28"/>
                <w:szCs w:val="28"/>
              </w:rPr>
            </w:pPr>
            <w:r>
              <w:rPr>
                <w:rFonts w:hint="eastAsia" w:ascii="黑体" w:hAnsi="黑体" w:eastAsia="黑体"/>
                <w:b/>
                <w:sz w:val="28"/>
                <w:szCs w:val="28"/>
              </w:rPr>
              <w:t>机构治理</w:t>
            </w: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ascii="华文细黑" w:hAnsi="华文细黑" w:eastAsia="华文细黑" w:cs="华文楷体"/>
                <w:b/>
                <w:bCs/>
                <w:szCs w:val="21"/>
              </w:rPr>
            </w:pPr>
            <w:r>
              <w:rPr>
                <w:rFonts w:hint="eastAsia" w:ascii="华文细黑" w:hAnsi="华文细黑" w:eastAsia="华文细黑" w:cs="华文楷体"/>
                <w:b/>
                <w:bCs/>
                <w:szCs w:val="21"/>
                <w:lang w:val="en-US" w:eastAsia="zh-CN"/>
              </w:rPr>
              <w:t>区</w:t>
            </w:r>
            <w:r>
              <w:rPr>
                <w:rFonts w:hint="eastAsia" w:ascii="华文细黑" w:hAnsi="华文细黑" w:eastAsia="华文细黑" w:cs="华文楷体"/>
                <w:b/>
                <w:bCs/>
                <w:szCs w:val="21"/>
              </w:rPr>
              <w:t>教育局</w:t>
            </w:r>
          </w:p>
        </w:tc>
        <w:tc>
          <w:tcPr>
            <w:tcW w:w="7797" w:type="dxa"/>
            <w:tcBorders>
              <w:top w:val="single" w:color="auto" w:sz="4" w:space="0"/>
              <w:left w:val="single" w:color="auto" w:sz="4" w:space="0"/>
              <w:right w:val="single" w:color="auto" w:sz="4" w:space="0"/>
            </w:tcBorders>
            <w:vAlign w:val="center"/>
          </w:tcPr>
          <w:p>
            <w:pPr>
              <w:jc w:val="both"/>
              <w:rPr>
                <w:rFonts w:ascii="华文细黑" w:hAnsi="华文细黑" w:eastAsia="华文细黑" w:cs="华文楷体"/>
                <w:b/>
                <w:bCs/>
                <w:szCs w:val="21"/>
              </w:rPr>
            </w:pPr>
            <w:r>
              <w:rPr>
                <w:rFonts w:hint="eastAsia" w:ascii="华文细黑" w:hAnsi="华文细黑" w:eastAsia="华文细黑" w:cs="华文楷体"/>
                <w:b/>
                <w:bCs/>
                <w:szCs w:val="21"/>
              </w:rPr>
              <w:t>学科类培训机构的审核；培训机构年度工作检查；日常监管工作。</w:t>
            </w:r>
          </w:p>
        </w:tc>
        <w:tc>
          <w:tcPr>
            <w:tcW w:w="1417" w:type="dxa"/>
            <w:vMerge w:val="restart"/>
            <w:tcBorders>
              <w:left w:val="single" w:color="auto" w:sz="4" w:space="0"/>
              <w:right w:val="single" w:color="auto" w:sz="4" w:space="0"/>
            </w:tcBorders>
            <w:vAlign w:val="center"/>
          </w:tcPr>
          <w:p>
            <w:pPr>
              <w:widowControl/>
              <w:spacing w:line="300" w:lineRule="exact"/>
              <w:rPr>
                <w:rFonts w:hint="eastAsia" w:ascii="华文细黑" w:hAnsi="华文细黑" w:eastAsia="华文细黑" w:cs="宋体"/>
                <w:b/>
                <w:kern w:val="0"/>
                <w:szCs w:val="21"/>
              </w:rPr>
            </w:pPr>
          </w:p>
          <w:p>
            <w:pPr>
              <w:widowControl/>
              <w:spacing w:line="300" w:lineRule="exact"/>
              <w:rPr>
                <w:rFonts w:hint="eastAsia" w:ascii="华文细黑" w:hAnsi="华文细黑" w:eastAsia="华文细黑" w:cs="宋体"/>
                <w:b/>
                <w:kern w:val="0"/>
                <w:szCs w:val="21"/>
              </w:rPr>
            </w:pPr>
          </w:p>
          <w:p>
            <w:pPr>
              <w:widowControl/>
              <w:spacing w:line="300" w:lineRule="exact"/>
              <w:rPr>
                <w:rFonts w:hint="eastAsia" w:ascii="华文细黑" w:hAnsi="华文细黑" w:eastAsia="华文细黑" w:cs="宋体"/>
                <w:b/>
                <w:kern w:val="0"/>
                <w:szCs w:val="21"/>
              </w:rPr>
            </w:pPr>
          </w:p>
          <w:p>
            <w:pPr>
              <w:widowControl/>
              <w:spacing w:line="300" w:lineRule="exact"/>
              <w:rPr>
                <w:rFonts w:ascii="华文细黑" w:hAnsi="华文细黑" w:eastAsia="华文细黑" w:cs="宋体"/>
                <w:b/>
                <w:kern w:val="0"/>
                <w:szCs w:val="21"/>
              </w:rPr>
            </w:pPr>
            <w:r>
              <w:rPr>
                <w:rFonts w:hint="eastAsia" w:ascii="华文细黑" w:hAnsi="华文细黑" w:eastAsia="华文细黑" w:cs="宋体"/>
                <w:b/>
                <w:kern w:val="0"/>
                <w:szCs w:val="21"/>
              </w:rPr>
              <w:t>《石家庄市教育局等九部门关于印发校外培训机构设置与管理办法的通知》（石教（2019）17号)</w:t>
            </w:r>
          </w:p>
          <w:p>
            <w:pPr>
              <w:widowControl/>
              <w:spacing w:line="300" w:lineRule="exact"/>
              <w:rPr>
                <w:rFonts w:ascii="华文细黑" w:hAnsi="华文细黑" w:eastAsia="华文细黑" w:cs="宋体"/>
                <w:b/>
                <w:kern w:val="0"/>
                <w:szCs w:val="21"/>
              </w:rPr>
            </w:pPr>
            <w:r>
              <w:rPr>
                <w:rFonts w:hint="eastAsia" w:ascii="华文细黑" w:hAnsi="华文细黑" w:eastAsia="华文细黑" w:cs="宋体"/>
                <w:b/>
                <w:kern w:val="0"/>
                <w:szCs w:val="21"/>
              </w:rPr>
              <w:t>《石家庄市教育局等九部门关于印发校外培训机构设置与管理办法的通知》（石教（2019）17号)</w:t>
            </w:r>
          </w:p>
        </w:tc>
        <w:tc>
          <w:tcPr>
            <w:tcW w:w="992" w:type="dxa"/>
            <w:vMerge w:val="restart"/>
            <w:tcBorders>
              <w:left w:val="single" w:color="auto" w:sz="4" w:space="0"/>
              <w:right w:val="single" w:color="auto" w:sz="4" w:space="0"/>
            </w:tcBorders>
            <w:vAlign w:val="center"/>
          </w:tcPr>
          <w:p>
            <w:pPr>
              <w:widowControl/>
              <w:spacing w:line="300" w:lineRule="exact"/>
              <w:jc w:val="left"/>
              <w:rPr>
                <w:rFonts w:ascii="华文细黑" w:hAnsi="华文细黑" w:eastAsia="华文细黑" w:cs="宋体"/>
                <w:b/>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 w:hRule="atLeast"/>
        </w:trPr>
        <w:tc>
          <w:tcPr>
            <w:tcW w:w="958"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宋体"/>
                <w:b/>
                <w:kern w:val="0"/>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ascii="华文细黑" w:hAnsi="华文细黑" w:eastAsia="华文细黑" w:cs="华文楷体"/>
                <w:b/>
                <w:bCs/>
                <w:szCs w:val="21"/>
              </w:rPr>
            </w:pPr>
            <w:r>
              <w:rPr>
                <w:rFonts w:hint="eastAsia" w:ascii="华文细黑" w:hAnsi="华文细黑" w:eastAsia="华文细黑" w:cs="华文楷体"/>
                <w:b/>
                <w:szCs w:val="21"/>
                <w:lang w:val="en-US" w:eastAsia="zh-CN"/>
              </w:rPr>
              <w:t>区</w:t>
            </w:r>
            <w:r>
              <w:rPr>
                <w:rFonts w:hint="eastAsia" w:ascii="华文细黑" w:hAnsi="华文细黑" w:eastAsia="华文细黑" w:cs="华文楷体"/>
                <w:b/>
                <w:szCs w:val="21"/>
              </w:rPr>
              <w:t>行政审批局</w:t>
            </w:r>
          </w:p>
        </w:tc>
        <w:tc>
          <w:tcPr>
            <w:tcW w:w="7797" w:type="dxa"/>
            <w:tcBorders>
              <w:left w:val="single" w:color="auto" w:sz="4" w:space="0"/>
              <w:right w:val="single" w:color="auto" w:sz="4" w:space="0"/>
            </w:tcBorders>
          </w:tcPr>
          <w:p>
            <w:pPr>
              <w:jc w:val="left"/>
              <w:rPr>
                <w:rFonts w:ascii="华文细黑" w:hAnsi="华文细黑" w:eastAsia="华文细黑" w:cs="华文楷体"/>
                <w:b/>
                <w:bCs/>
                <w:szCs w:val="21"/>
              </w:rPr>
            </w:pPr>
            <w:r>
              <w:rPr>
                <w:rFonts w:hint="eastAsia" w:ascii="华文细黑" w:hAnsi="华文细黑" w:eastAsia="华文细黑" w:cs="华文楷体"/>
                <w:b/>
                <w:szCs w:val="21"/>
              </w:rPr>
              <w:t>负责摸清有办学许可证的培训机构名单，负责做好当地校外培训机构登记工作；做好学科类培训机构营转非工作。</w:t>
            </w:r>
          </w:p>
        </w:tc>
        <w:tc>
          <w:tcPr>
            <w:tcW w:w="1417" w:type="dxa"/>
            <w:vMerge w:val="continue"/>
            <w:tcBorders>
              <w:left w:val="single" w:color="auto" w:sz="4" w:space="0"/>
              <w:right w:val="single" w:color="auto" w:sz="4" w:space="0"/>
            </w:tcBorders>
            <w:vAlign w:val="center"/>
          </w:tcPr>
          <w:p>
            <w:pPr>
              <w:widowControl/>
              <w:spacing w:line="300" w:lineRule="exact"/>
              <w:rPr>
                <w:rFonts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widowControl/>
              <w:spacing w:line="300" w:lineRule="exact"/>
              <w:jc w:val="left"/>
              <w:rPr>
                <w:rFonts w:ascii="华文细黑" w:hAnsi="华文细黑" w:eastAsia="华文细黑" w:cs="宋体"/>
                <w:b/>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 w:hRule="atLeast"/>
        </w:trPr>
        <w:tc>
          <w:tcPr>
            <w:tcW w:w="958"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宋体"/>
                <w:b/>
                <w:kern w:val="0"/>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ascii="华文细黑" w:hAnsi="华文细黑" w:eastAsia="华文细黑" w:cs="华文楷体"/>
                <w:b/>
                <w:bCs/>
                <w:szCs w:val="21"/>
              </w:rPr>
            </w:pPr>
            <w:r>
              <w:rPr>
                <w:rFonts w:hint="eastAsia" w:ascii="华文细黑" w:hAnsi="华文细黑" w:eastAsia="华文细黑" w:cs="华文楷体"/>
                <w:b/>
                <w:szCs w:val="21"/>
                <w:lang w:val="en-US" w:eastAsia="zh-CN"/>
              </w:rPr>
              <w:t>区</w:t>
            </w:r>
            <w:r>
              <w:rPr>
                <w:rFonts w:hint="eastAsia" w:ascii="华文细黑" w:hAnsi="华文细黑" w:eastAsia="华文细黑" w:cs="华文楷体"/>
                <w:b/>
                <w:bCs/>
                <w:szCs w:val="21"/>
              </w:rPr>
              <w:t>乡镇政府</w:t>
            </w:r>
          </w:p>
        </w:tc>
        <w:tc>
          <w:tcPr>
            <w:tcW w:w="7797" w:type="dxa"/>
            <w:tcBorders>
              <w:left w:val="single" w:color="auto" w:sz="4" w:space="0"/>
              <w:right w:val="single" w:color="auto" w:sz="4" w:space="0"/>
            </w:tcBorders>
          </w:tcPr>
          <w:p>
            <w:pPr>
              <w:jc w:val="left"/>
              <w:rPr>
                <w:rFonts w:ascii="华文细黑" w:hAnsi="华文细黑" w:eastAsia="华文细黑" w:cs="华文楷体"/>
                <w:b/>
                <w:bCs/>
                <w:szCs w:val="21"/>
              </w:rPr>
            </w:pPr>
            <w:r>
              <w:rPr>
                <w:rFonts w:hint="eastAsia" w:ascii="华文细黑" w:hAnsi="华文细黑" w:eastAsia="华文细黑" w:cs="华文楷体"/>
                <w:b/>
                <w:szCs w:val="21"/>
              </w:rPr>
              <w:t>负责排查登记辖区内无证培训机构名单；取缔无证培训机构；负责辖区内无证校外培训机构的摸排综合治理工作加强政策宣传，积极解疑释惑，回应社会关切。对校外培训机构治理情况及时跟踪，掌握第一手资料，及时做好舆情分析研判；对于培训机构治理期间出现的热点问题，突发舆情，要第一时间向区委、区政府报告，并坚持做到积极应对，及时回应社会关切，确保不出现重大舆情事件，努力营造正面积极的舆论氛围。；</w:t>
            </w:r>
          </w:p>
        </w:tc>
        <w:tc>
          <w:tcPr>
            <w:tcW w:w="1417" w:type="dxa"/>
            <w:vMerge w:val="continue"/>
            <w:tcBorders>
              <w:left w:val="single" w:color="auto" w:sz="4" w:space="0"/>
              <w:right w:val="single" w:color="auto" w:sz="4" w:space="0"/>
            </w:tcBorders>
            <w:vAlign w:val="center"/>
          </w:tcPr>
          <w:p>
            <w:pPr>
              <w:widowControl/>
              <w:spacing w:line="300" w:lineRule="exact"/>
              <w:rPr>
                <w:rFonts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widowControl/>
              <w:spacing w:line="300" w:lineRule="exact"/>
              <w:jc w:val="left"/>
              <w:rPr>
                <w:rFonts w:ascii="华文细黑" w:hAnsi="华文细黑" w:eastAsia="华文细黑" w:cs="宋体"/>
                <w:b/>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 w:hRule="atLeast"/>
        </w:trPr>
        <w:tc>
          <w:tcPr>
            <w:tcW w:w="958"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宋体"/>
                <w:b/>
                <w:kern w:val="0"/>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ascii="华文细黑" w:hAnsi="华文细黑" w:eastAsia="华文细黑" w:cs="华文楷体"/>
                <w:b/>
                <w:bCs/>
                <w:szCs w:val="21"/>
              </w:rPr>
            </w:pPr>
            <w:r>
              <w:rPr>
                <w:rFonts w:hint="eastAsia" w:ascii="华文细黑" w:hAnsi="华文细黑" w:eastAsia="华文细黑" w:cs="华文楷体"/>
                <w:b/>
                <w:szCs w:val="21"/>
                <w:lang w:val="en-US" w:eastAsia="zh-CN"/>
              </w:rPr>
              <w:t>区</w:t>
            </w:r>
            <w:r>
              <w:rPr>
                <w:rFonts w:hint="eastAsia" w:ascii="华文细黑" w:hAnsi="华文细黑" w:eastAsia="华文细黑" w:cs="华文楷体"/>
                <w:b/>
                <w:bCs/>
                <w:szCs w:val="21"/>
              </w:rPr>
              <w:t>民政局</w:t>
            </w:r>
          </w:p>
        </w:tc>
        <w:tc>
          <w:tcPr>
            <w:tcW w:w="7797" w:type="dxa"/>
            <w:tcBorders>
              <w:left w:val="single" w:color="auto" w:sz="4" w:space="0"/>
              <w:right w:val="single" w:color="auto" w:sz="4" w:space="0"/>
            </w:tcBorders>
          </w:tcPr>
          <w:p>
            <w:pPr>
              <w:jc w:val="left"/>
              <w:rPr>
                <w:rFonts w:ascii="华文细黑" w:hAnsi="华文细黑" w:eastAsia="华文细黑" w:cs="华文楷体"/>
                <w:b/>
                <w:bCs/>
                <w:szCs w:val="21"/>
              </w:rPr>
            </w:pPr>
            <w:r>
              <w:rPr>
                <w:rFonts w:hint="eastAsia" w:ascii="华文细黑" w:hAnsi="华文细黑" w:eastAsia="华文细黑" w:cs="华文楷体"/>
                <w:b/>
                <w:bCs/>
                <w:szCs w:val="21"/>
              </w:rPr>
              <w:t>参与取缔无证办学机构；</w:t>
            </w:r>
            <w:r>
              <w:rPr>
                <w:rFonts w:hint="eastAsia" w:ascii="华文细黑" w:hAnsi="华文细黑" w:eastAsia="华文细黑" w:cs="华文楷体"/>
                <w:b/>
                <w:szCs w:val="21"/>
              </w:rPr>
              <w:t>负责对学科类培训机构违规从事营利性行为进行依法查处。</w:t>
            </w:r>
          </w:p>
        </w:tc>
        <w:tc>
          <w:tcPr>
            <w:tcW w:w="1417" w:type="dxa"/>
            <w:vMerge w:val="continue"/>
            <w:tcBorders>
              <w:left w:val="single" w:color="auto" w:sz="4" w:space="0"/>
              <w:right w:val="single" w:color="auto" w:sz="4" w:space="0"/>
            </w:tcBorders>
            <w:vAlign w:val="center"/>
          </w:tcPr>
          <w:p>
            <w:pPr>
              <w:widowControl/>
              <w:spacing w:line="300" w:lineRule="exact"/>
              <w:rPr>
                <w:rFonts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widowControl/>
              <w:spacing w:line="300" w:lineRule="exact"/>
              <w:jc w:val="left"/>
              <w:rPr>
                <w:rFonts w:ascii="华文细黑" w:hAnsi="华文细黑" w:eastAsia="华文细黑" w:cs="宋体"/>
                <w:b/>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 w:hRule="atLeast"/>
        </w:trPr>
        <w:tc>
          <w:tcPr>
            <w:tcW w:w="958"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宋体"/>
                <w:b/>
                <w:kern w:val="0"/>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ascii="华文细黑" w:hAnsi="华文细黑" w:eastAsia="华文细黑" w:cs="华文楷体"/>
                <w:b/>
                <w:bCs/>
                <w:szCs w:val="21"/>
              </w:rPr>
            </w:pPr>
            <w:r>
              <w:rPr>
                <w:rFonts w:hint="eastAsia" w:ascii="华文细黑" w:hAnsi="华文细黑" w:eastAsia="华文细黑" w:cs="华文楷体"/>
                <w:b/>
                <w:szCs w:val="21"/>
                <w:lang w:val="en-US" w:eastAsia="zh-CN"/>
              </w:rPr>
              <w:t>区</w:t>
            </w:r>
            <w:r>
              <w:rPr>
                <w:rFonts w:hint="eastAsia" w:ascii="华文细黑" w:hAnsi="华文细黑" w:eastAsia="华文细黑" w:cs="华文楷体"/>
                <w:b/>
                <w:bCs/>
                <w:szCs w:val="21"/>
              </w:rPr>
              <w:t>市场监管局</w:t>
            </w:r>
          </w:p>
        </w:tc>
        <w:tc>
          <w:tcPr>
            <w:tcW w:w="7797" w:type="dxa"/>
            <w:tcBorders>
              <w:left w:val="single" w:color="auto" w:sz="4" w:space="0"/>
              <w:right w:val="single" w:color="auto" w:sz="4" w:space="0"/>
            </w:tcBorders>
          </w:tcPr>
          <w:p>
            <w:pPr>
              <w:jc w:val="left"/>
              <w:rPr>
                <w:rFonts w:ascii="华文细黑" w:hAnsi="华文细黑" w:eastAsia="华文细黑" w:cs="华文楷体"/>
                <w:b/>
                <w:bCs/>
                <w:szCs w:val="21"/>
              </w:rPr>
            </w:pPr>
            <w:r>
              <w:rPr>
                <w:rFonts w:hint="eastAsia" w:ascii="华文细黑" w:hAnsi="华文细黑" w:eastAsia="华文细黑" w:cs="华文楷体"/>
                <w:b/>
                <w:bCs/>
                <w:szCs w:val="21"/>
              </w:rPr>
              <w:t>参与取缔无证办学机构；</w:t>
            </w:r>
            <w:r>
              <w:rPr>
                <w:rFonts w:hint="eastAsia" w:ascii="华文细黑" w:hAnsi="华文细黑" w:eastAsia="华文细黑" w:cs="华文楷体"/>
                <w:b/>
                <w:szCs w:val="21"/>
              </w:rPr>
              <w:t>加强收费、广告宣传和资金监管；负责校外培训机构收费、广告、反垄断、餐饮服务等方面监管。</w:t>
            </w:r>
          </w:p>
        </w:tc>
        <w:tc>
          <w:tcPr>
            <w:tcW w:w="1417" w:type="dxa"/>
            <w:vMerge w:val="continue"/>
            <w:tcBorders>
              <w:left w:val="single" w:color="auto" w:sz="4" w:space="0"/>
              <w:right w:val="single" w:color="auto" w:sz="4" w:space="0"/>
            </w:tcBorders>
            <w:vAlign w:val="center"/>
          </w:tcPr>
          <w:p>
            <w:pPr>
              <w:widowControl/>
              <w:spacing w:line="300" w:lineRule="exact"/>
              <w:rPr>
                <w:rFonts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widowControl/>
              <w:spacing w:line="300" w:lineRule="exact"/>
              <w:jc w:val="left"/>
              <w:rPr>
                <w:rFonts w:ascii="华文细黑" w:hAnsi="华文细黑" w:eastAsia="华文细黑" w:cs="宋体"/>
                <w:b/>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 w:hRule="atLeast"/>
        </w:trPr>
        <w:tc>
          <w:tcPr>
            <w:tcW w:w="958"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宋体"/>
                <w:b/>
                <w:kern w:val="0"/>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ascii="华文细黑" w:hAnsi="华文细黑" w:eastAsia="华文细黑" w:cs="华文楷体"/>
                <w:b/>
                <w:bCs/>
                <w:szCs w:val="21"/>
              </w:rPr>
            </w:pPr>
            <w:r>
              <w:rPr>
                <w:rFonts w:hint="eastAsia" w:ascii="华文细黑" w:hAnsi="华文细黑" w:eastAsia="华文细黑" w:cs="华文楷体"/>
                <w:b/>
                <w:szCs w:val="21"/>
                <w:lang w:val="en-US" w:eastAsia="zh-CN"/>
              </w:rPr>
              <w:t>区</w:t>
            </w:r>
            <w:r>
              <w:rPr>
                <w:rFonts w:hint="eastAsia" w:ascii="华文细黑" w:hAnsi="华文细黑" w:eastAsia="华文细黑" w:cs="华文楷体"/>
                <w:b/>
                <w:szCs w:val="21"/>
              </w:rPr>
              <w:t>公安局</w:t>
            </w:r>
          </w:p>
        </w:tc>
        <w:tc>
          <w:tcPr>
            <w:tcW w:w="7797" w:type="dxa"/>
            <w:tcBorders>
              <w:left w:val="single" w:color="auto" w:sz="4" w:space="0"/>
              <w:right w:val="single" w:color="auto" w:sz="4" w:space="0"/>
            </w:tcBorders>
          </w:tcPr>
          <w:p>
            <w:pPr>
              <w:jc w:val="left"/>
              <w:rPr>
                <w:rFonts w:ascii="华文细黑" w:hAnsi="华文细黑" w:eastAsia="华文细黑" w:cs="华文楷体"/>
                <w:b/>
                <w:bCs/>
                <w:szCs w:val="21"/>
              </w:rPr>
            </w:pPr>
            <w:r>
              <w:rPr>
                <w:rFonts w:hint="eastAsia" w:ascii="华文细黑" w:hAnsi="华文细黑" w:eastAsia="华文细黑" w:cs="华文楷体"/>
                <w:b/>
                <w:bCs/>
                <w:szCs w:val="21"/>
              </w:rPr>
              <w:t>参与取缔无证办学机构；</w:t>
            </w:r>
            <w:r>
              <w:rPr>
                <w:rFonts w:hint="eastAsia" w:ascii="华文细黑" w:hAnsi="华文细黑" w:eastAsia="华文细黑" w:cs="华文楷体"/>
                <w:b/>
                <w:szCs w:val="21"/>
              </w:rPr>
              <w:t>加强治安管理，联动开展情报信息搜集研判和预警预防，做好相关涉稳事件应急处置工作；依法查处校外培训机构负责人、工作人员及相关人员阻碍执行职务行为；依法查处伪造、变造公文、证件、证明文件、印章等行为，依法查处侵吞、骗取钱财等行为，构成犯罪的依法追究刑事责任</w:t>
            </w:r>
          </w:p>
        </w:tc>
        <w:tc>
          <w:tcPr>
            <w:tcW w:w="1417" w:type="dxa"/>
            <w:vMerge w:val="continue"/>
            <w:tcBorders>
              <w:left w:val="single" w:color="auto" w:sz="4" w:space="0"/>
              <w:right w:val="single" w:color="auto" w:sz="4" w:space="0"/>
            </w:tcBorders>
            <w:vAlign w:val="center"/>
          </w:tcPr>
          <w:p>
            <w:pPr>
              <w:widowControl/>
              <w:spacing w:line="300" w:lineRule="exact"/>
              <w:rPr>
                <w:rFonts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widowControl/>
              <w:spacing w:line="300" w:lineRule="exact"/>
              <w:jc w:val="left"/>
              <w:rPr>
                <w:rFonts w:ascii="华文细黑" w:hAnsi="华文细黑" w:eastAsia="华文细黑" w:cs="宋体"/>
                <w:b/>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 w:hRule="atLeast"/>
        </w:trPr>
        <w:tc>
          <w:tcPr>
            <w:tcW w:w="958"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宋体"/>
                <w:b/>
                <w:kern w:val="0"/>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ascii="华文细黑" w:hAnsi="华文细黑" w:eastAsia="华文细黑" w:cs="华文楷体"/>
                <w:b/>
                <w:bCs/>
                <w:szCs w:val="21"/>
              </w:rPr>
            </w:pPr>
            <w:r>
              <w:rPr>
                <w:rFonts w:hint="eastAsia" w:ascii="华文细黑" w:hAnsi="华文细黑" w:eastAsia="华文细黑" w:cs="华文楷体"/>
                <w:b/>
                <w:szCs w:val="21"/>
                <w:lang w:val="en-US" w:eastAsia="zh-CN"/>
              </w:rPr>
              <w:t>区</w:t>
            </w:r>
            <w:r>
              <w:rPr>
                <w:rFonts w:hint="eastAsia" w:ascii="华文细黑" w:hAnsi="华文细黑" w:eastAsia="华文细黑" w:cs="华文楷体"/>
                <w:b/>
                <w:bCs/>
                <w:szCs w:val="21"/>
              </w:rPr>
              <w:t>民政局</w:t>
            </w:r>
          </w:p>
        </w:tc>
        <w:tc>
          <w:tcPr>
            <w:tcW w:w="7797" w:type="dxa"/>
            <w:tcBorders>
              <w:left w:val="single" w:color="auto" w:sz="4" w:space="0"/>
              <w:right w:val="single" w:color="auto" w:sz="4" w:space="0"/>
            </w:tcBorders>
          </w:tcPr>
          <w:p>
            <w:pPr>
              <w:jc w:val="left"/>
              <w:rPr>
                <w:rFonts w:ascii="华文细黑" w:hAnsi="华文细黑" w:eastAsia="华文细黑" w:cs="华文楷体"/>
                <w:b/>
                <w:bCs/>
                <w:szCs w:val="21"/>
              </w:rPr>
            </w:pPr>
            <w:r>
              <w:rPr>
                <w:rFonts w:hint="eastAsia" w:ascii="华文细黑" w:hAnsi="华文细黑" w:eastAsia="华文细黑" w:cs="华文楷体"/>
                <w:b/>
                <w:bCs/>
                <w:szCs w:val="21"/>
              </w:rPr>
              <w:t>参与取缔无证办学机构</w:t>
            </w:r>
          </w:p>
        </w:tc>
        <w:tc>
          <w:tcPr>
            <w:tcW w:w="1417" w:type="dxa"/>
            <w:vMerge w:val="continue"/>
            <w:tcBorders>
              <w:left w:val="single" w:color="auto" w:sz="4" w:space="0"/>
              <w:right w:val="single" w:color="auto" w:sz="4" w:space="0"/>
            </w:tcBorders>
            <w:vAlign w:val="center"/>
          </w:tcPr>
          <w:p>
            <w:pPr>
              <w:widowControl/>
              <w:spacing w:line="300" w:lineRule="exact"/>
              <w:rPr>
                <w:rFonts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widowControl/>
              <w:spacing w:line="300" w:lineRule="exact"/>
              <w:jc w:val="left"/>
              <w:rPr>
                <w:rFonts w:ascii="华文细黑" w:hAnsi="华文细黑" w:eastAsia="华文细黑" w:cs="宋体"/>
                <w:b/>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 w:hRule="atLeast"/>
        </w:trPr>
        <w:tc>
          <w:tcPr>
            <w:tcW w:w="958"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宋体"/>
                <w:b/>
                <w:kern w:val="0"/>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ascii="华文细黑" w:hAnsi="华文细黑" w:eastAsia="华文细黑" w:cs="华文楷体"/>
                <w:b/>
                <w:bCs/>
                <w:szCs w:val="21"/>
              </w:rPr>
            </w:pPr>
            <w:r>
              <w:rPr>
                <w:rFonts w:hint="eastAsia" w:ascii="华文细黑" w:hAnsi="华文细黑" w:eastAsia="华文细黑" w:cs="华文楷体"/>
                <w:b/>
                <w:szCs w:val="21"/>
                <w:lang w:val="en-US" w:eastAsia="zh-CN"/>
              </w:rPr>
              <w:t>区</w:t>
            </w:r>
            <w:r>
              <w:rPr>
                <w:rFonts w:hint="eastAsia" w:ascii="华文细黑" w:hAnsi="华文细黑" w:eastAsia="华文细黑" w:cs="华文楷体"/>
                <w:b/>
                <w:bCs/>
                <w:szCs w:val="21"/>
              </w:rPr>
              <w:t>住建局</w:t>
            </w:r>
          </w:p>
        </w:tc>
        <w:tc>
          <w:tcPr>
            <w:tcW w:w="7797" w:type="dxa"/>
            <w:tcBorders>
              <w:left w:val="single" w:color="auto" w:sz="4" w:space="0"/>
              <w:right w:val="single" w:color="auto" w:sz="4" w:space="0"/>
            </w:tcBorders>
          </w:tcPr>
          <w:p>
            <w:pPr>
              <w:jc w:val="left"/>
              <w:rPr>
                <w:rFonts w:ascii="华文细黑" w:hAnsi="华文细黑" w:eastAsia="华文细黑" w:cs="华文楷体"/>
                <w:b/>
                <w:bCs/>
                <w:szCs w:val="21"/>
              </w:rPr>
            </w:pPr>
            <w:r>
              <w:rPr>
                <w:rFonts w:hint="eastAsia" w:ascii="华文细黑" w:hAnsi="华文细黑" w:eastAsia="华文细黑" w:cs="华文楷体"/>
                <w:b/>
                <w:szCs w:val="21"/>
              </w:rPr>
              <w:t>监督检查培训机构不得使用影响学生身心健康和可能危及学生人身安全的场所；不得以居民住宅、车库及地下室作为办学场所；负责按照国家工程建设消防技术标准，做好校外培训机构办学场所的消防设计审查验收工作。应急管理部门负责做好校外培训机构的安全生产综合监督管理</w:t>
            </w:r>
          </w:p>
        </w:tc>
        <w:tc>
          <w:tcPr>
            <w:tcW w:w="1417" w:type="dxa"/>
            <w:vMerge w:val="continue"/>
            <w:tcBorders>
              <w:left w:val="single" w:color="auto" w:sz="4" w:space="0"/>
              <w:right w:val="single" w:color="auto" w:sz="4" w:space="0"/>
            </w:tcBorders>
            <w:vAlign w:val="center"/>
          </w:tcPr>
          <w:p>
            <w:pPr>
              <w:widowControl/>
              <w:spacing w:line="300" w:lineRule="exact"/>
              <w:rPr>
                <w:rFonts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widowControl/>
              <w:spacing w:line="300" w:lineRule="exact"/>
              <w:jc w:val="left"/>
              <w:rPr>
                <w:rFonts w:ascii="华文细黑" w:hAnsi="华文细黑" w:eastAsia="华文细黑" w:cs="宋体"/>
                <w:b/>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 w:hRule="atLeast"/>
        </w:trPr>
        <w:tc>
          <w:tcPr>
            <w:tcW w:w="958"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宋体"/>
                <w:b/>
                <w:kern w:val="0"/>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ascii="华文细黑" w:hAnsi="华文细黑" w:eastAsia="华文细黑" w:cs="华文楷体"/>
                <w:b/>
                <w:bCs/>
                <w:szCs w:val="21"/>
              </w:rPr>
            </w:pPr>
            <w:r>
              <w:rPr>
                <w:rFonts w:hint="eastAsia" w:ascii="华文细黑" w:hAnsi="华文细黑" w:eastAsia="华文细黑" w:cs="华文楷体"/>
                <w:b/>
                <w:szCs w:val="21"/>
                <w:lang w:val="en-US" w:eastAsia="zh-CN"/>
              </w:rPr>
              <w:t>区</w:t>
            </w:r>
            <w:r>
              <w:rPr>
                <w:rFonts w:hint="eastAsia" w:ascii="华文细黑" w:hAnsi="华文细黑" w:eastAsia="华文细黑" w:cs="华文楷体"/>
                <w:b/>
                <w:bCs/>
                <w:szCs w:val="21"/>
              </w:rPr>
              <w:t>卫健局</w:t>
            </w:r>
          </w:p>
        </w:tc>
        <w:tc>
          <w:tcPr>
            <w:tcW w:w="7797" w:type="dxa"/>
            <w:tcBorders>
              <w:left w:val="single" w:color="auto" w:sz="4" w:space="0"/>
              <w:right w:val="single" w:color="auto" w:sz="4" w:space="0"/>
            </w:tcBorders>
          </w:tcPr>
          <w:p>
            <w:pPr>
              <w:jc w:val="left"/>
              <w:rPr>
                <w:rFonts w:ascii="华文细黑" w:hAnsi="华文细黑" w:eastAsia="华文细黑" w:cs="华文楷体"/>
                <w:b/>
                <w:bCs/>
                <w:szCs w:val="21"/>
              </w:rPr>
            </w:pPr>
            <w:r>
              <w:rPr>
                <w:rFonts w:hint="eastAsia" w:ascii="华文细黑" w:hAnsi="华文细黑" w:eastAsia="华文细黑" w:cs="华文楷体"/>
                <w:b/>
                <w:bCs/>
                <w:szCs w:val="21"/>
              </w:rPr>
              <w:t>监督检查办学地点是否符合防疫工作要求；</w:t>
            </w:r>
            <w:r>
              <w:rPr>
                <w:rFonts w:hint="eastAsia" w:ascii="华文细黑" w:hAnsi="华文细黑" w:eastAsia="华文细黑" w:cs="华文楷体"/>
                <w:b/>
                <w:szCs w:val="21"/>
              </w:rPr>
              <w:t>配合教育部门指导各培训机构做好疫情防控等相关工作</w:t>
            </w:r>
          </w:p>
        </w:tc>
        <w:tc>
          <w:tcPr>
            <w:tcW w:w="1417" w:type="dxa"/>
            <w:vMerge w:val="continue"/>
            <w:tcBorders>
              <w:left w:val="single" w:color="auto" w:sz="4" w:space="0"/>
              <w:right w:val="single" w:color="auto" w:sz="4" w:space="0"/>
            </w:tcBorders>
            <w:vAlign w:val="center"/>
          </w:tcPr>
          <w:p>
            <w:pPr>
              <w:widowControl/>
              <w:spacing w:line="300" w:lineRule="exact"/>
              <w:rPr>
                <w:rFonts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widowControl/>
              <w:spacing w:line="300" w:lineRule="exact"/>
              <w:jc w:val="left"/>
              <w:rPr>
                <w:rFonts w:ascii="华文细黑" w:hAnsi="华文细黑" w:eastAsia="华文细黑" w:cs="宋体"/>
                <w:b/>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 w:hRule="atLeast"/>
        </w:trPr>
        <w:tc>
          <w:tcPr>
            <w:tcW w:w="958"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宋体"/>
                <w:b/>
                <w:kern w:val="0"/>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ascii="华文细黑" w:hAnsi="华文细黑" w:eastAsia="华文细黑" w:cs="华文楷体"/>
                <w:b/>
                <w:bCs/>
                <w:szCs w:val="21"/>
              </w:rPr>
            </w:pPr>
            <w:r>
              <w:rPr>
                <w:rFonts w:hint="eastAsia" w:ascii="华文细黑" w:hAnsi="华文细黑" w:eastAsia="华文细黑" w:cs="华文楷体"/>
                <w:b/>
                <w:szCs w:val="21"/>
                <w:lang w:val="en-US" w:eastAsia="zh-CN"/>
              </w:rPr>
              <w:t>区</w:t>
            </w:r>
            <w:r>
              <w:rPr>
                <w:rFonts w:hint="eastAsia" w:ascii="华文细黑" w:hAnsi="华文细黑" w:eastAsia="华文细黑" w:cs="华文楷体"/>
                <w:b/>
                <w:bCs/>
                <w:szCs w:val="21"/>
              </w:rPr>
              <w:t>应急管理局</w:t>
            </w:r>
          </w:p>
        </w:tc>
        <w:tc>
          <w:tcPr>
            <w:tcW w:w="7797" w:type="dxa"/>
            <w:tcBorders>
              <w:left w:val="single" w:color="auto" w:sz="4" w:space="0"/>
              <w:bottom w:val="single" w:color="auto" w:sz="4" w:space="0"/>
              <w:right w:val="single" w:color="auto" w:sz="4" w:space="0"/>
            </w:tcBorders>
          </w:tcPr>
          <w:p>
            <w:pPr>
              <w:jc w:val="left"/>
              <w:rPr>
                <w:rFonts w:ascii="华文细黑" w:hAnsi="华文细黑" w:eastAsia="华文细黑" w:cs="华文楷体"/>
                <w:b/>
                <w:bCs/>
                <w:szCs w:val="21"/>
              </w:rPr>
            </w:pPr>
            <w:r>
              <w:rPr>
                <w:rFonts w:hint="eastAsia" w:ascii="华文细黑" w:hAnsi="华文细黑" w:eastAsia="华文细黑" w:cs="华文楷体"/>
                <w:b/>
                <w:szCs w:val="21"/>
              </w:rPr>
              <w:t>负责监督检查办学场所是否存在安全、消防、疫情防控等重大安全隐患；负责指导、督促校外培训机构加强消防安全检查，开展消防安全宣传工作，依法开展消防监督检查，对存在火灾隐患或消防安全违法行为的，责令改正并依法查处；负责做好校外培训机构的安全综合监督管理。</w:t>
            </w:r>
          </w:p>
        </w:tc>
        <w:tc>
          <w:tcPr>
            <w:tcW w:w="1417" w:type="dxa"/>
            <w:vMerge w:val="continue"/>
            <w:tcBorders>
              <w:left w:val="single" w:color="auto" w:sz="4" w:space="0"/>
              <w:right w:val="single" w:color="auto" w:sz="4" w:space="0"/>
            </w:tcBorders>
            <w:vAlign w:val="center"/>
          </w:tcPr>
          <w:p>
            <w:pPr>
              <w:widowControl/>
              <w:spacing w:line="300" w:lineRule="exact"/>
              <w:rPr>
                <w:rFonts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widowControl/>
              <w:spacing w:line="300" w:lineRule="exact"/>
              <w:jc w:val="left"/>
              <w:rPr>
                <w:rFonts w:ascii="华文细黑" w:hAnsi="华文细黑" w:eastAsia="华文细黑" w:cs="宋体"/>
                <w:b/>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 w:hRule="atLeast"/>
        </w:trPr>
        <w:tc>
          <w:tcPr>
            <w:tcW w:w="958" w:type="dxa"/>
            <w:vMerge w:val="restart"/>
            <w:tcBorders>
              <w:left w:val="single" w:color="auto" w:sz="4" w:space="0"/>
              <w:right w:val="single" w:color="auto" w:sz="4" w:space="0"/>
            </w:tcBorders>
            <w:vAlign w:val="center"/>
          </w:tcPr>
          <w:p>
            <w:pPr>
              <w:jc w:val="center"/>
              <w:rPr>
                <w:rFonts w:hint="eastAsia" w:ascii="黑体" w:hAnsi="黑体" w:eastAsia="黑体"/>
                <w:b/>
                <w:sz w:val="28"/>
                <w:szCs w:val="28"/>
              </w:rPr>
            </w:pPr>
            <w:r>
              <w:rPr>
                <w:rFonts w:hint="eastAsia" w:ascii="黑体" w:hAnsi="黑体" w:eastAsia="黑体"/>
                <w:b/>
                <w:sz w:val="28"/>
                <w:szCs w:val="28"/>
              </w:rPr>
              <w:t>5</w:t>
            </w:r>
          </w:p>
        </w:tc>
        <w:tc>
          <w:tcPr>
            <w:tcW w:w="1985" w:type="dxa"/>
            <w:vMerge w:val="restart"/>
            <w:tcBorders>
              <w:left w:val="single" w:color="auto" w:sz="4" w:space="0"/>
              <w:right w:val="single" w:color="auto" w:sz="4" w:space="0"/>
            </w:tcBorders>
            <w:vAlign w:val="center"/>
          </w:tcPr>
          <w:p>
            <w:pPr>
              <w:jc w:val="center"/>
              <w:rPr>
                <w:rFonts w:hint="eastAsia" w:ascii="黑体" w:hAnsi="黑体" w:eastAsia="黑体"/>
                <w:b/>
                <w:sz w:val="28"/>
                <w:szCs w:val="28"/>
              </w:rPr>
            </w:pPr>
            <w:r>
              <w:rPr>
                <w:rFonts w:hint="eastAsia" w:ascii="黑体" w:hAnsi="黑体" w:eastAsia="黑体"/>
                <w:b/>
                <w:sz w:val="28"/>
                <w:szCs w:val="28"/>
              </w:rPr>
              <w:t>民办中小学幼儿园规范治 理</w:t>
            </w: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ascii="华文细黑" w:hAnsi="华文细黑" w:eastAsia="华文细黑" w:cs="华文楷体"/>
                <w:b/>
                <w:bCs/>
                <w:szCs w:val="21"/>
              </w:rPr>
            </w:pPr>
            <w:r>
              <w:rPr>
                <w:rFonts w:hint="eastAsia" w:ascii="华文细黑" w:hAnsi="华文细黑" w:eastAsia="华文细黑" w:cs="华文楷体"/>
                <w:b/>
                <w:szCs w:val="21"/>
                <w:lang w:val="en-US" w:eastAsia="zh-CN"/>
              </w:rPr>
              <w:t>区</w:t>
            </w:r>
            <w:r>
              <w:rPr>
                <w:rFonts w:hint="eastAsia" w:ascii="华文细黑" w:hAnsi="华文细黑" w:eastAsia="华文细黑" w:cs="华文楷体"/>
                <w:b/>
                <w:bCs/>
                <w:szCs w:val="21"/>
              </w:rPr>
              <w:t>教育局</w:t>
            </w:r>
          </w:p>
        </w:tc>
        <w:tc>
          <w:tcPr>
            <w:tcW w:w="7797" w:type="dxa"/>
            <w:tcBorders>
              <w:top w:val="single" w:color="auto" w:sz="4" w:space="0"/>
              <w:left w:val="single" w:color="auto" w:sz="4" w:space="0"/>
              <w:right w:val="single" w:color="auto" w:sz="4" w:space="0"/>
            </w:tcBorders>
          </w:tcPr>
          <w:p>
            <w:pPr>
              <w:jc w:val="left"/>
              <w:rPr>
                <w:rFonts w:ascii="华文细黑" w:hAnsi="华文细黑" w:eastAsia="华文细黑" w:cs="华文楷体"/>
                <w:b/>
                <w:bCs/>
                <w:szCs w:val="21"/>
              </w:rPr>
            </w:pPr>
            <w:r>
              <w:rPr>
                <w:rFonts w:hint="eastAsia" w:ascii="华文细黑" w:hAnsi="华文细黑" w:eastAsia="华文细黑" w:cs="华文楷体"/>
                <w:b/>
                <w:bCs/>
                <w:szCs w:val="21"/>
              </w:rPr>
              <w:t>民办学校的监管工作；年度工作检查；加强学校党组织建设；健全学校党组织参与决策和监督机制；严格规范招生入学行为，按照省市要求统筹制定规范公办、民办义务教育学校招生和政策措施，推进免试就近入学全覆盖。</w:t>
            </w:r>
          </w:p>
        </w:tc>
        <w:tc>
          <w:tcPr>
            <w:tcW w:w="1417" w:type="dxa"/>
            <w:vMerge w:val="restart"/>
            <w:tcBorders>
              <w:left w:val="single" w:color="auto" w:sz="4" w:space="0"/>
              <w:right w:val="single" w:color="auto" w:sz="4" w:space="0"/>
            </w:tcBorders>
            <w:vAlign w:val="center"/>
          </w:tcPr>
          <w:p>
            <w:pPr>
              <w:widowControl/>
              <w:spacing w:line="300" w:lineRule="exact"/>
              <w:rPr>
                <w:rFonts w:hint="eastAsia" w:ascii="华文细黑" w:hAnsi="华文细黑" w:eastAsia="华文细黑" w:cs="宋体"/>
                <w:b/>
                <w:kern w:val="0"/>
                <w:szCs w:val="21"/>
              </w:rPr>
            </w:pPr>
            <w:r>
              <w:rPr>
                <w:rFonts w:hint="eastAsia" w:ascii="华文细黑" w:hAnsi="华文细黑" w:eastAsia="华文细黑" w:cs="宋体"/>
                <w:b/>
                <w:kern w:val="0"/>
                <w:szCs w:val="21"/>
              </w:rPr>
              <w:t>《中华人民共和国民办教育促进法》、《藁城区清理规范取缔无证民办教育机构工作实施意见》《石家庄市规范民办义务教育发展专项工作方案》</w:t>
            </w:r>
          </w:p>
        </w:tc>
        <w:tc>
          <w:tcPr>
            <w:tcW w:w="992" w:type="dxa"/>
            <w:vMerge w:val="restart"/>
            <w:tcBorders>
              <w:left w:val="single" w:color="auto" w:sz="4" w:space="0"/>
              <w:right w:val="single" w:color="auto" w:sz="4" w:space="0"/>
            </w:tcBorders>
            <w:vAlign w:val="center"/>
          </w:tcPr>
          <w:p>
            <w:pPr>
              <w:widowControl/>
              <w:spacing w:line="300" w:lineRule="exact"/>
              <w:jc w:val="left"/>
              <w:rPr>
                <w:rFonts w:ascii="华文细黑" w:hAnsi="华文细黑" w:eastAsia="华文细黑" w:cs="宋体"/>
                <w:b/>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trPr>
        <w:tc>
          <w:tcPr>
            <w:tcW w:w="958"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华文楷体"/>
                <w:b/>
                <w:bCs/>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ascii="华文细黑" w:hAnsi="华文细黑" w:eastAsia="华文细黑" w:cs="华文楷体"/>
                <w:b/>
                <w:bCs/>
                <w:szCs w:val="21"/>
              </w:rPr>
            </w:pPr>
            <w:r>
              <w:rPr>
                <w:rFonts w:hint="eastAsia" w:ascii="华文细黑" w:hAnsi="华文细黑" w:eastAsia="华文细黑" w:cs="华文楷体"/>
                <w:b/>
                <w:szCs w:val="21"/>
                <w:lang w:val="en-US" w:eastAsia="zh-CN"/>
              </w:rPr>
              <w:t>区</w:t>
            </w:r>
            <w:r>
              <w:rPr>
                <w:rFonts w:hint="eastAsia" w:ascii="华文细黑" w:hAnsi="华文细黑" w:eastAsia="华文细黑" w:cs="华文楷体"/>
                <w:b/>
                <w:bCs/>
                <w:szCs w:val="21"/>
              </w:rPr>
              <w:t>乡</w:t>
            </w:r>
            <w:r>
              <w:rPr>
                <w:rFonts w:hint="eastAsia" w:ascii="华文细黑" w:hAnsi="华文细黑" w:eastAsia="华文细黑" w:cs="华文楷体"/>
                <w:b/>
                <w:bCs/>
                <w:szCs w:val="21"/>
                <w:lang w:val="en-US" w:eastAsia="zh-CN"/>
              </w:rPr>
              <w:t>镇</w:t>
            </w:r>
            <w:r>
              <w:rPr>
                <w:rFonts w:hint="eastAsia" w:ascii="华文细黑" w:hAnsi="华文细黑" w:eastAsia="华文细黑" w:cs="华文楷体"/>
                <w:b/>
                <w:bCs/>
                <w:szCs w:val="21"/>
              </w:rPr>
              <w:t>政府</w:t>
            </w:r>
          </w:p>
        </w:tc>
        <w:tc>
          <w:tcPr>
            <w:tcW w:w="7797" w:type="dxa"/>
            <w:tcBorders>
              <w:left w:val="single" w:color="auto" w:sz="4" w:space="0"/>
              <w:right w:val="single" w:color="auto" w:sz="4" w:space="0"/>
            </w:tcBorders>
          </w:tcPr>
          <w:p>
            <w:pPr>
              <w:jc w:val="left"/>
              <w:rPr>
                <w:rFonts w:ascii="华文细黑" w:hAnsi="华文细黑" w:eastAsia="华文细黑" w:cs="华文楷体"/>
                <w:b/>
                <w:bCs/>
                <w:szCs w:val="21"/>
              </w:rPr>
            </w:pPr>
            <w:r>
              <w:rPr>
                <w:rFonts w:hint="eastAsia" w:ascii="华文细黑" w:hAnsi="华文细黑" w:eastAsia="华文细黑" w:cs="华文楷体"/>
                <w:b/>
                <w:bCs/>
                <w:szCs w:val="21"/>
              </w:rPr>
              <w:t>加强学校党组织建设；健全学校党组织参与决策和监督机制；按照属地管理的主体责任，清理整顿无证办学行为，做好清理整顿后的社会稳定工作。</w:t>
            </w:r>
          </w:p>
        </w:tc>
        <w:tc>
          <w:tcPr>
            <w:tcW w:w="1417" w:type="dxa"/>
            <w:vMerge w:val="continue"/>
            <w:tcBorders>
              <w:left w:val="single" w:color="auto" w:sz="4" w:space="0"/>
              <w:right w:val="single" w:color="auto" w:sz="4" w:space="0"/>
            </w:tcBorders>
            <w:vAlign w:val="center"/>
          </w:tcPr>
          <w:p>
            <w:pPr>
              <w:widowControl/>
              <w:spacing w:line="300" w:lineRule="exact"/>
              <w:jc w:val="left"/>
              <w:rPr>
                <w:rFonts w:hint="eastAsia"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widowControl/>
              <w:spacing w:line="300" w:lineRule="exact"/>
              <w:jc w:val="left"/>
              <w:rPr>
                <w:rFonts w:ascii="华文细黑" w:hAnsi="华文细黑" w:eastAsia="华文细黑" w:cs="宋体"/>
                <w:b/>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trPr>
        <w:tc>
          <w:tcPr>
            <w:tcW w:w="958"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华文楷体"/>
                <w:b/>
                <w:bCs/>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ascii="华文细黑" w:hAnsi="华文细黑" w:eastAsia="华文细黑" w:cs="华文楷体"/>
                <w:b/>
                <w:bCs/>
                <w:szCs w:val="21"/>
              </w:rPr>
            </w:pPr>
            <w:r>
              <w:rPr>
                <w:rFonts w:hint="eastAsia" w:ascii="华文细黑" w:hAnsi="华文细黑" w:eastAsia="华文细黑" w:cs="华文楷体"/>
                <w:b/>
                <w:szCs w:val="21"/>
                <w:lang w:val="en-US" w:eastAsia="zh-CN"/>
              </w:rPr>
              <w:t>区</w:t>
            </w:r>
            <w:r>
              <w:rPr>
                <w:rFonts w:hint="eastAsia" w:ascii="华文细黑" w:hAnsi="华文细黑" w:eastAsia="华文细黑" w:cs="华文楷体"/>
                <w:b/>
                <w:bCs/>
                <w:szCs w:val="21"/>
              </w:rPr>
              <w:t>应急管理局</w:t>
            </w:r>
          </w:p>
        </w:tc>
        <w:tc>
          <w:tcPr>
            <w:tcW w:w="7797" w:type="dxa"/>
            <w:tcBorders>
              <w:left w:val="single" w:color="auto" w:sz="4" w:space="0"/>
              <w:right w:val="single" w:color="auto" w:sz="4" w:space="0"/>
            </w:tcBorders>
          </w:tcPr>
          <w:p>
            <w:pPr>
              <w:jc w:val="left"/>
              <w:rPr>
                <w:rFonts w:ascii="华文细黑" w:hAnsi="华文细黑" w:eastAsia="华文细黑" w:cs="华文楷体"/>
                <w:b/>
                <w:bCs/>
                <w:szCs w:val="21"/>
              </w:rPr>
            </w:pPr>
            <w:r>
              <w:rPr>
                <w:rFonts w:hint="eastAsia" w:ascii="华文细黑" w:hAnsi="华文细黑" w:eastAsia="华文细黑" w:cs="华文楷体"/>
                <w:b/>
                <w:bCs/>
                <w:szCs w:val="21"/>
              </w:rPr>
              <w:t>负责对民办学校设施设备进行安全隐患检查工作，依法对存在安全隐患的无证办学行为进行清理、规范和取缔。</w:t>
            </w:r>
          </w:p>
        </w:tc>
        <w:tc>
          <w:tcPr>
            <w:tcW w:w="1417" w:type="dxa"/>
            <w:vMerge w:val="continue"/>
            <w:tcBorders>
              <w:left w:val="single" w:color="auto" w:sz="4" w:space="0"/>
              <w:right w:val="single" w:color="auto" w:sz="4" w:space="0"/>
            </w:tcBorders>
            <w:vAlign w:val="center"/>
          </w:tcPr>
          <w:p>
            <w:pPr>
              <w:widowControl/>
              <w:spacing w:line="300" w:lineRule="exact"/>
              <w:jc w:val="left"/>
              <w:rPr>
                <w:rFonts w:hint="eastAsia"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widowControl/>
              <w:spacing w:line="300" w:lineRule="exact"/>
              <w:jc w:val="left"/>
              <w:rPr>
                <w:rFonts w:ascii="华文细黑" w:hAnsi="华文细黑" w:eastAsia="华文细黑" w:cs="宋体"/>
                <w:b/>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trPr>
        <w:tc>
          <w:tcPr>
            <w:tcW w:w="958"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华文楷体"/>
                <w:b/>
                <w:bCs/>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ascii="华文细黑" w:hAnsi="华文细黑" w:eastAsia="华文细黑" w:cs="华文楷体"/>
                <w:b/>
                <w:bCs/>
                <w:szCs w:val="21"/>
              </w:rPr>
            </w:pPr>
            <w:r>
              <w:rPr>
                <w:rFonts w:hint="eastAsia" w:ascii="华文细黑" w:hAnsi="华文细黑" w:eastAsia="华文细黑" w:cs="华文楷体"/>
                <w:b/>
                <w:szCs w:val="21"/>
                <w:lang w:val="en-US" w:eastAsia="zh-CN"/>
              </w:rPr>
              <w:t>区</w:t>
            </w:r>
            <w:r>
              <w:rPr>
                <w:rFonts w:hint="eastAsia" w:ascii="华文细黑" w:hAnsi="华文细黑" w:eastAsia="华文细黑" w:cs="华文楷体"/>
                <w:b/>
                <w:bCs/>
                <w:szCs w:val="21"/>
              </w:rPr>
              <w:t>市场监管局</w:t>
            </w:r>
          </w:p>
        </w:tc>
        <w:tc>
          <w:tcPr>
            <w:tcW w:w="7797" w:type="dxa"/>
            <w:tcBorders>
              <w:left w:val="single" w:color="auto" w:sz="4" w:space="0"/>
              <w:right w:val="single" w:color="auto" w:sz="4" w:space="0"/>
            </w:tcBorders>
          </w:tcPr>
          <w:p>
            <w:pPr>
              <w:jc w:val="left"/>
              <w:rPr>
                <w:rFonts w:ascii="华文细黑" w:hAnsi="华文细黑" w:eastAsia="华文细黑" w:cs="华文楷体"/>
                <w:b/>
                <w:bCs/>
                <w:szCs w:val="21"/>
              </w:rPr>
            </w:pPr>
            <w:r>
              <w:rPr>
                <w:rFonts w:hint="eastAsia" w:ascii="华文细黑" w:hAnsi="华文细黑" w:eastAsia="华文细黑" w:cs="华文楷体"/>
                <w:b/>
                <w:bCs/>
                <w:szCs w:val="21"/>
              </w:rPr>
              <w:t>对民办学校经营食品行为、餐饮服务行为，以及是否办理了《食品经营许可证》和执行食品安全管理制度情况等进行检查。</w:t>
            </w:r>
          </w:p>
        </w:tc>
        <w:tc>
          <w:tcPr>
            <w:tcW w:w="1417" w:type="dxa"/>
            <w:vMerge w:val="continue"/>
            <w:tcBorders>
              <w:left w:val="single" w:color="auto" w:sz="4" w:space="0"/>
              <w:right w:val="single" w:color="auto" w:sz="4" w:space="0"/>
            </w:tcBorders>
            <w:vAlign w:val="center"/>
          </w:tcPr>
          <w:p>
            <w:pPr>
              <w:widowControl/>
              <w:spacing w:line="300" w:lineRule="exact"/>
              <w:jc w:val="left"/>
              <w:rPr>
                <w:rFonts w:hint="eastAsia"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widowControl/>
              <w:spacing w:line="300" w:lineRule="exact"/>
              <w:jc w:val="left"/>
              <w:rPr>
                <w:rFonts w:ascii="华文细黑" w:hAnsi="华文细黑" w:eastAsia="华文细黑" w:cs="宋体"/>
                <w:b/>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trPr>
        <w:tc>
          <w:tcPr>
            <w:tcW w:w="958"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华文楷体"/>
                <w:b/>
                <w:bCs/>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ascii="华文细黑" w:hAnsi="华文细黑" w:eastAsia="华文细黑" w:cs="华文楷体"/>
                <w:b/>
                <w:bCs/>
                <w:szCs w:val="21"/>
              </w:rPr>
            </w:pPr>
            <w:r>
              <w:rPr>
                <w:rFonts w:hint="eastAsia" w:ascii="华文细黑" w:hAnsi="华文细黑" w:eastAsia="华文细黑" w:cs="华文楷体"/>
                <w:b/>
                <w:szCs w:val="21"/>
                <w:lang w:val="en-US" w:eastAsia="zh-CN"/>
              </w:rPr>
              <w:t>区救援</w:t>
            </w:r>
            <w:r>
              <w:rPr>
                <w:rFonts w:hint="eastAsia" w:ascii="华文细黑" w:hAnsi="华文细黑" w:eastAsia="华文细黑" w:cs="华文楷体"/>
                <w:b/>
                <w:bCs/>
                <w:szCs w:val="21"/>
              </w:rPr>
              <w:t>消防</w:t>
            </w:r>
            <w:r>
              <w:rPr>
                <w:rFonts w:hint="eastAsia" w:ascii="华文细黑" w:hAnsi="华文细黑" w:eastAsia="华文细黑" w:cs="华文楷体"/>
                <w:b/>
                <w:bCs/>
                <w:szCs w:val="21"/>
                <w:lang w:val="en-US" w:eastAsia="zh-CN"/>
              </w:rPr>
              <w:t>支</w:t>
            </w:r>
            <w:bookmarkStart w:id="0" w:name="_GoBack"/>
            <w:bookmarkEnd w:id="0"/>
            <w:r>
              <w:rPr>
                <w:rFonts w:hint="eastAsia" w:ascii="华文细黑" w:hAnsi="华文细黑" w:eastAsia="华文细黑" w:cs="华文楷体"/>
                <w:b/>
                <w:bCs/>
                <w:szCs w:val="21"/>
              </w:rPr>
              <w:t>队</w:t>
            </w:r>
          </w:p>
        </w:tc>
        <w:tc>
          <w:tcPr>
            <w:tcW w:w="7797" w:type="dxa"/>
            <w:tcBorders>
              <w:left w:val="single" w:color="auto" w:sz="4" w:space="0"/>
              <w:right w:val="single" w:color="auto" w:sz="4" w:space="0"/>
            </w:tcBorders>
          </w:tcPr>
          <w:p>
            <w:pPr>
              <w:jc w:val="left"/>
              <w:rPr>
                <w:rFonts w:ascii="华文细黑" w:hAnsi="华文细黑" w:eastAsia="华文细黑" w:cs="华文楷体"/>
                <w:b/>
                <w:bCs/>
                <w:szCs w:val="21"/>
              </w:rPr>
            </w:pPr>
            <w:r>
              <w:rPr>
                <w:rFonts w:hint="eastAsia" w:ascii="华文细黑" w:hAnsi="华文细黑" w:eastAsia="华文细黑" w:cs="华文楷体"/>
                <w:b/>
                <w:bCs/>
                <w:szCs w:val="21"/>
              </w:rPr>
              <w:t>监督检查学校办学场所是否存在安全隐患，对不符合消防标准的学校进行指导，并做处相关处理。</w:t>
            </w:r>
          </w:p>
        </w:tc>
        <w:tc>
          <w:tcPr>
            <w:tcW w:w="1417" w:type="dxa"/>
            <w:vMerge w:val="continue"/>
            <w:tcBorders>
              <w:left w:val="single" w:color="auto" w:sz="4" w:space="0"/>
              <w:right w:val="single" w:color="auto" w:sz="4" w:space="0"/>
            </w:tcBorders>
            <w:vAlign w:val="center"/>
          </w:tcPr>
          <w:p>
            <w:pPr>
              <w:widowControl/>
              <w:spacing w:line="300" w:lineRule="exact"/>
              <w:jc w:val="left"/>
              <w:rPr>
                <w:rFonts w:hint="eastAsia"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widowControl/>
              <w:spacing w:line="300" w:lineRule="exact"/>
              <w:jc w:val="left"/>
              <w:rPr>
                <w:rFonts w:ascii="华文细黑" w:hAnsi="华文细黑" w:eastAsia="华文细黑" w:cs="宋体"/>
                <w:b/>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trPr>
        <w:tc>
          <w:tcPr>
            <w:tcW w:w="958"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华文楷体"/>
                <w:b/>
                <w:bCs/>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ascii="华文细黑" w:hAnsi="华文细黑" w:eastAsia="华文细黑" w:cs="华文楷体"/>
                <w:b/>
                <w:bCs/>
                <w:szCs w:val="21"/>
              </w:rPr>
            </w:pPr>
            <w:r>
              <w:rPr>
                <w:rFonts w:hint="eastAsia" w:ascii="华文细黑" w:hAnsi="华文细黑" w:eastAsia="华文细黑" w:cs="华文楷体"/>
                <w:b/>
                <w:szCs w:val="21"/>
                <w:lang w:val="en-US" w:eastAsia="zh-CN"/>
              </w:rPr>
              <w:t>区</w:t>
            </w:r>
            <w:r>
              <w:rPr>
                <w:rFonts w:hint="eastAsia" w:ascii="华文细黑" w:hAnsi="华文细黑" w:eastAsia="华文细黑" w:cs="华文楷体"/>
                <w:b/>
                <w:bCs/>
                <w:szCs w:val="21"/>
              </w:rPr>
              <w:t>卫健局</w:t>
            </w:r>
          </w:p>
        </w:tc>
        <w:tc>
          <w:tcPr>
            <w:tcW w:w="7797" w:type="dxa"/>
            <w:tcBorders>
              <w:left w:val="single" w:color="auto" w:sz="4" w:space="0"/>
              <w:right w:val="single" w:color="auto" w:sz="4" w:space="0"/>
            </w:tcBorders>
          </w:tcPr>
          <w:p>
            <w:pPr>
              <w:jc w:val="left"/>
              <w:rPr>
                <w:rFonts w:ascii="华文细黑" w:hAnsi="华文细黑" w:eastAsia="华文细黑" w:cs="华文楷体"/>
                <w:b/>
                <w:bCs/>
                <w:szCs w:val="21"/>
              </w:rPr>
            </w:pPr>
            <w:r>
              <w:rPr>
                <w:rFonts w:hint="eastAsia" w:ascii="华文细黑" w:hAnsi="华文细黑" w:eastAsia="华文细黑" w:cs="华文楷体"/>
                <w:b/>
                <w:bCs/>
                <w:szCs w:val="21"/>
              </w:rPr>
              <w:t>检查民办学校办学场所和从业人员是否符合卫生、防疫和健康要求，对不符合要求的，要按照有关规定对其进行处罚。</w:t>
            </w:r>
          </w:p>
        </w:tc>
        <w:tc>
          <w:tcPr>
            <w:tcW w:w="1417" w:type="dxa"/>
            <w:vMerge w:val="continue"/>
            <w:tcBorders>
              <w:left w:val="single" w:color="auto" w:sz="4" w:space="0"/>
              <w:right w:val="single" w:color="auto" w:sz="4" w:space="0"/>
            </w:tcBorders>
            <w:vAlign w:val="center"/>
          </w:tcPr>
          <w:p>
            <w:pPr>
              <w:widowControl/>
              <w:spacing w:line="300" w:lineRule="exact"/>
              <w:jc w:val="left"/>
              <w:rPr>
                <w:rFonts w:hint="eastAsia"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widowControl/>
              <w:spacing w:line="300" w:lineRule="exact"/>
              <w:jc w:val="left"/>
              <w:rPr>
                <w:rFonts w:ascii="华文细黑" w:hAnsi="华文细黑" w:eastAsia="华文细黑" w:cs="宋体"/>
                <w:b/>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trPr>
        <w:tc>
          <w:tcPr>
            <w:tcW w:w="958"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华文楷体"/>
                <w:b/>
                <w:bCs/>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ascii="华文细黑" w:hAnsi="华文细黑" w:eastAsia="华文细黑" w:cs="华文楷体"/>
                <w:b/>
                <w:bCs/>
                <w:szCs w:val="21"/>
              </w:rPr>
            </w:pPr>
            <w:r>
              <w:rPr>
                <w:rFonts w:hint="eastAsia" w:ascii="华文细黑" w:hAnsi="华文细黑" w:eastAsia="华文细黑" w:cs="华文楷体"/>
                <w:b/>
                <w:szCs w:val="21"/>
                <w:lang w:val="en-US" w:eastAsia="zh-CN"/>
              </w:rPr>
              <w:t>区</w:t>
            </w:r>
            <w:r>
              <w:rPr>
                <w:rFonts w:hint="eastAsia" w:ascii="华文细黑" w:hAnsi="华文细黑" w:eastAsia="华文细黑" w:cs="华文楷体"/>
                <w:b/>
                <w:bCs/>
                <w:szCs w:val="21"/>
              </w:rPr>
              <w:t>公安局</w:t>
            </w:r>
          </w:p>
        </w:tc>
        <w:tc>
          <w:tcPr>
            <w:tcW w:w="7797" w:type="dxa"/>
            <w:tcBorders>
              <w:left w:val="single" w:color="auto" w:sz="4" w:space="0"/>
              <w:right w:val="single" w:color="auto" w:sz="4" w:space="0"/>
            </w:tcBorders>
          </w:tcPr>
          <w:p>
            <w:pPr>
              <w:jc w:val="left"/>
              <w:rPr>
                <w:rFonts w:ascii="华文细黑" w:hAnsi="华文细黑" w:eastAsia="华文细黑" w:cs="华文楷体"/>
                <w:b/>
                <w:bCs/>
                <w:szCs w:val="21"/>
              </w:rPr>
            </w:pPr>
            <w:r>
              <w:rPr>
                <w:rFonts w:hint="eastAsia" w:ascii="华文细黑" w:hAnsi="华文细黑" w:eastAsia="华文细黑" w:cs="华文楷体"/>
                <w:b/>
                <w:bCs/>
                <w:szCs w:val="21"/>
              </w:rPr>
              <w:t>参与取缔无证办学行为，对干扰清理整顿的单位和个人依法打击。</w:t>
            </w:r>
          </w:p>
        </w:tc>
        <w:tc>
          <w:tcPr>
            <w:tcW w:w="1417" w:type="dxa"/>
            <w:vMerge w:val="continue"/>
            <w:tcBorders>
              <w:left w:val="single" w:color="auto" w:sz="4" w:space="0"/>
              <w:right w:val="single" w:color="auto" w:sz="4" w:space="0"/>
            </w:tcBorders>
            <w:vAlign w:val="center"/>
          </w:tcPr>
          <w:p>
            <w:pPr>
              <w:widowControl/>
              <w:spacing w:line="300" w:lineRule="exact"/>
              <w:jc w:val="left"/>
              <w:rPr>
                <w:rFonts w:hint="eastAsia"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widowControl/>
              <w:spacing w:line="300" w:lineRule="exact"/>
              <w:jc w:val="left"/>
              <w:rPr>
                <w:rFonts w:ascii="华文细黑" w:hAnsi="华文细黑" w:eastAsia="华文细黑" w:cs="宋体"/>
                <w:b/>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trPr>
        <w:tc>
          <w:tcPr>
            <w:tcW w:w="958" w:type="dxa"/>
            <w:vMerge w:val="restart"/>
            <w:tcBorders>
              <w:left w:val="single" w:color="auto" w:sz="4" w:space="0"/>
              <w:right w:val="single" w:color="auto" w:sz="4" w:space="0"/>
            </w:tcBorders>
            <w:vAlign w:val="center"/>
          </w:tcPr>
          <w:p>
            <w:pPr>
              <w:spacing w:line="300" w:lineRule="exact"/>
              <w:jc w:val="left"/>
              <w:rPr>
                <w:rFonts w:hint="eastAsia" w:ascii="华文细黑" w:hAnsi="华文细黑" w:eastAsia="华文细黑" w:cs="仿宋_GB2312"/>
                <w:b/>
                <w:szCs w:val="21"/>
                <w:lang w:val="en-US" w:eastAsia="zh-CN"/>
              </w:rPr>
            </w:pPr>
            <w:r>
              <w:rPr>
                <w:rFonts w:hint="eastAsia" w:ascii="华文细黑" w:hAnsi="华文细黑" w:eastAsia="华文细黑" w:cs="仿宋_GB2312"/>
                <w:b/>
                <w:szCs w:val="21"/>
                <w:lang w:val="en-US" w:eastAsia="zh-CN"/>
              </w:rPr>
              <w:t>6</w:t>
            </w:r>
          </w:p>
        </w:tc>
        <w:tc>
          <w:tcPr>
            <w:tcW w:w="1985" w:type="dxa"/>
            <w:vMerge w:val="restart"/>
            <w:tcBorders>
              <w:left w:val="single" w:color="auto" w:sz="4" w:space="0"/>
              <w:right w:val="single" w:color="auto" w:sz="4" w:space="0"/>
            </w:tcBorders>
            <w:vAlign w:val="center"/>
          </w:tcPr>
          <w:p>
            <w:pPr>
              <w:spacing w:line="300" w:lineRule="exact"/>
              <w:jc w:val="center"/>
              <w:rPr>
                <w:rFonts w:hint="default" w:ascii="华文细黑" w:hAnsi="华文细黑" w:eastAsia="华文细黑" w:cs="华文楷体"/>
                <w:b/>
                <w:bCs/>
                <w:szCs w:val="21"/>
                <w:lang w:val="en-US" w:eastAsia="zh-CN"/>
              </w:rPr>
            </w:pPr>
            <w:r>
              <w:rPr>
                <w:rFonts w:hint="eastAsia" w:ascii="黑体" w:hAnsi="黑体" w:eastAsia="黑体"/>
                <w:b/>
                <w:sz w:val="28"/>
                <w:szCs w:val="28"/>
                <w:lang w:val="en-US" w:eastAsia="zh-CN"/>
              </w:rPr>
              <w:t>师范类大中专毕业生管理</w:t>
            </w: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hint="default" w:ascii="华文细黑" w:hAnsi="华文细黑" w:eastAsia="华文细黑" w:cs="华文楷体"/>
                <w:b/>
                <w:szCs w:val="21"/>
                <w:lang w:val="en-US" w:eastAsia="zh-CN"/>
              </w:rPr>
            </w:pPr>
            <w:r>
              <w:rPr>
                <w:rFonts w:hint="eastAsia" w:ascii="华文细黑" w:hAnsi="华文细黑" w:eastAsia="华文细黑" w:cs="华文楷体"/>
                <w:b/>
                <w:szCs w:val="21"/>
                <w:lang w:val="en-US" w:eastAsia="zh-CN"/>
              </w:rPr>
              <w:t>区教育局</w:t>
            </w:r>
          </w:p>
        </w:tc>
        <w:tc>
          <w:tcPr>
            <w:tcW w:w="7797" w:type="dxa"/>
            <w:tcBorders>
              <w:left w:val="single" w:color="auto" w:sz="4" w:space="0"/>
              <w:right w:val="single" w:color="auto" w:sz="4" w:space="0"/>
            </w:tcBorders>
            <w:vAlign w:val="center"/>
          </w:tcPr>
          <w:p>
            <w:pPr>
              <w:jc w:val="both"/>
              <w:rPr>
                <w:rFonts w:hint="default" w:ascii="华文细黑" w:hAnsi="华文细黑" w:eastAsia="华文细黑" w:cs="华文楷体"/>
                <w:b/>
                <w:bCs/>
                <w:szCs w:val="21"/>
                <w:lang w:val="en-US" w:eastAsia="zh-CN"/>
              </w:rPr>
            </w:pPr>
            <w:r>
              <w:rPr>
                <w:rFonts w:hint="eastAsia" w:ascii="华文细黑" w:hAnsi="华文细黑" w:eastAsia="华文细黑" w:cs="华文楷体"/>
                <w:b/>
                <w:bCs/>
                <w:szCs w:val="21"/>
                <w:lang w:val="en-US" w:eastAsia="zh-CN"/>
              </w:rPr>
              <w:t>负责师范类大中专毕业生就业报到工作。</w:t>
            </w:r>
          </w:p>
        </w:tc>
        <w:tc>
          <w:tcPr>
            <w:tcW w:w="1417" w:type="dxa"/>
            <w:vMerge w:val="restart"/>
            <w:tcBorders>
              <w:left w:val="single" w:color="auto" w:sz="4" w:space="0"/>
              <w:right w:val="single" w:color="auto" w:sz="4" w:space="0"/>
            </w:tcBorders>
            <w:vAlign w:val="center"/>
          </w:tcPr>
          <w:p>
            <w:pPr>
              <w:widowControl/>
              <w:spacing w:line="300" w:lineRule="exact"/>
              <w:jc w:val="left"/>
              <w:rPr>
                <w:rFonts w:hint="default" w:ascii="华文细黑" w:hAnsi="华文细黑" w:eastAsia="华文细黑" w:cs="宋体"/>
                <w:b/>
                <w:kern w:val="0"/>
                <w:szCs w:val="21"/>
                <w:lang w:val="en-US" w:eastAsia="zh-CN"/>
              </w:rPr>
            </w:pPr>
            <w:r>
              <w:rPr>
                <w:rFonts w:hint="eastAsia" w:ascii="华文细黑" w:hAnsi="华文细黑" w:eastAsia="华文细黑" w:cs="宋体"/>
                <w:b/>
                <w:kern w:val="0"/>
                <w:szCs w:val="21"/>
                <w:lang w:eastAsia="zh-CN"/>
              </w:rPr>
              <w:t>《</w:t>
            </w:r>
            <w:r>
              <w:rPr>
                <w:rFonts w:hint="eastAsia" w:ascii="华文细黑" w:hAnsi="华文细黑" w:eastAsia="华文细黑" w:cs="宋体"/>
                <w:b/>
                <w:kern w:val="0"/>
                <w:szCs w:val="21"/>
                <w:lang w:val="en-US" w:eastAsia="zh-CN"/>
              </w:rPr>
              <w:t>藁城区教育局职能配置、内设机构和人员编制规定</w:t>
            </w:r>
            <w:r>
              <w:rPr>
                <w:rFonts w:hint="eastAsia" w:ascii="华文细黑" w:hAnsi="华文细黑" w:eastAsia="华文细黑" w:cs="宋体"/>
                <w:b/>
                <w:kern w:val="0"/>
                <w:szCs w:val="21"/>
                <w:lang w:eastAsia="zh-CN"/>
              </w:rPr>
              <w:t>》</w:t>
            </w:r>
            <w:r>
              <w:rPr>
                <w:rFonts w:hint="eastAsia" w:ascii="华文细黑" w:hAnsi="华文细黑" w:eastAsia="华文细黑" w:cs="宋体"/>
                <w:b/>
                <w:kern w:val="0"/>
                <w:szCs w:val="21"/>
                <w:lang w:val="en-US" w:eastAsia="zh-CN"/>
              </w:rPr>
              <w:t>第五条</w:t>
            </w:r>
          </w:p>
        </w:tc>
        <w:tc>
          <w:tcPr>
            <w:tcW w:w="992" w:type="dxa"/>
            <w:vMerge w:val="restart"/>
            <w:tcBorders>
              <w:left w:val="single" w:color="auto" w:sz="4" w:space="0"/>
              <w:right w:val="single" w:color="auto" w:sz="4" w:space="0"/>
            </w:tcBorders>
            <w:vAlign w:val="center"/>
          </w:tcPr>
          <w:p>
            <w:pPr>
              <w:widowControl/>
              <w:spacing w:line="300" w:lineRule="exact"/>
              <w:jc w:val="left"/>
              <w:rPr>
                <w:rFonts w:ascii="华文细黑" w:hAnsi="华文细黑" w:eastAsia="华文细黑" w:cs="宋体"/>
                <w:b/>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trPr>
        <w:tc>
          <w:tcPr>
            <w:tcW w:w="958"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仿宋_GB2312"/>
                <w:b/>
                <w:szCs w:val="21"/>
              </w:rPr>
            </w:pPr>
          </w:p>
        </w:tc>
        <w:tc>
          <w:tcPr>
            <w:tcW w:w="1985" w:type="dxa"/>
            <w:vMerge w:val="continue"/>
            <w:tcBorders>
              <w:left w:val="single" w:color="auto" w:sz="4" w:space="0"/>
              <w:right w:val="single" w:color="auto" w:sz="4" w:space="0"/>
            </w:tcBorders>
            <w:vAlign w:val="center"/>
          </w:tcPr>
          <w:p>
            <w:pPr>
              <w:spacing w:line="300" w:lineRule="exact"/>
              <w:jc w:val="left"/>
              <w:rPr>
                <w:rFonts w:hint="eastAsia" w:ascii="华文细黑" w:hAnsi="华文细黑" w:eastAsia="华文细黑" w:cs="华文楷体"/>
                <w:b/>
                <w:bCs/>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hint="default" w:ascii="华文细黑" w:hAnsi="华文细黑" w:eastAsia="华文细黑" w:cs="华文楷体"/>
                <w:b/>
                <w:szCs w:val="21"/>
                <w:lang w:val="en-US" w:eastAsia="zh-CN"/>
              </w:rPr>
            </w:pPr>
            <w:r>
              <w:rPr>
                <w:rFonts w:hint="eastAsia" w:ascii="华文细黑" w:hAnsi="华文细黑" w:eastAsia="华文细黑" w:cs="华文楷体"/>
                <w:b/>
                <w:szCs w:val="21"/>
                <w:lang w:val="en-US" w:eastAsia="zh-CN"/>
              </w:rPr>
              <w:t>区人社局</w:t>
            </w:r>
          </w:p>
        </w:tc>
        <w:tc>
          <w:tcPr>
            <w:tcW w:w="7797" w:type="dxa"/>
            <w:tcBorders>
              <w:left w:val="single" w:color="auto" w:sz="4" w:space="0"/>
              <w:bottom w:val="single" w:color="auto" w:sz="4" w:space="0"/>
              <w:right w:val="single" w:color="auto" w:sz="4" w:space="0"/>
            </w:tcBorders>
            <w:vAlign w:val="center"/>
          </w:tcPr>
          <w:p>
            <w:pPr>
              <w:jc w:val="left"/>
              <w:rPr>
                <w:rFonts w:hint="default" w:ascii="华文细黑" w:hAnsi="华文细黑" w:eastAsia="华文细黑" w:cs="华文楷体"/>
                <w:b/>
                <w:bCs/>
                <w:szCs w:val="21"/>
                <w:lang w:val="en-US" w:eastAsia="zh-CN"/>
              </w:rPr>
            </w:pPr>
            <w:r>
              <w:rPr>
                <w:rFonts w:hint="eastAsia" w:ascii="华文细黑" w:hAnsi="华文细黑" w:eastAsia="华文细黑" w:cs="华文楷体"/>
                <w:b/>
                <w:bCs/>
                <w:szCs w:val="21"/>
                <w:lang w:val="en-US" w:eastAsia="zh-CN"/>
              </w:rPr>
              <w:t>毕业生就业改派，提供就业信息，档案托管等等。</w:t>
            </w:r>
          </w:p>
        </w:tc>
        <w:tc>
          <w:tcPr>
            <w:tcW w:w="1417" w:type="dxa"/>
            <w:vMerge w:val="continue"/>
            <w:tcBorders>
              <w:left w:val="single" w:color="auto" w:sz="4" w:space="0"/>
              <w:right w:val="single" w:color="auto" w:sz="4" w:space="0"/>
            </w:tcBorders>
            <w:vAlign w:val="center"/>
          </w:tcPr>
          <w:p>
            <w:pPr>
              <w:widowControl/>
              <w:spacing w:line="300" w:lineRule="exact"/>
              <w:jc w:val="left"/>
              <w:rPr>
                <w:rFonts w:hint="eastAsia" w:ascii="华文细黑" w:hAnsi="华文细黑" w:eastAsia="华文细黑" w:cs="宋体"/>
                <w:b/>
                <w:kern w:val="0"/>
                <w:szCs w:val="21"/>
              </w:rPr>
            </w:pPr>
          </w:p>
        </w:tc>
        <w:tc>
          <w:tcPr>
            <w:tcW w:w="992" w:type="dxa"/>
            <w:vMerge w:val="continue"/>
            <w:tcBorders>
              <w:left w:val="single" w:color="auto" w:sz="4" w:space="0"/>
              <w:right w:val="single" w:color="auto" w:sz="4" w:space="0"/>
            </w:tcBorders>
            <w:vAlign w:val="center"/>
          </w:tcPr>
          <w:p>
            <w:pPr>
              <w:widowControl/>
              <w:spacing w:line="300" w:lineRule="exact"/>
              <w:jc w:val="left"/>
              <w:rPr>
                <w:rFonts w:ascii="华文细黑" w:hAnsi="华文细黑" w:eastAsia="华文细黑" w:cs="宋体"/>
                <w:b/>
                <w:kern w:val="0"/>
                <w:szCs w:val="21"/>
              </w:rPr>
            </w:pPr>
          </w:p>
        </w:tc>
      </w:tr>
    </w:tbl>
    <w:p>
      <w:pPr>
        <w:spacing w:line="300" w:lineRule="exact"/>
        <w:jc w:val="left"/>
        <w:rPr>
          <w:rFonts w:ascii="华文细黑" w:hAnsi="华文细黑" w:eastAsia="华文细黑"/>
          <w:b/>
          <w:szCs w:val="21"/>
        </w:rPr>
      </w:pPr>
    </w:p>
    <w:sectPr>
      <w:pgSz w:w="16838" w:h="11906" w:orient="landscape"/>
      <w:pgMar w:top="1440" w:right="1077" w:bottom="1440" w:left="1077"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细黑">
    <w:panose1 w:val="02010600040101010101"/>
    <w:charset w:val="86"/>
    <w:family w:val="auto"/>
    <w:pitch w:val="default"/>
    <w:sig w:usb0="00000287" w:usb1="080F0000" w:usb2="00000000" w:usb3="00000000" w:csb0="0004009F" w:csb1="DFD7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1C6E"/>
    <w:rsid w:val="00020FA7"/>
    <w:rsid w:val="000D09DF"/>
    <w:rsid w:val="00264888"/>
    <w:rsid w:val="002D358C"/>
    <w:rsid w:val="005B1C9F"/>
    <w:rsid w:val="007B189F"/>
    <w:rsid w:val="00877C5D"/>
    <w:rsid w:val="008D577D"/>
    <w:rsid w:val="00A51A2E"/>
    <w:rsid w:val="00A96D27"/>
    <w:rsid w:val="00C32E0F"/>
    <w:rsid w:val="00F92D4A"/>
    <w:rsid w:val="00FA1C6E"/>
    <w:rsid w:val="05065269"/>
    <w:rsid w:val="06CF340B"/>
    <w:rsid w:val="07F42E0A"/>
    <w:rsid w:val="08D63F49"/>
    <w:rsid w:val="094B5940"/>
    <w:rsid w:val="0BC11EE9"/>
    <w:rsid w:val="0C14470F"/>
    <w:rsid w:val="0E251FE7"/>
    <w:rsid w:val="10B1077E"/>
    <w:rsid w:val="112C24FB"/>
    <w:rsid w:val="127759F8"/>
    <w:rsid w:val="13521EB6"/>
    <w:rsid w:val="138147AE"/>
    <w:rsid w:val="14DA401C"/>
    <w:rsid w:val="159E4FDB"/>
    <w:rsid w:val="15F17B7B"/>
    <w:rsid w:val="1A2C070D"/>
    <w:rsid w:val="1C850CD8"/>
    <w:rsid w:val="204F6BE8"/>
    <w:rsid w:val="21D73DBD"/>
    <w:rsid w:val="23843AD1"/>
    <w:rsid w:val="262D044F"/>
    <w:rsid w:val="27B16E5E"/>
    <w:rsid w:val="27C5724A"/>
    <w:rsid w:val="2D915768"/>
    <w:rsid w:val="2DE33AEA"/>
    <w:rsid w:val="312C310A"/>
    <w:rsid w:val="350607E9"/>
    <w:rsid w:val="35415CC5"/>
    <w:rsid w:val="3720190B"/>
    <w:rsid w:val="384D672F"/>
    <w:rsid w:val="392751D2"/>
    <w:rsid w:val="3AE84662"/>
    <w:rsid w:val="3B3F0DB1"/>
    <w:rsid w:val="3C5502A8"/>
    <w:rsid w:val="42660B19"/>
    <w:rsid w:val="452F78E8"/>
    <w:rsid w:val="46C73B51"/>
    <w:rsid w:val="46F573B3"/>
    <w:rsid w:val="48D95E07"/>
    <w:rsid w:val="4A201EF6"/>
    <w:rsid w:val="4B4E1007"/>
    <w:rsid w:val="50AC6291"/>
    <w:rsid w:val="51BF1FF4"/>
    <w:rsid w:val="52746345"/>
    <w:rsid w:val="52A631B4"/>
    <w:rsid w:val="53AD2A4B"/>
    <w:rsid w:val="55BF269E"/>
    <w:rsid w:val="58B73A25"/>
    <w:rsid w:val="5A0950C9"/>
    <w:rsid w:val="5A9164F8"/>
    <w:rsid w:val="61A42FB4"/>
    <w:rsid w:val="61CD6067"/>
    <w:rsid w:val="624B51DE"/>
    <w:rsid w:val="63C82F8A"/>
    <w:rsid w:val="6C360CAD"/>
    <w:rsid w:val="71265794"/>
    <w:rsid w:val="714E0847"/>
    <w:rsid w:val="71AD37BF"/>
    <w:rsid w:val="73D56FFD"/>
    <w:rsid w:val="765406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nhideWhenUsed/>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481</Words>
  <Characters>2743</Characters>
  <Lines>22</Lines>
  <Paragraphs>6</Paragraphs>
  <TotalTime>11</TotalTime>
  <ScaleCrop>false</ScaleCrop>
  <LinksUpToDate>false</LinksUpToDate>
  <CharactersWithSpaces>3218</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2021-10-28T00:44:00Z</dcterms:created>
  <dc:creator>86150</dc:creator>
  <cp:lastModifiedBy>dell</cp:lastModifiedBy>
  <dcterms:modified xsi:type="dcterms:W3CDTF">2021-12-13T09:00:39Z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B207640A883A42AB9D746C7852790022</vt:lpwstr>
  </property>
</Properties>
</file>