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6"/>
          <w:szCs w:val="36"/>
          <w:lang w:eastAsia="zh-CN"/>
        </w:rPr>
        <w:t>藁城区区直部门（单位）固定资产占用情况表</w:t>
      </w:r>
    </w:p>
    <w:p>
      <w:pPr>
        <w:ind w:firstLine="5440" w:firstLineChars="17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2020年12月31日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9"/>
        <w:gridCol w:w="1875"/>
        <w:gridCol w:w="21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项目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210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固定资产总额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  <w:tc>
          <w:tcPr>
            <w:tcW w:w="210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85.49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（一）房屋及构筑物（平方米）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1200</w:t>
            </w:r>
          </w:p>
        </w:tc>
        <w:tc>
          <w:tcPr>
            <w:tcW w:w="210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ind w:firstLine="960" w:firstLineChars="300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1200</w:t>
            </w:r>
          </w:p>
        </w:tc>
        <w:tc>
          <w:tcPr>
            <w:tcW w:w="210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（二）通用设备（个、台、辆等）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210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29.27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ind w:firstLine="960" w:firstLineChars="300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1875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08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（三）专用设备（个、台等）</w:t>
            </w:r>
          </w:p>
        </w:tc>
        <w:tc>
          <w:tcPr>
            <w:tcW w:w="1875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08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其中：单价100万（含）以上</w:t>
            </w:r>
          </w:p>
        </w:tc>
        <w:tc>
          <w:tcPr>
            <w:tcW w:w="1875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08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539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（四）其他固定资产</w:t>
            </w:r>
          </w:p>
        </w:tc>
        <w:tc>
          <w:tcPr>
            <w:tcW w:w="1875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08" w:type="dxa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D4022D"/>
    <w:rsid w:val="1F21404D"/>
    <w:rsid w:val="3ED4022D"/>
    <w:rsid w:val="6A44353E"/>
    <w:rsid w:val="6FB52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2021-10-29T07:35:00Z</dcterms:created>
  <dc:creator>Administrator</dc:creator>
  <cp:lastModifiedBy>Administrator</cp:lastModifiedBy>
  <dcterms:modified xsi:type="dcterms:W3CDTF">2021-10-29T09:17:04Z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ADAAC8C05FC84CA89E18F464420EFD61</vt:lpwstr>
  </property>
</Properties>
</file>