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 w:val="0"/>
        <w:wordWrap/>
        <w:adjustRightInd/>
        <w:snapToGrid w:val="0"/>
        <w:spacing w:line="560" w:lineRule="exact"/>
        <w:ind w:left="0" w:leftChars="0" w:right="0"/>
        <w:textAlignment w:val="auto"/>
        <w:outlineLvl w:val="9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附件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3</w:t>
      </w:r>
    </w:p>
    <w:p>
      <w:pPr>
        <w:widowControl w:val="0"/>
        <w:wordWrap/>
        <w:adjustRightInd/>
        <w:snapToGrid w:val="0"/>
        <w:spacing w:line="560" w:lineRule="exact"/>
        <w:ind w:left="0" w:leftChars="0" w:right="0"/>
        <w:jc w:val="center"/>
        <w:textAlignment w:val="auto"/>
        <w:outlineLvl w:val="9"/>
        <w:rPr>
          <w:rFonts w:hint="eastAsia" w:ascii="宋体" w:hAnsi="宋体" w:cs="宋体"/>
          <w:b/>
          <w:bCs/>
          <w:kern w:val="0"/>
          <w:sz w:val="44"/>
          <w:szCs w:val="44"/>
          <w:lang w:eastAsia="zh-CN"/>
        </w:rPr>
      </w:pPr>
      <w:r>
        <w:rPr>
          <w:rFonts w:hint="eastAsia" w:ascii="宋体" w:hAnsi="宋体" w:cs="宋体"/>
          <w:b/>
          <w:bCs/>
          <w:kern w:val="0"/>
          <w:sz w:val="44"/>
          <w:szCs w:val="44"/>
          <w:lang w:eastAsia="zh-CN"/>
        </w:rPr>
        <w:t>石家庄市藁城区供销合作总社</w:t>
      </w:r>
    </w:p>
    <w:p>
      <w:pPr>
        <w:widowControl w:val="0"/>
        <w:wordWrap/>
        <w:adjustRightInd/>
        <w:snapToGrid w:val="0"/>
        <w:spacing w:line="560" w:lineRule="exact"/>
        <w:ind w:left="0" w:leftChars="0" w:right="0"/>
        <w:jc w:val="center"/>
        <w:textAlignment w:val="auto"/>
        <w:outlineLvl w:val="9"/>
        <w:rPr>
          <w:rFonts w:ascii="仿宋" w:hAnsi="仿宋" w:eastAsia="仿宋" w:cs="仿宋"/>
          <w:sz w:val="32"/>
          <w:szCs w:val="32"/>
        </w:rPr>
      </w:pPr>
      <w:bookmarkStart w:id="0" w:name="_GoBack"/>
      <w:bookmarkEnd w:id="0"/>
      <w:r>
        <w:rPr>
          <w:rFonts w:hint="eastAsia" w:ascii="宋体" w:hAnsi="宋体" w:cs="宋体"/>
          <w:b/>
          <w:bCs/>
          <w:kern w:val="0"/>
          <w:sz w:val="44"/>
          <w:szCs w:val="44"/>
        </w:rPr>
        <w:t>部门年度</w:t>
      </w:r>
      <w:r>
        <w:rPr>
          <w:rFonts w:hint="eastAsia" w:ascii="宋体" w:hAnsi="宋体" w:cs="宋体"/>
          <w:b/>
          <w:bCs/>
          <w:sz w:val="44"/>
          <w:szCs w:val="44"/>
        </w:rPr>
        <w:t>绩效自评工作报告</w:t>
      </w:r>
    </w:p>
    <w:p>
      <w:pPr>
        <w:widowControl w:val="0"/>
        <w:wordWrap/>
        <w:adjustRightInd/>
        <w:snapToGrid w:val="0"/>
        <w:spacing w:line="560" w:lineRule="exact"/>
        <w:ind w:left="0" w:leftChars="0" w:right="0" w:firstLine="643" w:firstLineChars="200"/>
        <w:textAlignment w:val="auto"/>
        <w:outlineLvl w:val="9"/>
        <w:rPr>
          <w:rFonts w:ascii="仿宋" w:hAnsi="仿宋" w:eastAsia="仿宋" w:cs="仿宋"/>
          <w:b/>
          <w:sz w:val="32"/>
          <w:szCs w:val="32"/>
        </w:rPr>
      </w:pPr>
    </w:p>
    <w:p>
      <w:pPr>
        <w:widowControl w:val="0"/>
        <w:wordWrap/>
        <w:adjustRightInd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一、绩效自评工作组织开展情况</w:t>
      </w:r>
    </w:p>
    <w:p>
      <w:pPr>
        <w:widowControl w:val="0"/>
        <w:wordWrap/>
        <w:adjustRightInd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2020年我单位安排预算项目4个，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财政拨付项目资金共计242.816078万元。4个项目分别是：(1)</w:t>
      </w:r>
      <w:r>
        <w:rPr>
          <w:rFonts w:hint="eastAsia" w:ascii="仿宋" w:hAnsi="仿宋" w:eastAsia="仿宋"/>
          <w:sz w:val="32"/>
          <w:szCs w:val="32"/>
        </w:rPr>
        <w:t>供销合作总社分流职工工资项目</w:t>
      </w:r>
      <w:r>
        <w:rPr>
          <w:rFonts w:hint="eastAsia" w:ascii="仿宋" w:hAnsi="仿宋" w:eastAsia="仿宋"/>
          <w:sz w:val="32"/>
          <w:szCs w:val="32"/>
          <w:lang w:eastAsia="zh-CN"/>
        </w:rPr>
        <w:t>，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财政拨付项目资金98.26128万元，用于分流职工工资及保险等；(2)</w:t>
      </w:r>
      <w:r>
        <w:rPr>
          <w:rFonts w:hint="eastAsia" w:ascii="仿宋" w:hAnsi="仿宋" w:eastAsia="仿宋"/>
          <w:sz w:val="32"/>
          <w:szCs w:val="32"/>
        </w:rPr>
        <w:t>处置鞭炮公司炮库积存鞭炮资金项目</w:t>
      </w:r>
      <w:r>
        <w:rPr>
          <w:rFonts w:hint="eastAsia" w:ascii="仿宋" w:hAnsi="仿宋" w:eastAsia="仿宋"/>
          <w:sz w:val="32"/>
          <w:szCs w:val="32"/>
          <w:lang w:eastAsia="zh-CN"/>
        </w:rPr>
        <w:t>，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财政拨付项目资金34.8852万元，用于处置鞭炮公司炮库积存鞭炮的费用；(3)</w:t>
      </w:r>
      <w:r>
        <w:rPr>
          <w:rFonts w:hint="eastAsia" w:ascii="仿宋" w:hAnsi="仿宋" w:eastAsia="仿宋"/>
          <w:sz w:val="32"/>
          <w:szCs w:val="32"/>
        </w:rPr>
        <w:t>藁城区农村产权交易中心人员和经费项目</w:t>
      </w:r>
      <w:r>
        <w:rPr>
          <w:rFonts w:hint="eastAsia" w:ascii="仿宋" w:hAnsi="仿宋" w:eastAsia="仿宋"/>
          <w:sz w:val="32"/>
          <w:szCs w:val="32"/>
          <w:lang w:eastAsia="zh-CN"/>
        </w:rPr>
        <w:t>，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财政拨付项目资金52.47977万元，用于组建</w:t>
      </w:r>
      <w:r>
        <w:rPr>
          <w:rFonts w:hint="eastAsia" w:ascii="仿宋" w:hAnsi="仿宋" w:eastAsia="仿宋"/>
          <w:sz w:val="32"/>
          <w:szCs w:val="32"/>
        </w:rPr>
        <w:t>藁城区农村产权交易中心人员和经费</w:t>
      </w:r>
      <w:r>
        <w:rPr>
          <w:rFonts w:hint="eastAsia" w:ascii="仿宋" w:hAnsi="仿宋" w:eastAsia="仿宋"/>
          <w:sz w:val="32"/>
          <w:szCs w:val="32"/>
          <w:lang w:eastAsia="zh-CN"/>
        </w:rPr>
        <w:t>；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(4)</w:t>
      </w:r>
      <w:r>
        <w:rPr>
          <w:rFonts w:hint="eastAsia" w:ascii="仿宋" w:hAnsi="仿宋" w:eastAsia="仿宋"/>
          <w:sz w:val="32"/>
          <w:szCs w:val="32"/>
        </w:rPr>
        <w:t>供销合作总社申请社保资金项目</w:t>
      </w:r>
      <w:r>
        <w:rPr>
          <w:rFonts w:hint="eastAsia" w:ascii="仿宋" w:hAnsi="仿宋" w:eastAsia="仿宋"/>
          <w:sz w:val="32"/>
          <w:szCs w:val="32"/>
          <w:lang w:eastAsia="zh-CN"/>
        </w:rPr>
        <w:t>，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财政拨付项目资金57.189828万元，用于解决欠缴的养老金和职业年金。项目资金均已拨付到位，完成了本年度该项目资金拨付的100%。</w:t>
      </w:r>
    </w:p>
    <w:p>
      <w:pPr>
        <w:widowControl w:val="0"/>
        <w:wordWrap/>
        <w:spacing w:line="560" w:lineRule="exact"/>
        <w:ind w:left="0" w:leftChars="0" w:right="0" w:firstLine="643" w:firstLineChars="200"/>
        <w:textAlignment w:val="auto"/>
        <w:outlineLvl w:val="9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 w:cs="楷体_GB2312"/>
          <w:b/>
          <w:bCs/>
          <w:sz w:val="32"/>
          <w:szCs w:val="32"/>
        </w:rPr>
        <w:t>（一）自评的组织工作</w:t>
      </w:r>
    </w:p>
    <w:p>
      <w:pPr>
        <w:widowControl w:val="0"/>
        <w:wordWrap/>
        <w:spacing w:line="560" w:lineRule="exact"/>
        <w:ind w:left="0" w:leftChars="0" w:right="0" w:firstLine="640"/>
        <w:textAlignment w:val="auto"/>
        <w:outlineLvl w:val="9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一是我单位高度重视项目评价工作，对具体工作做了周密部署，统筹协调各方面力量，促进评价具体工作落实。</w:t>
      </w:r>
    </w:p>
    <w:p>
      <w:pPr>
        <w:widowControl w:val="0"/>
        <w:wordWrap/>
        <w:spacing w:line="560" w:lineRule="exact"/>
        <w:ind w:left="0" w:leftChars="0" w:right="0" w:firstLine="640"/>
        <w:textAlignment w:val="auto"/>
        <w:outlineLvl w:val="9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二是精心组织，密切配合。充分认识和发挥预算绩效管理作用，理顺工作机制，形成工作合力，切实做好预算绩效评价工作。</w:t>
      </w:r>
    </w:p>
    <w:p>
      <w:pPr>
        <w:widowControl w:val="0"/>
        <w:wordWrap/>
        <w:spacing w:line="560" w:lineRule="exact"/>
        <w:ind w:left="0" w:leftChars="0" w:right="0" w:firstLine="640"/>
        <w:textAlignment w:val="auto"/>
        <w:outlineLvl w:val="9"/>
        <w:rPr>
          <w:rFonts w:hint="default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三是积极工作，稳步推进。各相关部门都认真对待，积极探索建立适合本部门实际的绩效运行工作机制。</w:t>
      </w:r>
    </w:p>
    <w:p>
      <w:pPr>
        <w:widowControl w:val="0"/>
        <w:numPr>
          <w:ilvl w:val="0"/>
          <w:numId w:val="1"/>
        </w:numPr>
        <w:wordWrap/>
        <w:spacing w:line="560" w:lineRule="exact"/>
        <w:ind w:left="642" w:leftChars="0" w:right="0" w:firstLine="0" w:firstLineChars="0"/>
        <w:textAlignment w:val="auto"/>
        <w:outlineLvl w:val="9"/>
        <w:rPr>
          <w:rFonts w:hint="default" w:ascii="仿宋" w:hAnsi="仿宋" w:eastAsia="仿宋" w:cs="楷体_GB2312"/>
          <w:b/>
          <w:bCs/>
          <w:sz w:val="32"/>
          <w:szCs w:val="32"/>
          <w:lang w:val="en-US" w:eastAsia="zh-CN"/>
        </w:rPr>
      </w:pPr>
      <w:r>
        <w:rPr>
          <w:rFonts w:hint="eastAsia" w:ascii="仿宋" w:hAnsi="仿宋" w:eastAsia="仿宋" w:cs="楷体_GB2312"/>
          <w:b/>
          <w:bCs/>
          <w:sz w:val="32"/>
          <w:szCs w:val="32"/>
        </w:rPr>
        <w:t>自评的方法和过程</w:t>
      </w:r>
    </w:p>
    <w:p>
      <w:pPr>
        <w:widowControl w:val="0"/>
        <w:numPr>
          <w:ilvl w:val="0"/>
          <w:numId w:val="0"/>
        </w:numPr>
        <w:wordWrap/>
        <w:spacing w:line="560" w:lineRule="exact"/>
        <w:ind w:left="642" w:leftChars="0" w:right="0" w:rightChars="0"/>
        <w:textAlignment w:val="auto"/>
        <w:outlineLvl w:val="9"/>
        <w:rPr>
          <w:rFonts w:hint="eastAsia" w:ascii="仿宋" w:hAnsi="仿宋" w:eastAsia="仿宋"/>
          <w:sz w:val="32"/>
          <w:szCs w:val="32"/>
          <w:lang w:eastAsia="zh-CN"/>
        </w:rPr>
      </w:pPr>
      <w:r>
        <w:rPr>
          <w:rFonts w:hint="eastAsia" w:ascii="仿宋" w:hAnsi="仿宋" w:eastAsia="仿宋"/>
          <w:sz w:val="32"/>
          <w:szCs w:val="32"/>
          <w:lang w:eastAsia="zh-CN"/>
        </w:rPr>
        <w:t>项目评价方法为比较法。</w:t>
      </w:r>
    </w:p>
    <w:p>
      <w:pPr>
        <w:widowControl w:val="0"/>
        <w:numPr>
          <w:ilvl w:val="0"/>
          <w:numId w:val="0"/>
        </w:numPr>
        <w:wordWrap/>
        <w:spacing w:line="560" w:lineRule="exact"/>
        <w:ind w:left="642" w:leftChars="0" w:right="0" w:rightChars="0"/>
        <w:textAlignment w:val="auto"/>
        <w:outlineLvl w:val="9"/>
        <w:rPr>
          <w:rFonts w:hint="eastAsia" w:ascii="仿宋" w:hAnsi="仿宋" w:eastAsia="仿宋"/>
          <w:sz w:val="32"/>
          <w:szCs w:val="32"/>
          <w:lang w:eastAsia="zh-CN"/>
        </w:rPr>
      </w:pPr>
      <w:r>
        <w:rPr>
          <w:rFonts w:hint="eastAsia" w:ascii="仿宋" w:hAnsi="仿宋" w:eastAsia="仿宋"/>
          <w:sz w:val="32"/>
          <w:szCs w:val="32"/>
          <w:lang w:eastAsia="zh-CN"/>
        </w:rPr>
        <w:t>绩效评价工作过程：</w:t>
      </w:r>
    </w:p>
    <w:p>
      <w:pPr>
        <w:widowControl w:val="0"/>
        <w:numPr>
          <w:ilvl w:val="0"/>
          <w:numId w:val="0"/>
        </w:numPr>
        <w:wordWrap/>
        <w:spacing w:line="560" w:lineRule="exact"/>
        <w:ind w:right="0" w:rightChars="0" w:firstLine="640" w:firstLineChars="200"/>
        <w:textAlignment w:val="auto"/>
        <w:outlineLvl w:val="9"/>
        <w:rPr>
          <w:rFonts w:hint="eastAsia" w:ascii="仿宋" w:hAnsi="仿宋" w:eastAsia="仿宋"/>
          <w:sz w:val="32"/>
          <w:szCs w:val="32"/>
          <w:lang w:eastAsia="zh-CN"/>
        </w:rPr>
      </w:pPr>
      <w:r>
        <w:rPr>
          <w:rFonts w:hint="eastAsia" w:ascii="仿宋" w:hAnsi="仿宋" w:eastAsia="仿宋"/>
          <w:sz w:val="32"/>
          <w:szCs w:val="32"/>
          <w:lang w:eastAsia="zh-CN"/>
        </w:rPr>
        <w:t>一是前期准备，学习有关政策，收集项目立项申报材料确保项目评价工作顺利开展。</w:t>
      </w:r>
    </w:p>
    <w:p>
      <w:pPr>
        <w:widowControl w:val="0"/>
        <w:numPr>
          <w:ilvl w:val="0"/>
          <w:numId w:val="0"/>
        </w:numPr>
        <w:wordWrap/>
        <w:spacing w:line="560" w:lineRule="exact"/>
        <w:ind w:right="0" w:rightChars="0" w:firstLine="640" w:firstLineChars="200"/>
        <w:textAlignment w:val="auto"/>
        <w:outlineLvl w:val="9"/>
        <w:rPr>
          <w:rFonts w:hint="eastAsia" w:ascii="仿宋" w:hAnsi="仿宋" w:eastAsia="仿宋"/>
          <w:sz w:val="32"/>
          <w:szCs w:val="32"/>
          <w:lang w:eastAsia="zh-CN"/>
        </w:rPr>
      </w:pPr>
      <w:r>
        <w:rPr>
          <w:rFonts w:hint="eastAsia" w:ascii="仿宋" w:hAnsi="仿宋" w:eastAsia="仿宋"/>
          <w:sz w:val="32"/>
          <w:szCs w:val="32"/>
          <w:lang w:eastAsia="zh-CN"/>
        </w:rPr>
        <w:t>二是组织实施，拟定详细工作方案，包括评价内容、评价方法、时间安排、工作步骤、工作要求等。</w:t>
      </w:r>
    </w:p>
    <w:p>
      <w:pPr>
        <w:widowControl w:val="0"/>
        <w:numPr>
          <w:ilvl w:val="0"/>
          <w:numId w:val="0"/>
        </w:numPr>
        <w:wordWrap/>
        <w:spacing w:line="560" w:lineRule="exact"/>
        <w:ind w:right="0" w:rightChars="0"/>
        <w:textAlignment w:val="auto"/>
        <w:outlineLvl w:val="9"/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 xml:space="preserve">    三是分析评价，通过分析相关资料，听取项目介绍、实地勘察等评价举措，再对照评价指标和评价标准进行评分，确保评价结果客观公正。</w:t>
      </w:r>
    </w:p>
    <w:p>
      <w:pPr>
        <w:widowControl w:val="0"/>
        <w:wordWrap/>
        <w:adjustRightInd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二、绩效目标实现情况</w:t>
      </w:r>
    </w:p>
    <w:p>
      <w:pPr>
        <w:widowControl w:val="0"/>
        <w:wordWrap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eastAsia="zh-CN"/>
        </w:rPr>
        <w:t>年初预算安排供销合作总社分流职工工资项目资金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98.26128万元已拨付到位，完成了本年度该项目资金拨付的100%。</w:t>
      </w:r>
      <w:r>
        <w:rPr>
          <w:rFonts w:hint="eastAsia" w:ascii="仿宋" w:hAnsi="仿宋" w:eastAsia="仿宋"/>
          <w:sz w:val="32"/>
          <w:szCs w:val="32"/>
        </w:rPr>
        <w:t>项目预期绩效总目标</w:t>
      </w:r>
      <w:r>
        <w:rPr>
          <w:rFonts w:hint="eastAsia" w:ascii="仿宋" w:hAnsi="仿宋" w:eastAsia="仿宋"/>
          <w:sz w:val="32"/>
          <w:szCs w:val="32"/>
          <w:lang w:eastAsia="zh-CN"/>
        </w:rPr>
        <w:t>：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及时发放分流职工的工资和缴纳社保费用，保障分流职工的利益。覆盖分流职工人数24人，工资发放率100%，拨付及时率100%，按标准拨付。开展工作情况，能够顺利开展各项工作，职工满意度达95%以上。</w:t>
      </w:r>
    </w:p>
    <w:p>
      <w:pPr>
        <w:widowControl w:val="0"/>
        <w:wordWrap/>
        <w:spacing w:line="560" w:lineRule="exact"/>
        <w:ind w:right="0" w:firstLine="640" w:firstLineChars="200"/>
        <w:textAlignment w:val="auto"/>
        <w:outlineLvl w:val="9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eastAsia="zh-CN"/>
        </w:rPr>
        <w:t>年初预算安排</w:t>
      </w:r>
      <w:r>
        <w:rPr>
          <w:rFonts w:hint="eastAsia" w:ascii="仿宋" w:hAnsi="仿宋" w:eastAsia="仿宋"/>
          <w:sz w:val="32"/>
          <w:szCs w:val="32"/>
        </w:rPr>
        <w:t>处置鞭炮公司炮库积存鞭炮资金项目</w:t>
      </w:r>
      <w:r>
        <w:rPr>
          <w:rFonts w:hint="eastAsia" w:ascii="仿宋" w:hAnsi="仿宋" w:eastAsia="仿宋"/>
          <w:sz w:val="32"/>
          <w:szCs w:val="32"/>
          <w:lang w:eastAsia="zh-CN"/>
        </w:rPr>
        <w:t>资金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34.8852万元已拨付到位，完成了本年度该项目资金拨付的100%。</w:t>
      </w:r>
      <w:r>
        <w:rPr>
          <w:rFonts w:hint="eastAsia" w:ascii="仿宋" w:hAnsi="仿宋" w:eastAsia="仿宋"/>
          <w:sz w:val="32"/>
          <w:szCs w:val="32"/>
        </w:rPr>
        <w:t>项目预期绩效总目标</w:t>
      </w:r>
      <w:r>
        <w:rPr>
          <w:rFonts w:hint="eastAsia" w:ascii="仿宋" w:hAnsi="仿宋" w:eastAsia="仿宋"/>
          <w:sz w:val="32"/>
          <w:szCs w:val="32"/>
          <w:lang w:eastAsia="zh-CN"/>
        </w:rPr>
        <w:t>：</w:t>
      </w:r>
      <w:r>
        <w:rPr>
          <w:rFonts w:hint="eastAsia" w:ascii="仿宋" w:hAnsi="仿宋" w:eastAsia="仿宋"/>
          <w:sz w:val="32"/>
          <w:szCs w:val="32"/>
        </w:rPr>
        <w:t>鞭炮公司库存全部清理完毕。推动炮库拆除工作顺利进行。</w:t>
      </w:r>
      <w:r>
        <w:rPr>
          <w:rFonts w:hint="eastAsia" w:ascii="仿宋" w:hAnsi="仿宋" w:eastAsia="仿宋"/>
          <w:sz w:val="32"/>
          <w:szCs w:val="32"/>
          <w:lang w:eastAsia="zh-CN"/>
        </w:rPr>
        <w:t>拆除炮库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1个，退还厂家6个，拨付及时率达到100%，各项工作能够顺利开展。</w:t>
      </w:r>
    </w:p>
    <w:p>
      <w:pPr>
        <w:widowControl w:val="0"/>
        <w:wordWrap/>
        <w:adjustRightInd w:val="0"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default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eastAsia="zh-CN"/>
        </w:rPr>
        <w:t>年初预算安排</w:t>
      </w:r>
      <w:r>
        <w:rPr>
          <w:rFonts w:hint="eastAsia" w:ascii="仿宋" w:hAnsi="仿宋" w:eastAsia="仿宋"/>
          <w:sz w:val="32"/>
          <w:szCs w:val="32"/>
        </w:rPr>
        <w:t>藁城区农村产权交易中心人员和经费</w:t>
      </w:r>
      <w:r>
        <w:rPr>
          <w:rFonts w:hint="eastAsia" w:ascii="仿宋" w:hAnsi="仿宋" w:eastAsia="仿宋"/>
          <w:sz w:val="32"/>
          <w:szCs w:val="32"/>
          <w:lang w:eastAsia="zh-CN"/>
        </w:rPr>
        <w:t>项目资金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52.47977万元已拨付到位，完成了本年度该项目资金拨付的100%。</w:t>
      </w:r>
      <w:r>
        <w:rPr>
          <w:rFonts w:hint="eastAsia" w:ascii="仿宋" w:hAnsi="仿宋" w:eastAsia="仿宋"/>
          <w:sz w:val="32"/>
          <w:szCs w:val="32"/>
        </w:rPr>
        <w:t>项目预期绩效总目标</w:t>
      </w:r>
      <w:r>
        <w:rPr>
          <w:rFonts w:hint="eastAsia" w:ascii="仿宋" w:hAnsi="仿宋" w:eastAsia="仿宋"/>
          <w:sz w:val="32"/>
          <w:szCs w:val="32"/>
          <w:lang w:eastAsia="zh-CN"/>
        </w:rPr>
        <w:t>：</w:t>
      </w:r>
      <w:r>
        <w:rPr>
          <w:rFonts w:hint="eastAsia" w:ascii="仿宋" w:hAnsi="仿宋" w:eastAsia="仿宋"/>
          <w:sz w:val="32"/>
          <w:szCs w:val="32"/>
        </w:rPr>
        <w:t>组建完成藁城区农村产权交易区、乡、村三级平台。实现农村产权交易平台正常运营。</w:t>
      </w:r>
      <w:r>
        <w:rPr>
          <w:rFonts w:hint="eastAsia" w:ascii="仿宋" w:hAnsi="仿宋" w:eastAsia="仿宋"/>
          <w:sz w:val="32"/>
          <w:szCs w:val="32"/>
          <w:lang w:eastAsia="zh-CN"/>
        </w:rPr>
        <w:t>农村产权交易区、乡、村三级平台个数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241个，拨付及时率达到100%，实现农村集体资产保值增值，为农村产权交易提供服务平台，各项工作能够顺利开展。平台服务满意度96%以上。</w:t>
      </w:r>
    </w:p>
    <w:p>
      <w:pPr>
        <w:widowControl w:val="0"/>
        <w:wordWrap/>
        <w:adjustRightInd w:val="0"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  <w:lang w:eastAsia="zh-CN"/>
        </w:rPr>
        <w:t>年初预算安排</w:t>
      </w:r>
      <w:r>
        <w:rPr>
          <w:rFonts w:hint="eastAsia" w:ascii="仿宋" w:hAnsi="仿宋" w:eastAsia="仿宋"/>
          <w:sz w:val="32"/>
          <w:szCs w:val="32"/>
        </w:rPr>
        <w:t>供销合作总社申请社保资金项目</w:t>
      </w:r>
      <w:r>
        <w:rPr>
          <w:rFonts w:hint="eastAsia" w:ascii="仿宋" w:hAnsi="仿宋" w:eastAsia="仿宋"/>
          <w:sz w:val="32"/>
          <w:szCs w:val="32"/>
          <w:lang w:eastAsia="zh-CN"/>
        </w:rPr>
        <w:t>资金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57.189828万元已拨付到位，完成了本年度该项目资金拨付的100%。</w:t>
      </w:r>
      <w:r>
        <w:rPr>
          <w:rFonts w:hint="eastAsia" w:ascii="仿宋" w:hAnsi="仿宋" w:eastAsia="仿宋"/>
          <w:sz w:val="32"/>
          <w:szCs w:val="32"/>
        </w:rPr>
        <w:t>项目预期绩效总目标</w:t>
      </w:r>
      <w:r>
        <w:rPr>
          <w:rFonts w:hint="eastAsia" w:ascii="仿宋" w:hAnsi="仿宋" w:eastAsia="仿宋"/>
          <w:sz w:val="32"/>
          <w:szCs w:val="32"/>
          <w:lang w:eastAsia="zh-CN"/>
        </w:rPr>
        <w:t>：</w:t>
      </w:r>
      <w:r>
        <w:rPr>
          <w:rFonts w:hint="eastAsia" w:ascii="仿宋" w:hAnsi="仿宋" w:eastAsia="仿宋"/>
          <w:sz w:val="32"/>
          <w:szCs w:val="32"/>
        </w:rPr>
        <w:t>清理、缴纳单位欠缴的机关事业养老金和职业年金，维护机关职工稳定。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缴纳养老保险完成率100%，缴纳职业年金完成率100%，拨付及时率达到100%，按标准拨付，各项工作顺利开展，职工满意度95%以上。</w:t>
      </w:r>
    </w:p>
    <w:p>
      <w:pPr>
        <w:widowControl w:val="0"/>
        <w:wordWrap/>
        <w:adjustRightInd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三、绩效目标设定质量情况</w:t>
      </w:r>
    </w:p>
    <w:p>
      <w:pPr>
        <w:widowControl w:val="0"/>
        <w:wordWrap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  <w:lang w:eastAsia="zh-CN"/>
        </w:rPr>
        <w:t>供销合作总社分流职工工资项目资金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98.26128万元已拨付到位，完成了本年度该项目资金拨付的100%，得分10分。</w:t>
      </w:r>
      <w:r>
        <w:rPr>
          <w:rFonts w:hint="eastAsia" w:ascii="仿宋" w:hAnsi="仿宋" w:eastAsia="仿宋"/>
          <w:sz w:val="32"/>
          <w:szCs w:val="32"/>
          <w:lang w:eastAsia="zh-CN"/>
        </w:rPr>
        <w:t>产出指标满分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40分，得40分。其中数量指标：覆盖人数24人，得10分。质量指标：工资发放率100%，得10分。时效指标：拨付及时率100%，得10分。成本指标：按标准拨付，得10分。</w:t>
      </w:r>
      <w:r>
        <w:rPr>
          <w:rFonts w:hint="eastAsia" w:ascii="仿宋" w:hAnsi="仿宋" w:eastAsia="仿宋"/>
          <w:sz w:val="32"/>
          <w:szCs w:val="32"/>
          <w:lang w:eastAsia="zh-CN"/>
        </w:rPr>
        <w:t>效益指标满分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40分，得36分。其中社会效益指标：开展工作情况，能够顺利开展各项工作，得36分。</w:t>
      </w:r>
      <w:r>
        <w:rPr>
          <w:rFonts w:hint="eastAsia" w:ascii="仿宋" w:hAnsi="仿宋" w:eastAsia="仿宋"/>
          <w:sz w:val="32"/>
          <w:szCs w:val="32"/>
          <w:lang w:eastAsia="zh-CN"/>
        </w:rPr>
        <w:t>满意度指标满分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10分，得10分。职工满意度达95%以上。</w:t>
      </w:r>
      <w:r>
        <w:rPr>
          <w:rFonts w:hint="eastAsia" w:ascii="仿宋" w:hAnsi="仿宋" w:eastAsia="仿宋"/>
          <w:sz w:val="32"/>
          <w:szCs w:val="32"/>
          <w:lang w:eastAsia="zh-CN"/>
        </w:rPr>
        <w:t>该项目</w:t>
      </w:r>
      <w:r>
        <w:rPr>
          <w:rFonts w:hint="eastAsia" w:ascii="仿宋" w:hAnsi="仿宋" w:eastAsia="仿宋"/>
          <w:sz w:val="32"/>
          <w:szCs w:val="32"/>
        </w:rPr>
        <w:t>指标体系设定满分100分，</w:t>
      </w:r>
      <w:r>
        <w:rPr>
          <w:rFonts w:hint="eastAsia" w:ascii="仿宋" w:hAnsi="仿宋" w:eastAsia="仿宋"/>
          <w:sz w:val="32"/>
          <w:szCs w:val="32"/>
          <w:lang w:eastAsia="zh-CN"/>
        </w:rPr>
        <w:t>得分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96分。</w:t>
      </w:r>
      <w:r>
        <w:rPr>
          <w:rFonts w:hint="eastAsia" w:ascii="仿宋" w:hAnsi="仿宋" w:eastAsia="仿宋"/>
          <w:sz w:val="32"/>
          <w:szCs w:val="32"/>
        </w:rPr>
        <w:t>项目综合绩效评价等级为优秀。</w:t>
      </w:r>
    </w:p>
    <w:p>
      <w:pPr>
        <w:widowControl w:val="0"/>
        <w:wordWrap/>
        <w:spacing w:line="560" w:lineRule="exact"/>
        <w:ind w:left="0" w:leftChars="0" w:right="0" w:firstLine="640" w:firstLineChars="200"/>
        <w:textAlignment w:val="auto"/>
        <w:outlineLvl w:val="9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处置鞭炮公司炮库积存鞭炮资金项目</w:t>
      </w:r>
      <w:r>
        <w:rPr>
          <w:rFonts w:hint="eastAsia" w:ascii="仿宋" w:hAnsi="仿宋" w:eastAsia="仿宋"/>
          <w:sz w:val="32"/>
          <w:szCs w:val="32"/>
          <w:lang w:eastAsia="zh-CN"/>
        </w:rPr>
        <w:t>资金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34.8852万元已拨付到位，完成了本年度该项目资金拨付的100%，得分10分。</w:t>
      </w:r>
      <w:r>
        <w:rPr>
          <w:rFonts w:hint="eastAsia" w:ascii="仿宋" w:hAnsi="仿宋" w:eastAsia="仿宋"/>
          <w:sz w:val="32"/>
          <w:szCs w:val="32"/>
          <w:lang w:eastAsia="zh-CN"/>
        </w:rPr>
        <w:t>产出指标满分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40分，得40分。其中数量指标：拆除炮库1个，得20分；退还厂家6个，得10分。时效指标：拨付及时率100%，得10分。</w:t>
      </w:r>
      <w:r>
        <w:rPr>
          <w:rFonts w:hint="eastAsia" w:ascii="仿宋" w:hAnsi="仿宋" w:eastAsia="仿宋"/>
          <w:sz w:val="32"/>
          <w:szCs w:val="32"/>
          <w:lang w:eastAsia="zh-CN"/>
        </w:rPr>
        <w:t>效益指标满分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50分，得48分。其中社会效益指标：炮库拆除完毕，得20分；可持续影响指标：能够顺利开展各项工作，得28分。</w:t>
      </w:r>
      <w:r>
        <w:rPr>
          <w:rFonts w:hint="eastAsia" w:ascii="仿宋" w:hAnsi="仿宋" w:eastAsia="仿宋"/>
          <w:sz w:val="32"/>
          <w:szCs w:val="32"/>
          <w:lang w:eastAsia="zh-CN"/>
        </w:rPr>
        <w:t>该项目</w:t>
      </w:r>
      <w:r>
        <w:rPr>
          <w:rFonts w:hint="eastAsia" w:ascii="仿宋" w:hAnsi="仿宋" w:eastAsia="仿宋"/>
          <w:sz w:val="32"/>
          <w:szCs w:val="32"/>
        </w:rPr>
        <w:t>指标体系设定满分100分，</w:t>
      </w:r>
      <w:r>
        <w:rPr>
          <w:rFonts w:hint="eastAsia" w:ascii="仿宋" w:hAnsi="仿宋" w:eastAsia="仿宋"/>
          <w:sz w:val="32"/>
          <w:szCs w:val="32"/>
          <w:lang w:eastAsia="zh-CN"/>
        </w:rPr>
        <w:t>得分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98分。</w:t>
      </w:r>
      <w:r>
        <w:rPr>
          <w:rFonts w:hint="eastAsia" w:ascii="仿宋" w:hAnsi="仿宋" w:eastAsia="仿宋"/>
          <w:sz w:val="32"/>
          <w:szCs w:val="32"/>
        </w:rPr>
        <w:t>项目综合绩效评价等级为优秀。</w:t>
      </w:r>
    </w:p>
    <w:p>
      <w:pPr>
        <w:widowControl w:val="0"/>
        <w:wordWrap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</w:rPr>
        <w:t>藁城区农村产权交易中心人员和经费项目</w:t>
      </w:r>
      <w:r>
        <w:rPr>
          <w:rFonts w:hint="eastAsia" w:ascii="仿宋" w:hAnsi="仿宋" w:eastAsia="仿宋"/>
          <w:sz w:val="32"/>
          <w:szCs w:val="32"/>
          <w:lang w:eastAsia="zh-CN"/>
        </w:rPr>
        <w:t>资金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52.47977万元已拨付到位，完成了本年度该项目资金拨付的100%，得分10分。</w:t>
      </w:r>
      <w:r>
        <w:rPr>
          <w:rFonts w:hint="eastAsia" w:ascii="仿宋" w:hAnsi="仿宋" w:eastAsia="仿宋"/>
          <w:sz w:val="32"/>
          <w:szCs w:val="32"/>
          <w:lang w:eastAsia="zh-CN"/>
        </w:rPr>
        <w:t>产出指标满分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40分，得40分。其中数量指标：农村产权交易区乡村三级平台个数241个，得20分。时效指标：拨付及时率100%，得20分。</w:t>
      </w:r>
      <w:r>
        <w:rPr>
          <w:rFonts w:hint="eastAsia" w:ascii="仿宋" w:hAnsi="仿宋" w:eastAsia="仿宋"/>
          <w:sz w:val="32"/>
          <w:szCs w:val="32"/>
          <w:lang w:eastAsia="zh-CN"/>
        </w:rPr>
        <w:t>效益指标满分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40分，得38分。其中社会效益指标：实现农村集体资产保值增值，为农村产权交易提供服务平台，得10分。可持续影响指标：开展工作情况，能够顺利开展各项工作，得28分。</w:t>
      </w:r>
      <w:r>
        <w:rPr>
          <w:rFonts w:hint="eastAsia" w:ascii="仿宋" w:hAnsi="仿宋" w:eastAsia="仿宋"/>
          <w:sz w:val="32"/>
          <w:szCs w:val="32"/>
          <w:lang w:eastAsia="zh-CN"/>
        </w:rPr>
        <w:t>满意度指标满分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10分，得10分。职工满意度达96%以上。</w:t>
      </w:r>
      <w:r>
        <w:rPr>
          <w:rFonts w:hint="eastAsia" w:ascii="仿宋" w:hAnsi="仿宋" w:eastAsia="仿宋"/>
          <w:sz w:val="32"/>
          <w:szCs w:val="32"/>
          <w:lang w:eastAsia="zh-CN"/>
        </w:rPr>
        <w:t>该项目</w:t>
      </w:r>
      <w:r>
        <w:rPr>
          <w:rFonts w:hint="eastAsia" w:ascii="仿宋" w:hAnsi="仿宋" w:eastAsia="仿宋"/>
          <w:sz w:val="32"/>
          <w:szCs w:val="32"/>
        </w:rPr>
        <w:t>指标体系设定满分100分，</w:t>
      </w:r>
      <w:r>
        <w:rPr>
          <w:rFonts w:hint="eastAsia" w:ascii="仿宋" w:hAnsi="仿宋" w:eastAsia="仿宋"/>
          <w:sz w:val="32"/>
          <w:szCs w:val="32"/>
          <w:lang w:eastAsia="zh-CN"/>
        </w:rPr>
        <w:t>得分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98分。</w:t>
      </w:r>
      <w:r>
        <w:rPr>
          <w:rFonts w:hint="eastAsia" w:ascii="仿宋" w:hAnsi="仿宋" w:eastAsia="仿宋"/>
          <w:sz w:val="32"/>
          <w:szCs w:val="32"/>
        </w:rPr>
        <w:t>项目综合绩效评价等级为优秀。</w:t>
      </w:r>
    </w:p>
    <w:p>
      <w:pPr>
        <w:widowControl w:val="0"/>
        <w:wordWrap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供销合作总社申请社保资金项目</w:t>
      </w:r>
      <w:r>
        <w:rPr>
          <w:rFonts w:hint="eastAsia" w:ascii="仿宋" w:hAnsi="仿宋" w:eastAsia="仿宋"/>
          <w:sz w:val="32"/>
          <w:szCs w:val="32"/>
          <w:lang w:eastAsia="zh-CN"/>
        </w:rPr>
        <w:t>资金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57.189828万元已拨付到位，完成了本年度该项目资金拨付的100%，得分10分。</w:t>
      </w:r>
      <w:r>
        <w:rPr>
          <w:rFonts w:hint="eastAsia" w:ascii="仿宋" w:hAnsi="仿宋" w:eastAsia="仿宋"/>
          <w:sz w:val="32"/>
          <w:szCs w:val="32"/>
          <w:lang w:eastAsia="zh-CN"/>
        </w:rPr>
        <w:t>产出指标满分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40分，得40分。其中质量指标：缴纳养老保险完成率100%，得10分；缴纳职业年金完成率100%，得10分。时效指标：拨付及时率100%，得10分。成本指标：按标准拨付缴纳，得10分。</w:t>
      </w:r>
      <w:r>
        <w:rPr>
          <w:rFonts w:hint="eastAsia" w:ascii="仿宋" w:hAnsi="仿宋" w:eastAsia="仿宋"/>
          <w:sz w:val="32"/>
          <w:szCs w:val="32"/>
          <w:lang w:eastAsia="zh-CN"/>
        </w:rPr>
        <w:t>效益指标满分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40分，得38分。其中社会效益指标：开展工作情况，能够顺利开展各项工作，得38分。</w:t>
      </w:r>
      <w:r>
        <w:rPr>
          <w:rFonts w:hint="eastAsia" w:ascii="仿宋" w:hAnsi="仿宋" w:eastAsia="仿宋"/>
          <w:sz w:val="32"/>
          <w:szCs w:val="32"/>
          <w:lang w:eastAsia="zh-CN"/>
        </w:rPr>
        <w:t>满意度指标满分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10分，得10分。职工满意度达95%以上。</w:t>
      </w:r>
      <w:r>
        <w:rPr>
          <w:rFonts w:hint="eastAsia" w:ascii="仿宋" w:hAnsi="仿宋" w:eastAsia="仿宋"/>
          <w:sz w:val="32"/>
          <w:szCs w:val="32"/>
          <w:lang w:eastAsia="zh-CN"/>
        </w:rPr>
        <w:t>该项目</w:t>
      </w:r>
      <w:r>
        <w:rPr>
          <w:rFonts w:hint="eastAsia" w:ascii="仿宋" w:hAnsi="仿宋" w:eastAsia="仿宋"/>
          <w:sz w:val="32"/>
          <w:szCs w:val="32"/>
        </w:rPr>
        <w:t>指标体系设定满分100分，</w:t>
      </w:r>
      <w:r>
        <w:rPr>
          <w:rFonts w:hint="eastAsia" w:ascii="仿宋" w:hAnsi="仿宋" w:eastAsia="仿宋"/>
          <w:sz w:val="32"/>
          <w:szCs w:val="32"/>
          <w:lang w:eastAsia="zh-CN"/>
        </w:rPr>
        <w:t>得分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98分。</w:t>
      </w:r>
      <w:r>
        <w:rPr>
          <w:rFonts w:hint="eastAsia" w:ascii="仿宋" w:hAnsi="仿宋" w:eastAsia="仿宋"/>
          <w:sz w:val="32"/>
          <w:szCs w:val="32"/>
        </w:rPr>
        <w:t>项目综合绩效评价等级为优秀。</w:t>
      </w:r>
    </w:p>
    <w:p>
      <w:pPr>
        <w:widowControl w:val="0"/>
        <w:wordWrap/>
        <w:adjustRightInd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四、整改措施及结果应用</w:t>
      </w:r>
    </w:p>
    <w:p>
      <w:pPr>
        <w:widowControl w:val="0"/>
        <w:wordWrap/>
        <w:adjustRightInd/>
        <w:snapToGrid w:val="0"/>
        <w:spacing w:line="560" w:lineRule="exact"/>
        <w:ind w:right="0" w:firstLine="640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  <w:lang w:eastAsia="zh-CN"/>
        </w:rPr>
        <w:t>预算绩效管理理念有待强化，提高绩效管理水平，促进各项工作顺利开展。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进一步按照绩效管理的要求，在实施过程中遵循“实事求是、尊重客观、力求精准”的原则，使项目资金落到实处。</w:t>
      </w:r>
    </w:p>
    <w:sectPr>
      <w:headerReference r:id="rId3" w:type="default"/>
      <w:footerReference r:id="rId4" w:type="default"/>
      <w:pgSz w:w="11906" w:h="16838"/>
      <w:pgMar w:top="2041" w:right="1304" w:bottom="1701" w:left="1531" w:header="851" w:footer="992" w:gutter="0"/>
      <w:pgNumType w:fmt="numberInDash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r>
      <w:rPr>
        <w:rFonts w:ascii="Times New Roman" w:hAnsi="Times New Roman" w:eastAsia="宋体" w:cs="Times New Roman"/>
        <w:kern w:val="2"/>
        <w:sz w:val="21"/>
        <w:szCs w:val="24"/>
        <w:lang w:val="en-US" w:eastAsia="zh-CN" w:bidi="ar-SA"/>
      </w:rPr>
      <w:pict>
        <v:shape id="Quad Arrow 3073" o:spid="_x0000_s4097" o:spt="202" type="#_x0000_t202" style="position:absolute;left:0pt;margin-top:0pt;height:144pt;width:144pt;mso-position-horizontal:center;mso-position-horizontal-relative:margin;mso-wrap-style:none;z-index:251658240;mso-width-relative:page;mso-height-relative:page;" fillcolor="#FFFFFF" filled="f" o:preferrelative="t" stroked="f" coordsize="21600,21600">
          <v:path/>
          <v:fill on="f" color2="#FFFFFF" focussize="0,0"/>
          <v:stroke on="f"/>
          <v:imagedata gain="65536f" blacklevel="0f" gamma="0" o:title=""/>
          <o:lock v:ext="edit" position="f" selection="f" grouping="f" rotation="f" cropping="f" text="f" aspectratio="f"/>
          <v:textbox inset="0mm,0mm,0mm,0mm" style="mso-fit-shape-to-text:t;">
            <w:txbxContent>
              <w:p>
                <w:pPr>
                  <w:snapToGrid w:val="0"/>
                  <w:rPr>
                    <w:sz w:val="18"/>
                  </w:rPr>
                </w:pPr>
                <w:r>
                  <w:rPr>
                    <w:rFonts w:hint="eastAsia"/>
                    <w:sz w:val="18"/>
                  </w:rPr>
                  <w:fldChar w:fldCharType="begin"/>
                </w:r>
                <w:r>
                  <w:rPr>
                    <w:rFonts w:hint="eastAsia"/>
                    <w:sz w:val="18"/>
                  </w:rPr>
                  <w:instrText xml:space="preserve"> PAGE  \* MERGEFORMAT </w:instrText>
                </w:r>
                <w:r>
                  <w:rPr>
                    <w:rFonts w:hint="eastAsia"/>
                    <w:sz w:val="18"/>
                  </w:rPr>
                  <w:fldChar w:fldCharType="separate"/>
                </w:r>
                <w:r>
                  <w:t>- 1 -</w:t>
                </w:r>
                <w:r>
                  <w:rPr>
                    <w:rFonts w:hint="eastAsia"/>
                    <w:sz w:val="18"/>
                  </w:rPr>
                  <w:fldChar w:fldCharType="end"/>
                </w:r>
              </w:p>
            </w:txbxContent>
          </v:textbox>
        </v:shape>
      </w:pic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pBdr>
        <w:bottom w:val="none" w:color="auto" w:sz="0" w:space="1"/>
      </w:pBd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B3FC8F9E"/>
    <w:multiLevelType w:val="singleLevel"/>
    <w:tmpl w:val="B3FC8F9E"/>
    <w:lvl w:ilvl="0" w:tentative="0">
      <w:start w:val="2"/>
      <w:numFmt w:val="chineseCounting"/>
      <w:suff w:val="nothing"/>
      <w:lvlText w:val="（%1）"/>
      <w:lvlJc w:val="left"/>
      <w:pPr>
        <w:ind w:left="642" w:leftChars="0" w:firstLine="0" w:firstLineChars="0"/>
      </w:pPr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3,4"/>
    </o:shapelayout>
  </w:hdrShapeDefaults>
  <w:compat>
    <w:spaceForUL/>
    <w:balanceSingleByteDoubleByteWidth/>
    <w:doNotLeaveBackslashAlone/>
    <w:ulTrailSpace/>
    <w:doNotExpandShiftReturn/>
    <w:adjustLineHeightInTable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EF16A3"/>
    <w:rsid w:val="000D193E"/>
    <w:rsid w:val="000D29F1"/>
    <w:rsid w:val="001627CF"/>
    <w:rsid w:val="001646B1"/>
    <w:rsid w:val="00176210"/>
    <w:rsid w:val="001D2D4C"/>
    <w:rsid w:val="00383AC5"/>
    <w:rsid w:val="003B412A"/>
    <w:rsid w:val="00432709"/>
    <w:rsid w:val="0043554E"/>
    <w:rsid w:val="004919BA"/>
    <w:rsid w:val="00491FCD"/>
    <w:rsid w:val="004E6C05"/>
    <w:rsid w:val="004F6F9F"/>
    <w:rsid w:val="00546BCB"/>
    <w:rsid w:val="005B610E"/>
    <w:rsid w:val="005C236C"/>
    <w:rsid w:val="005E6EC9"/>
    <w:rsid w:val="00656B2A"/>
    <w:rsid w:val="00665896"/>
    <w:rsid w:val="0071336C"/>
    <w:rsid w:val="0071475B"/>
    <w:rsid w:val="0077251A"/>
    <w:rsid w:val="00793214"/>
    <w:rsid w:val="007D43DA"/>
    <w:rsid w:val="007E50DB"/>
    <w:rsid w:val="007E661D"/>
    <w:rsid w:val="007F5EE6"/>
    <w:rsid w:val="007F7CC2"/>
    <w:rsid w:val="0081530B"/>
    <w:rsid w:val="008C31C3"/>
    <w:rsid w:val="008E0E58"/>
    <w:rsid w:val="00941865"/>
    <w:rsid w:val="00966800"/>
    <w:rsid w:val="00986803"/>
    <w:rsid w:val="0099577A"/>
    <w:rsid w:val="009F1522"/>
    <w:rsid w:val="00A06D88"/>
    <w:rsid w:val="00AB70A8"/>
    <w:rsid w:val="00AF5C06"/>
    <w:rsid w:val="00B723C7"/>
    <w:rsid w:val="00B8177D"/>
    <w:rsid w:val="00B86365"/>
    <w:rsid w:val="00BE032C"/>
    <w:rsid w:val="00C242EC"/>
    <w:rsid w:val="00CE156F"/>
    <w:rsid w:val="00DE50A2"/>
    <w:rsid w:val="00DF6FF4"/>
    <w:rsid w:val="00E03726"/>
    <w:rsid w:val="00E17D5D"/>
    <w:rsid w:val="00E61BFC"/>
    <w:rsid w:val="00E841B7"/>
    <w:rsid w:val="00ED5E84"/>
    <w:rsid w:val="00EF16A3"/>
    <w:rsid w:val="00F57E52"/>
    <w:rsid w:val="00FB4297"/>
    <w:rsid w:val="01E47F5E"/>
    <w:rsid w:val="055B525F"/>
    <w:rsid w:val="06E437D2"/>
    <w:rsid w:val="092A2328"/>
    <w:rsid w:val="0AD635E9"/>
    <w:rsid w:val="101D3889"/>
    <w:rsid w:val="13B61930"/>
    <w:rsid w:val="14E41CF6"/>
    <w:rsid w:val="1F0F67B6"/>
    <w:rsid w:val="20276775"/>
    <w:rsid w:val="22A252B3"/>
    <w:rsid w:val="2526686E"/>
    <w:rsid w:val="269311CC"/>
    <w:rsid w:val="2A0A7A03"/>
    <w:rsid w:val="2AA32038"/>
    <w:rsid w:val="2F0424CB"/>
    <w:rsid w:val="2F536414"/>
    <w:rsid w:val="30D47B86"/>
    <w:rsid w:val="331D17FB"/>
    <w:rsid w:val="34645B2C"/>
    <w:rsid w:val="34757828"/>
    <w:rsid w:val="370F6602"/>
    <w:rsid w:val="3AEF6FE7"/>
    <w:rsid w:val="493B718D"/>
    <w:rsid w:val="4E07523C"/>
    <w:rsid w:val="51A72200"/>
    <w:rsid w:val="52462812"/>
    <w:rsid w:val="52900EB5"/>
    <w:rsid w:val="53A42ADD"/>
    <w:rsid w:val="59A03424"/>
    <w:rsid w:val="61D768A9"/>
    <w:rsid w:val="716770B5"/>
    <w:rsid w:val="79833440"/>
    <w:rsid w:val="7A0765EF"/>
    <w:rsid w:val="7BA52177"/>
    <w:rsid w:val="7FAD5B08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0" w:name="index 1"/>
    <w:lsdException w:uiPriority="0" w:name="index 2"/>
    <w:lsdException w:uiPriority="0" w:name="index 3"/>
    <w:lsdException w:uiPriority="0" w:name="index 4"/>
    <w:lsdException w:uiPriority="0" w:name="index 5"/>
    <w:lsdException w:uiPriority="0" w:name="index 6"/>
    <w:lsdException w:uiPriority="0" w:name="index 7"/>
    <w:lsdException w:uiPriority="0" w:name="index 8"/>
    <w:lsdException w:uiPriority="0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0" w:name="Normal Indent"/>
    <w:lsdException w:uiPriority="0" w:name="footnote text"/>
    <w:lsdException w:uiPriority="0" w:name="annotation text"/>
    <w:lsdException w:qFormat="1" w:uiPriority="99" w:semiHidden="0" w:name="header"/>
    <w:lsdException w:qFormat="1" w:uiPriority="99" w:semiHidden="0" w:name="footer"/>
    <w:lsdException w:uiPriority="0" w:name="index heading"/>
    <w:lsdException w:qFormat="1" w:uiPriority="35" w:name="caption"/>
    <w:lsdException w:uiPriority="0" w:name="table of figures"/>
    <w:lsdException w:uiPriority="0" w:name="envelope address"/>
    <w:lsdException w:uiPriority="0" w:name="envelope return"/>
    <w:lsdException w:uiPriority="0" w:name="footnote reference"/>
    <w:lsdException w:uiPriority="0" w:name="annotation reference"/>
    <w:lsdException w:uiPriority="0" w:name="line number"/>
    <w:lsdException w:uiPriority="0" w:name="page number"/>
    <w:lsdException w:uiPriority="0" w:name="endnote reference"/>
    <w:lsdException w:uiPriority="0" w:name="endnote text"/>
    <w:lsdException w:uiPriority="0" w:name="table of authorities"/>
    <w:lsdException w:uiPriority="0" w:name="macro"/>
    <w:lsdException w:uiPriority="0" w:name="toa heading"/>
    <w:lsdException w:uiPriority="0" w:name="List"/>
    <w:lsdException w:uiPriority="0" w:name="List Bullet"/>
    <w:lsdException w:uiPriority="0" w:name="List Number"/>
    <w:lsdException w:uiPriority="0" w:name="List 2"/>
    <w:lsdException w:uiPriority="0" w:name="List 3"/>
    <w:lsdException w:uiPriority="0" w:name="List 4"/>
    <w:lsdException w:uiPriority="0" w:name="List 5"/>
    <w:lsdException w:uiPriority="0" w:name="List Bullet 2"/>
    <w:lsdException w:uiPriority="0" w:name="List Bullet 3"/>
    <w:lsdException w:uiPriority="0" w:name="List Bullet 4"/>
    <w:lsdException w:uiPriority="0" w:name="List Bullet 5"/>
    <w:lsdException w:uiPriority="0" w:name="List Number 2"/>
    <w:lsdException w:uiPriority="0" w:name="List Number 3"/>
    <w:lsdException w:uiPriority="0" w:name="List Number 4"/>
    <w:lsdException w:uiPriority="0" w:name="List Number 5"/>
    <w:lsdException w:qFormat="1" w:unhideWhenUsed="0" w:uiPriority="10" w:semiHidden="0" w:name="Title"/>
    <w:lsdException w:uiPriority="0" w:name="Closing"/>
    <w:lsdException w:uiPriority="0" w:name="Signature"/>
    <w:lsdException w:qFormat="1" w:uiPriority="1" w:semiHidden="0" w:name="Default Paragraph Font"/>
    <w:lsdException w:uiPriority="0" w:name="Body Text"/>
    <w:lsdException w:uiPriority="0" w:name="Body Text Indent"/>
    <w:lsdException w:uiPriority="0" w:name="List Continue"/>
    <w:lsdException w:uiPriority="0" w:name="List Continue 2"/>
    <w:lsdException w:uiPriority="0" w:name="List Continue 3"/>
    <w:lsdException w:uiPriority="0" w:name="List Continue 4"/>
    <w:lsdException w:uiPriority="0" w:name="List Continue 5"/>
    <w:lsdException w:uiPriority="0" w:name="Message Header"/>
    <w:lsdException w:qFormat="1" w:unhideWhenUsed="0" w:uiPriority="11" w:semiHidden="0" w:name="Subtitle"/>
    <w:lsdException w:uiPriority="0" w:name="Salutation"/>
    <w:lsdException w:uiPriority="0" w:name="Date"/>
    <w:lsdException w:uiPriority="0" w:name="Body Text First Indent"/>
    <w:lsdException w:uiPriority="0" w:name="Body Text First Indent 2"/>
    <w:lsdException w:uiPriority="0" w:name="Note Heading"/>
    <w:lsdException w:uiPriority="0" w:name="Body Text 2"/>
    <w:lsdException w:uiPriority="0" w:name="Body Text 3"/>
    <w:lsdException w:uiPriority="0" w:name="Body Text Indent 2"/>
    <w:lsdException w:uiPriority="0" w:name="Body Text Indent 3"/>
    <w:lsdException w:uiPriority="0" w:name="Block Text"/>
    <w:lsdException w:uiPriority="0" w:name="Hyperlink"/>
    <w:lsdException w:uiPriority="0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0" w:name="Document Map"/>
    <w:lsdException w:uiPriority="0" w:name="Plain Text"/>
    <w:lsdException w:uiPriority="0" w:name="E-mail Signature"/>
    <w:lsdException w:uiPriority="0" w:name="Normal (Web)"/>
    <w:lsdException w:uiPriority="0" w:name="HTML Acronym"/>
    <w:lsdException w:uiPriority="0" w:name="HTML Address"/>
    <w:lsdException w:uiPriority="0" w:name="HTML Cite"/>
    <w:lsdException w:uiPriority="0" w:name="HTML Code"/>
    <w:lsdException w:uiPriority="0" w:name="HTML Definition"/>
    <w:lsdException w:uiPriority="0" w:name="HTML Keyboard"/>
    <w:lsdException w:uiPriority="0" w:name="HTML Preformatted"/>
    <w:lsdException w:uiPriority="0" w:name="HTML Sample"/>
    <w:lsdException w:uiPriority="0" w:name="HTML Typewriter"/>
    <w:lsdException w:uiPriority="0" w:name="HTML Variable"/>
    <w:lsdException w:qFormat="1" w:uiPriority="99" w:semiHidden="0" w:name="Normal Table"/>
    <w:lsdException w:uiPriority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iPriority="0" w:name="Balloon Text"/>
    <w:lsdException w:unhideWhenUsed="0" w:uiPriority="59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unhideWhenUsed/>
    <w:qFormat/>
    <w:uiPriority w:val="1"/>
  </w:style>
  <w:style w:type="table" w:default="1" w:styleId="4">
    <w:name w:val="Normal Table"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6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页眉 Char"/>
    <w:basedOn w:val="5"/>
    <w:link w:val="3"/>
    <w:qFormat/>
    <w:uiPriority w:val="99"/>
    <w:rPr>
      <w:sz w:val="18"/>
      <w:szCs w:val="18"/>
    </w:rPr>
  </w:style>
  <w:style w:type="character" w:customStyle="1" w:styleId="7">
    <w:name w:val="页脚 Char"/>
    <w:basedOn w:val="5"/>
    <w:link w:val="2"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numbering" Target="numbering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Tahoma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Tahoma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4097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Lenovo</Company>
  <Pages>1</Pages>
  <Words>64</Words>
  <Characters>367</Characters>
  <Lines>3</Lines>
  <Paragraphs>1</Paragraphs>
  <TotalTime>40</TotalTime>
  <ScaleCrop>false</ScaleCrop>
  <LinksUpToDate>false</LinksUpToDate>
  <CharactersWithSpaces>0</CharactersWithSpaces>
  <Application>WPS Office_11.1.0.10228_F1E327BC-269C-435d-A152-05C5408002CA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2019-11-14T00:58:00Z</dcterms:created>
  <dc:creator>user</dc:creator>
  <cp:lastModifiedBy>Administrator</cp:lastModifiedBy>
  <cp:lastPrinted>2021-07-14T08:15:33Z</cp:lastPrinted>
  <dcterms:modified xsi:type="dcterms:W3CDTF">2021-07-14T08:18:07Z</dcterms:modified>
  <dc:title>附件2： 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2052-11.1.0.10228</vt:lpwstr>
  </property>
</Properties>
</file>