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gif" ContentType="image/gif"/>
  <Default Extension="emf" ContentType="image/x-emf"/>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pict>
          <v:rect id="文本框 5" o:spid="_x0000_s1026" o:spt="1" style="position:absolute;left:0pt;margin-left:128.25pt;margin-top:619.9pt;height:40.75pt;width:167.85pt;z-index:1024;mso-width-relative:page;mso-height-relative:page;" filled="f" o:preferrelative="t" stroked="f" coordsize="21600,21600">
            <v:path/>
            <v:fill on="f" focussize="0,0"/>
            <v:stroke on="f"/>
            <v:imagedata o:title=""/>
            <o:lock v:ext="edit"/>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2021年10月</w:t>
                  </w:r>
                </w:p>
              </w:txbxContent>
            </v:textbox>
          </v:rect>
        </w:pict>
      </w:r>
      <w:r>
        <w:pict>
          <v:shape id="图片 4" o:spid="_x0000_s1027" o:spt="75" type="#_x0000_t75" style="position:absolute;left:0pt;margin-left:-78.55pt;margin-top:-107.1pt;height:845.65pt;width:597.8pt;z-index:-1024;mso-width-relative:page;mso-height-relative:page;" filled="f" o:preferrelative="t" stroked="f" coordsize="21600,21600">
            <v:path/>
            <v:fill on="f" focussize="0,0"/>
            <v:stroke on="f" joinstyle="miter"/>
            <v:imagedata r:id="rId13" o:title=""/>
            <o:lock v:ext="edit" aspectratio="t"/>
          </v:shape>
        </w:pict>
      </w:r>
      <w:r>
        <w:br w:type="page"/>
      </w:r>
    </w:p>
    <w:p>
      <w:pPr>
        <w:rPr>
          <w:rFonts w:ascii="黑体" w:hAnsi="黑体" w:eastAsia="黑体"/>
          <w:sz w:val="72"/>
          <w:szCs w:val="96"/>
        </w:rPr>
      </w:pPr>
    </w:p>
    <w:p>
      <w:pPr>
        <w:rPr>
          <w:rFonts w:ascii="黑体" w:hAnsi="黑体" w:eastAsia="黑体"/>
          <w:sz w:val="72"/>
          <w:szCs w:val="96"/>
        </w:rPr>
      </w:pPr>
      <w:r>
        <w:rPr>
          <w:rFonts w:hint="eastAsia" w:ascii="黑体" w:hAnsi="黑体" w:eastAsia="黑体"/>
          <w:sz w:val="72"/>
          <w:szCs w:val="96"/>
        </w:rPr>
        <w:t>2020年度部门决算公开文本</w:t>
      </w:r>
    </w:p>
    <w:p>
      <w:pPr>
        <w:spacing w:line="36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napToGrid w:val="0"/>
        <w:jc w:val="center"/>
        <w:rPr>
          <w:rFonts w:ascii="楷体_GB2312" w:hAnsi="楷体_GB2312" w:eastAsia="楷体_GB2312" w:cs="楷体_GB2312"/>
          <w:color w:val="000000"/>
          <w:kern w:val="0"/>
          <w:sz w:val="44"/>
          <w:szCs w:val="44"/>
          <w:highlight w:val="yellow"/>
        </w:rPr>
      </w:pPr>
      <w:r>
        <w:rPr>
          <w:rFonts w:hint="eastAsia" w:ascii="楷体_GB2312" w:hAnsi="楷体_GB2312" w:eastAsia="楷体_GB2312" w:cs="楷体_GB2312"/>
          <w:color w:val="000000"/>
          <w:kern w:val="0"/>
          <w:sz w:val="44"/>
          <w:szCs w:val="44"/>
        </w:rPr>
        <w:t>石家庄市藁城区人民法院</w:t>
      </w:r>
    </w:p>
    <w:p>
      <w:pPr>
        <w:snapToGrid w:val="0"/>
        <w:jc w:val="center"/>
        <w:rPr>
          <w:rFonts w:ascii="楷体_GB2312" w:hAnsi="楷体_GB2312" w:eastAsia="楷体_GB2312" w:cs="楷体_GB2312"/>
          <w:color w:val="000000"/>
          <w:kern w:val="0"/>
          <w:sz w:val="40"/>
          <w:szCs w:val="40"/>
        </w:rPr>
      </w:pPr>
      <w:r>
        <w:rPr>
          <w:rFonts w:hint="eastAsia" w:ascii="楷体_GB2312" w:hAnsi="楷体_GB2312" w:eastAsia="楷体_GB2312" w:cs="楷体_GB2312"/>
          <w:color w:val="000000"/>
          <w:kern w:val="0"/>
          <w:sz w:val="40"/>
          <w:szCs w:val="40"/>
        </w:rPr>
        <w:t>二〇二一年十月</w:t>
      </w:r>
    </w:p>
    <w:p>
      <w:pPr>
        <w:snapToGrid w:val="0"/>
        <w:jc w:val="center"/>
        <w:rPr>
          <w:rFonts w:ascii="楷体_GB2312" w:hAnsi="楷体_GB2312" w:eastAsia="楷体_GB2312" w:cs="楷体_GB2312"/>
          <w:color w:val="000000"/>
          <w:kern w:val="0"/>
          <w:sz w:val="40"/>
          <w:szCs w:val="40"/>
        </w:rPr>
      </w:pPr>
    </w:p>
    <w:p>
      <w:pPr>
        <w:jc w:val="center"/>
        <w:rPr>
          <w:rFonts w:ascii="黑体" w:hAnsi="黑体" w:eastAsia="黑体"/>
          <w:sz w:val="72"/>
          <w:szCs w:val="96"/>
          <w:highlight w:val="yellow"/>
        </w:rPr>
      </w:pPr>
      <w:r>
        <w:rPr>
          <w:rFonts w:hint="eastAsia" w:ascii="黑体" w:hAnsi="黑体" w:eastAsia="黑体"/>
          <w:sz w:val="72"/>
          <w:szCs w:val="96"/>
        </w:rPr>
        <w:t>石家庄市藁城区人民法院</w:t>
      </w:r>
    </w:p>
    <w:p>
      <w:pPr>
        <w:rPr>
          <w:rFonts w:ascii="黑体" w:hAnsi="黑体" w:eastAsia="黑体"/>
          <w:sz w:val="72"/>
          <w:szCs w:val="96"/>
        </w:rPr>
      </w:pPr>
      <w:r>
        <w:rPr>
          <w:rFonts w:hint="eastAsia" w:ascii="黑体" w:hAnsi="黑体" w:eastAsia="黑体"/>
          <w:sz w:val="72"/>
          <w:szCs w:val="96"/>
        </w:rPr>
        <w:t>2020年度部门决算公开文本</w:t>
      </w:r>
    </w:p>
    <w:p>
      <w:pPr>
        <w:spacing w:line="36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sectPr>
          <w:pgSz w:w="11906" w:h="16838"/>
          <w:pgMar w:top="2098" w:right="1531" w:bottom="1984"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0"/>
          <w:szCs w:val="40"/>
        </w:rPr>
        <w:t>二〇二一年十月</w:t>
      </w:r>
    </w:p>
    <w:p>
      <w:pPr>
        <w:snapToGrid w:val="0"/>
        <w:jc w:val="center"/>
        <w:rPr>
          <w:rFonts w:ascii="楷体_GB2312" w:hAnsi="楷体_GB2312" w:eastAsia="楷体_GB2312" w:cs="楷体_GB2312"/>
          <w:color w:val="000000"/>
          <w:kern w:val="0"/>
          <w:sz w:val="40"/>
          <w:szCs w:val="40"/>
        </w:rPr>
        <w:sectPr>
          <w:headerReference r:id="rId4" w:type="first"/>
          <w:footerReference r:id="rId5" w:type="first"/>
          <w:headerReference r:id="rId3" w:type="default"/>
          <w:pgSz w:w="11906" w:h="16838"/>
          <w:pgMar w:top="2098" w:right="1531" w:bottom="1984" w:left="1531" w:header="851" w:footer="992" w:gutter="0"/>
          <w:cols w:space="720" w:num="1"/>
          <w:titlePg/>
          <w:docGrid w:type="lines" w:linePitch="312" w:charSpace="0"/>
        </w:sectPr>
      </w:pPr>
    </w:p>
    <w:p>
      <w:pPr>
        <w:rPr>
          <w:rFonts w:ascii="黑体" w:hAnsi="Times New Roman" w:eastAsia="黑体"/>
          <w:sz w:val="48"/>
          <w:szCs w:val="48"/>
        </w:rPr>
      </w:pPr>
    </w:p>
    <w:p>
      <w:pPr>
        <w:tabs>
          <w:tab w:val="left" w:pos="2728"/>
        </w:tabs>
        <w:jc w:val="center"/>
        <w:rPr>
          <w:rFonts w:ascii="黑体" w:hAnsi="Times New Roman" w:eastAsia="黑体"/>
          <w:sz w:val="48"/>
          <w:szCs w:val="48"/>
        </w:rPr>
      </w:pPr>
      <w:r>
        <w:rPr>
          <w:rFonts w:hint="eastAsia" w:ascii="黑体" w:hAnsi="Times New Roman" w:eastAsia="黑体"/>
          <w:sz w:val="48"/>
          <w:szCs w:val="48"/>
        </w:rPr>
        <w:t>目    录</w:t>
      </w:r>
    </w:p>
    <w:p>
      <w:pPr>
        <w:widowControl/>
        <w:spacing w:after="160" w:line="580" w:lineRule="exact"/>
        <w:ind w:firstLine="640" w:firstLineChars="200"/>
        <w:rPr>
          <w:rFonts w:ascii="Times New Roman" w:hAnsi="Times New Roman" w:eastAsia="黑体"/>
          <w:sz w:val="32"/>
          <w:szCs w:val="32"/>
        </w:rPr>
      </w:pPr>
    </w:p>
    <w:p>
      <w:pPr>
        <w:widowControl/>
        <w:spacing w:line="640" w:lineRule="exact"/>
        <w:ind w:firstLine="640" w:firstLineChars="200"/>
        <w:rPr>
          <w:rFonts w:ascii="Times New Roman" w:hAnsi="Times New Roman" w:eastAsia="仿宋_GB2312"/>
          <w:sz w:val="24"/>
          <w:szCs w:val="32"/>
        </w:rPr>
      </w:pPr>
      <w:r>
        <w:rPr>
          <w:rFonts w:ascii="Times New Roman" w:hAnsi="Times New Roman" w:eastAsia="黑体"/>
          <w:sz w:val="32"/>
          <w:szCs w:val="32"/>
        </w:rPr>
        <w:t>第一部分   部门概况</w:t>
      </w:r>
    </w:p>
    <w:p>
      <w:pPr>
        <w:widowControl/>
        <w:spacing w:line="640" w:lineRule="exact"/>
        <w:ind w:firstLine="1273" w:firstLineChars="398"/>
        <w:rPr>
          <w:rFonts w:ascii="Times New Roman" w:hAnsi="Times New Roman" w:eastAsia="仿宋_GB2312"/>
          <w:sz w:val="32"/>
          <w:szCs w:val="32"/>
        </w:rPr>
      </w:pPr>
      <w:r>
        <w:rPr>
          <w:rFonts w:ascii="Times New Roman" w:hAnsi="Times New Roman" w:eastAsia="仿宋_GB2312"/>
          <w:sz w:val="32"/>
          <w:szCs w:val="32"/>
        </w:rPr>
        <w:t>一、部门</w:t>
      </w:r>
      <w:r>
        <w:rPr>
          <w:rFonts w:hint="eastAsia" w:ascii="Times New Roman" w:hAnsi="Times New Roman" w:eastAsia="仿宋_GB2312"/>
          <w:sz w:val="32"/>
          <w:szCs w:val="32"/>
        </w:rPr>
        <w:t>职责</w:t>
      </w:r>
    </w:p>
    <w:p>
      <w:pPr>
        <w:widowControl/>
        <w:spacing w:line="640" w:lineRule="exact"/>
        <w:ind w:firstLine="1273" w:firstLineChars="398"/>
        <w:rPr>
          <w:rFonts w:ascii="Times New Roman" w:hAnsi="Times New Roman" w:eastAsia="仿宋_GB2312"/>
          <w:sz w:val="32"/>
          <w:szCs w:val="32"/>
        </w:rPr>
      </w:pPr>
      <w:r>
        <w:rPr>
          <w:rFonts w:ascii="Times New Roman" w:hAnsi="Times New Roman" w:eastAsia="仿宋_GB2312"/>
          <w:sz w:val="32"/>
          <w:szCs w:val="32"/>
        </w:rPr>
        <w:t>二、</w:t>
      </w:r>
      <w:r>
        <w:rPr>
          <w:rFonts w:hint="eastAsia" w:ascii="Times New Roman" w:hAnsi="Times New Roman" w:eastAsia="仿宋_GB2312"/>
          <w:sz w:val="32"/>
          <w:szCs w:val="32"/>
        </w:rPr>
        <w:t>机构设置</w:t>
      </w:r>
    </w:p>
    <w:p>
      <w:pPr>
        <w:widowControl/>
        <w:spacing w:line="640" w:lineRule="exact"/>
        <w:ind w:firstLine="640" w:firstLineChars="200"/>
        <w:rPr>
          <w:rFonts w:ascii="Times New Roman" w:hAnsi="Times New Roman" w:eastAsia="黑体"/>
          <w:sz w:val="32"/>
          <w:szCs w:val="32"/>
        </w:rPr>
      </w:pPr>
      <w:r>
        <w:rPr>
          <w:rFonts w:ascii="Times New Roman" w:hAnsi="Times New Roman" w:eastAsia="黑体"/>
          <w:sz w:val="32"/>
          <w:szCs w:val="32"/>
        </w:rPr>
        <w:t>第二部分</w:t>
      </w:r>
      <w:r>
        <w:rPr>
          <w:rFonts w:hint="eastAsia" w:ascii="Times New Roman" w:hAnsi="Times New Roman" w:eastAsia="黑体"/>
          <w:sz w:val="32"/>
          <w:szCs w:val="32"/>
        </w:rPr>
        <w:t xml:space="preserve">   </w:t>
      </w:r>
      <w:r>
        <w:rPr>
          <w:rFonts w:ascii="Times New Roman" w:hAnsi="Times New Roman" w:eastAsia="黑体"/>
          <w:sz w:val="32"/>
          <w:szCs w:val="32"/>
        </w:rPr>
        <w:t>20</w:t>
      </w:r>
      <w:r>
        <w:rPr>
          <w:rFonts w:hint="eastAsia" w:ascii="Times New Roman" w:hAnsi="Times New Roman" w:eastAsia="黑体"/>
          <w:sz w:val="32"/>
          <w:szCs w:val="32"/>
        </w:rPr>
        <w:t>20</w:t>
      </w:r>
      <w:r>
        <w:rPr>
          <w:rFonts w:ascii="Times New Roman" w:hAnsi="Times New Roman" w:eastAsia="黑体"/>
          <w:sz w:val="32"/>
          <w:szCs w:val="32"/>
        </w:rPr>
        <w:t>年部门决算情况说明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一、收入支出决算总体情况说明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二、收入决算情况说明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三、支出决算情况说明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六、预算绩效情况说明</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七、机关运行经费情况</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八、政府采购情况</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九、国有资产占用情况</w:t>
      </w:r>
    </w:p>
    <w:p>
      <w:pPr>
        <w:widowControl/>
        <w:spacing w:line="640" w:lineRule="exact"/>
        <w:ind w:left="630" w:leftChars="300" w:firstLine="640" w:firstLineChars="200"/>
        <w:rPr>
          <w:rFonts w:ascii="Times New Roman" w:hAnsi="Times New Roman" w:eastAsia="仿宋_GB2312"/>
          <w:sz w:val="32"/>
          <w:szCs w:val="32"/>
        </w:rPr>
      </w:pPr>
      <w:r>
        <w:rPr>
          <w:rFonts w:hint="eastAsia" w:ascii="Times New Roman" w:hAnsi="Times New Roman" w:eastAsia="仿宋_GB2312"/>
          <w:sz w:val="32"/>
          <w:szCs w:val="32"/>
        </w:rPr>
        <w:t>十、其他需要说明的情况</w:t>
      </w:r>
    </w:p>
    <w:p>
      <w:pPr>
        <w:widowControl/>
        <w:spacing w:line="640" w:lineRule="exact"/>
        <w:ind w:firstLine="640" w:firstLineChars="200"/>
        <w:rPr>
          <w:rFonts w:ascii="Times New Roman" w:hAnsi="Times New Roman" w:eastAsia="仿宋_GB2312"/>
          <w:sz w:val="32"/>
          <w:szCs w:val="32"/>
        </w:rPr>
      </w:pPr>
      <w:r>
        <w:rPr>
          <w:rFonts w:ascii="Times New Roman" w:hAnsi="Times New Roman" w:eastAsia="黑体"/>
          <w:sz w:val="32"/>
          <w:szCs w:val="32"/>
        </w:rPr>
        <w:t>第三部分   名词解释</w:t>
      </w:r>
    </w:p>
    <w:p>
      <w:pPr>
        <w:widowControl/>
        <w:spacing w:line="640" w:lineRule="exact"/>
        <w:ind w:firstLine="640" w:firstLineChars="200"/>
        <w:rPr>
          <w:rFonts w:ascii="Times New Roman" w:hAnsi="Times New Roman" w:eastAsia="仿宋_GB2312"/>
          <w:sz w:val="20"/>
          <w:szCs w:val="32"/>
        </w:rPr>
      </w:pPr>
      <w:r>
        <w:rPr>
          <w:rFonts w:ascii="Times New Roman" w:hAnsi="Times New Roman" w:eastAsia="黑体"/>
          <w:sz w:val="32"/>
          <w:szCs w:val="32"/>
        </w:rPr>
        <w:t>第</w:t>
      </w:r>
      <w:r>
        <w:rPr>
          <w:rFonts w:hint="eastAsia" w:ascii="Times New Roman" w:hAnsi="Times New Roman" w:eastAsia="黑体"/>
          <w:sz w:val="32"/>
          <w:szCs w:val="32"/>
        </w:rPr>
        <w:t>四</w:t>
      </w:r>
      <w:r>
        <w:rPr>
          <w:rFonts w:ascii="Times New Roman" w:hAnsi="Times New Roman" w:eastAsia="黑体"/>
          <w:sz w:val="32"/>
          <w:szCs w:val="32"/>
        </w:rPr>
        <w:t>部分</w:t>
      </w:r>
      <w:r>
        <w:rPr>
          <w:rFonts w:hint="eastAsia" w:ascii="Times New Roman" w:hAnsi="Times New Roman" w:eastAsia="黑体"/>
          <w:sz w:val="32"/>
          <w:szCs w:val="32"/>
        </w:rPr>
        <w:t xml:space="preserve">  </w:t>
      </w:r>
      <w:r>
        <w:rPr>
          <w:rFonts w:ascii="Times New Roman" w:hAnsi="Times New Roman" w:eastAsia="黑体"/>
          <w:sz w:val="32"/>
          <w:szCs w:val="32"/>
        </w:rPr>
        <w:t xml:space="preserve"> 20</w:t>
      </w:r>
      <w:r>
        <w:rPr>
          <w:rFonts w:hint="eastAsia" w:ascii="Times New Roman" w:hAnsi="Times New Roman" w:eastAsia="黑体"/>
          <w:sz w:val="32"/>
          <w:szCs w:val="32"/>
        </w:rPr>
        <w:t>20</w:t>
      </w:r>
      <w:r>
        <w:rPr>
          <w:rFonts w:ascii="Times New Roman" w:hAnsi="Times New Roman" w:eastAsia="黑体"/>
          <w:sz w:val="32"/>
          <w:szCs w:val="32"/>
        </w:rPr>
        <w:t>年度部门决算报表</w:t>
      </w:r>
    </w:p>
    <w:p>
      <w:pPr>
        <w:widowControl/>
        <w:spacing w:after="160" w:line="580" w:lineRule="exact"/>
        <w:ind w:firstLine="640" w:firstLineChars="200"/>
        <w:rPr>
          <w:rFonts w:ascii="Times New Roman" w:hAnsi="Times New Roman" w:eastAsia="黑体"/>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72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rect id="文本框 143" o:spid="_x0000_s1028" o:spt="1" style="position:absolute;left:0pt;margin-left:-85.7pt;margin-top:80.7pt;height:263.1pt;width:613.65pt;z-index:1024;mso-width-relative:page;mso-height-relative:page;" fillcolor="#7F7F7F" filled="t" o:preferrelative="t" stroked="t" coordsize="21600,21600">
            <v:path/>
            <v:fill type="pattern" on="t" o:title="image2" focussize="0,0" r:id="rId14"/>
            <v:stroke color="#A5A5A5" miterlimit="2"/>
            <v:imagedata o:title=""/>
            <o:lock v:ext="edit"/>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v:textbox>
          </v:rect>
        </w:pict>
      </w:r>
      <w:r>
        <w:br w:type="page"/>
      </w:r>
    </w:p>
    <w:p>
      <w:pPr>
        <w:pStyle w:val="2"/>
        <w:spacing w:before="0" w:after="0" w:line="580" w:lineRule="exact"/>
        <w:ind w:firstLine="640" w:firstLineChars="200"/>
        <w:jc w:val="left"/>
        <w:rPr>
          <w:rFonts w:ascii="黑体" w:eastAsia="黑体"/>
          <w:b w:val="0"/>
          <w:bCs w:val="0"/>
          <w:kern w:val="0"/>
          <w:sz w:val="32"/>
          <w:szCs w:val="32"/>
        </w:rPr>
      </w:pPr>
      <w:r>
        <w:rPr>
          <w:rFonts w:hint="eastAsia" w:ascii="黑体" w:eastAsia="黑体"/>
          <w:b w:val="0"/>
          <w:bCs w:val="0"/>
          <w:kern w:val="0"/>
          <w:sz w:val="32"/>
          <w:szCs w:val="32"/>
        </w:rPr>
        <w:t>一、部门职责</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（一）深入贯彻习近平新时代中国特色社会主义思想，深入贯彻党的路线方针政策和决策部署，坚持党对法院工作的绝对领导，坚决维护习近平总书记的核心地位，坚决维护党中央权威和集中统一领导。</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（二）依法审判法律规定由藁城区人民法院管辖的刑事、民事、行政等第一审案件。</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（三）依法审判上级人民法院指定、同级人民法院移送的刑事、行政等第一审案件。</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（四）审查和受理各类申诉案件，审判各类再审案件，处理来信来访。</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（五）依法办理发生法律效力的民事、行政案件判决和裁定执行事项及刑事案件判决和裁定中关于财产部分的执行事项；办理法律规定由基层人民法院执行的其他法律文书的执行事项。</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（六）负责审判工作的调查研究，总结审判工作的经验。</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（七）负责干警思想政治教育和业务培训工作；按照权限管理法官和其他工作人员。</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（八）管理有关经费及物资装备。</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（九）负责司法技术鉴定、通讯、计算机等技术管理工作。</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（十）负责审判工作中的法制宣传，教育公民忠于祖国，自觉遵守宪法、法律和社会公德。</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（十一）完成其他应由藁城区人民法院负责的工作。</w:t>
      </w:r>
    </w:p>
    <w:p>
      <w:pPr>
        <w:keepNext/>
        <w:keepLines/>
        <w:spacing w:line="580" w:lineRule="exact"/>
        <w:ind w:firstLine="640" w:firstLineChars="200"/>
        <w:jc w:val="left"/>
        <w:outlineLvl w:val="0"/>
        <w:rPr>
          <w:rFonts w:ascii="黑体" w:eastAsia="黑体"/>
          <w:kern w:val="0"/>
          <w:sz w:val="32"/>
          <w:szCs w:val="32"/>
        </w:rPr>
      </w:pPr>
      <w:r>
        <w:rPr>
          <w:rFonts w:hint="eastAsia" w:ascii="黑体" w:eastAsia="黑体"/>
          <w:kern w:val="0"/>
          <w:sz w:val="32"/>
          <w:szCs w:val="32"/>
        </w:rPr>
        <w:t>二、机构设置</w:t>
      </w:r>
    </w:p>
    <w:p>
      <w:pPr>
        <w:spacing w:line="580" w:lineRule="exact"/>
        <w:ind w:firstLine="640" w:firstLineChars="200"/>
        <w:rPr>
          <w:rFonts w:ascii="仿宋_GB2312" w:eastAsia="仿宋_GB2312" w:cs="Arial Black"/>
          <w:kern w:val="0"/>
          <w:sz w:val="32"/>
          <w:szCs w:val="32"/>
        </w:rPr>
      </w:pPr>
      <w:r>
        <w:rPr>
          <w:rFonts w:hint="eastAsia" w:ascii="仿宋_GB2312" w:eastAsia="仿宋_GB2312" w:cs="Arial Black"/>
          <w:kern w:val="0"/>
          <w:sz w:val="32"/>
          <w:szCs w:val="32"/>
        </w:rPr>
        <w:t>从决算编报单位构成看，纳入20</w:t>
      </w:r>
      <w:r>
        <w:rPr>
          <w:rFonts w:ascii="仿宋_GB2312" w:eastAsia="仿宋_GB2312" w:cs="Arial Black"/>
          <w:kern w:val="0"/>
          <w:sz w:val="32"/>
          <w:szCs w:val="32"/>
        </w:rPr>
        <w:t>20</w:t>
      </w:r>
      <w:r>
        <w:rPr>
          <w:rFonts w:hint="eastAsia" w:ascii="仿宋_GB2312" w:eastAsia="仿宋_GB2312" w:cs="Arial Black"/>
          <w:kern w:val="0"/>
          <w:sz w:val="32"/>
          <w:szCs w:val="32"/>
        </w:rPr>
        <w:t>年度本部门决算汇编范围的独立核算单位（以下简称“单位”）共1个，具体情况如下：</w:t>
      </w:r>
    </w:p>
    <w:tbl>
      <w:tblPr>
        <w:tblStyle w:val="6"/>
        <w:tblpPr w:leftFromText="180" w:rightFromText="180" w:vertAnchor="text" w:horzAnchor="page" w:tblpXSpec="center" w:tblpY="10"/>
        <w:tblOverlap w:val="never"/>
        <w:tblW w:w="94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序号</w:t>
            </w:r>
          </w:p>
        </w:tc>
        <w:tc>
          <w:tcPr>
            <w:tcW w:w="3426"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单位名称</w:t>
            </w:r>
          </w:p>
        </w:tc>
        <w:tc>
          <w:tcPr>
            <w:tcW w:w="2404"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单位基本性质</w:t>
            </w:r>
          </w:p>
        </w:tc>
        <w:tc>
          <w:tcPr>
            <w:tcW w:w="2622"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eastAsia="仿宋_GB2312" w:cs="Arial Black"/>
                <w:kern w:val="0"/>
                <w:sz w:val="28"/>
                <w:szCs w:val="28"/>
              </w:rPr>
            </w:pPr>
            <w:r>
              <w:rPr>
                <w:rFonts w:hint="eastAsia" w:ascii="仿宋_GB2312" w:eastAsia="仿宋_GB2312" w:cs="Arial Black"/>
                <w:kern w:val="0"/>
                <w:sz w:val="28"/>
                <w:szCs w:val="28"/>
              </w:rPr>
              <w:t>1</w:t>
            </w:r>
          </w:p>
        </w:tc>
        <w:tc>
          <w:tcPr>
            <w:tcW w:w="3426" w:type="dxa"/>
          </w:tcPr>
          <w:p>
            <w:pPr>
              <w:spacing w:line="560" w:lineRule="exact"/>
              <w:rPr>
                <w:rFonts w:ascii="仿宋_GB2312" w:eastAsia="仿宋_GB2312" w:cs="Arial Black"/>
                <w:kern w:val="0"/>
                <w:sz w:val="28"/>
                <w:szCs w:val="28"/>
              </w:rPr>
            </w:pPr>
            <w:r>
              <w:rPr>
                <w:rFonts w:hint="eastAsia" w:ascii="仿宋_GB2312" w:eastAsia="仿宋_GB2312" w:cs="Arial Black"/>
                <w:kern w:val="0"/>
                <w:sz w:val="28"/>
                <w:szCs w:val="28"/>
              </w:rPr>
              <w:t>石家庄市藁城区人民法院(本级)</w:t>
            </w:r>
          </w:p>
        </w:tc>
        <w:tc>
          <w:tcPr>
            <w:tcW w:w="2404" w:type="dxa"/>
          </w:tcPr>
          <w:p>
            <w:pPr>
              <w:spacing w:line="560" w:lineRule="exact"/>
              <w:jc w:val="center"/>
              <w:rPr>
                <w:rFonts w:ascii="仿宋_GB2312" w:eastAsia="仿宋_GB2312" w:cs="Arial Black"/>
                <w:kern w:val="0"/>
                <w:sz w:val="28"/>
                <w:szCs w:val="28"/>
              </w:rPr>
            </w:pPr>
            <w:r>
              <w:rPr>
                <w:rFonts w:hint="eastAsia" w:ascii="仿宋_GB2312" w:eastAsia="仿宋_GB2312" w:cs="Arial Black"/>
                <w:kern w:val="0"/>
                <w:sz w:val="28"/>
                <w:szCs w:val="28"/>
              </w:rPr>
              <w:t>行政单位</w:t>
            </w:r>
          </w:p>
        </w:tc>
        <w:tc>
          <w:tcPr>
            <w:tcW w:w="2622" w:type="dxa"/>
          </w:tcPr>
          <w:p>
            <w:pPr>
              <w:spacing w:line="560" w:lineRule="exact"/>
              <w:jc w:val="center"/>
              <w:rPr>
                <w:rFonts w:ascii="仿宋_GB2312" w:eastAsia="仿宋_GB2312" w:cs="Arial Black"/>
                <w:kern w:val="0"/>
                <w:sz w:val="28"/>
                <w:szCs w:val="28"/>
              </w:rPr>
            </w:pPr>
            <w:r>
              <w:rPr>
                <w:rFonts w:hint="eastAsia" w:ascii="仿宋_GB2312" w:eastAsia="仿宋_GB2312" w:cs="Arial Black"/>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pPr>
              <w:spacing w:line="560" w:lineRule="exact"/>
              <w:jc w:val="left"/>
              <w:rPr>
                <w:rFonts w:ascii="仿宋_GB2312" w:eastAsia="仿宋_GB2312" w:cs="Arial Black"/>
                <w:kern w:val="0"/>
                <w:sz w:val="28"/>
                <w:szCs w:val="28"/>
              </w:rPr>
            </w:pPr>
            <w:r>
              <w:rPr>
                <w:rFonts w:hint="eastAsia" w:ascii="仿宋_GB2312"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eastAsia="仿宋_GB2312" w:cs="Arial Black"/>
                <w:kern w:val="0"/>
                <w:sz w:val="28"/>
                <w:szCs w:val="28"/>
              </w:rPr>
            </w:pPr>
            <w:r>
              <w:rPr>
                <w:rFonts w:hint="eastAsia" w:ascii="仿宋_GB2312" w:eastAsia="仿宋_GB2312" w:cs="Arial Black"/>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黑体"/>
          <w:sz w:val="32"/>
          <w:szCs w:val="32"/>
        </w:rPr>
      </w:pPr>
    </w:p>
    <w:p/>
    <w:p>
      <w:pPr>
        <w:widowControl/>
        <w:spacing w:after="160" w:line="580" w:lineRule="exact"/>
        <w:ind w:firstLine="1440" w:firstLineChars="200"/>
        <w:rPr>
          <w:rFonts w:ascii="Times New Roman" w:hAnsi="Times New Roman" w:eastAsia="黑体"/>
          <w:sz w:val="32"/>
          <w:szCs w:val="32"/>
        </w:rPr>
        <w:sectPr>
          <w:headerReference r:id="rId10" w:type="default"/>
          <w:pgSz w:w="11906" w:h="16838"/>
          <w:pgMar w:top="2098" w:right="1531" w:bottom="1984" w:left="1531" w:header="851" w:footer="992" w:gutter="0"/>
          <w:pgNumType w:fmt="numberInDash"/>
          <w:cols w:space="720" w:num="1"/>
          <w:titlePg/>
          <w:docGrid w:type="lines" w:linePitch="312" w:charSpace="0"/>
        </w:sectPr>
      </w:pPr>
      <w:r>
        <w:rPr>
          <w:sz w:val="72"/>
        </w:rPr>
        <w:pict>
          <v:rect id="文本框 151" o:spid="_x0000_s1029" o:spt="1" style="position:absolute;left:0pt;margin-left:-85.7pt;margin-top:238.15pt;height:173.25pt;width:613.65pt;z-index:1024;mso-width-relative:page;mso-height-relative:page;" filled="f" o:preferrelative="t" stroked="f" coordsize="21600,21600">
            <v:path/>
            <v:fill on="f" focussize="0,0"/>
            <v:stroke on="f"/>
            <v:imagedata o:title=""/>
            <o:lock v:ext="edit"/>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 xml:space="preserve"> </w:t>
                  </w:r>
                </w:p>
                <w:p>
                  <w:pPr>
                    <w:widowControl/>
                    <w:jc w:val="center"/>
                    <w:rPr>
                      <w:rFonts w:ascii="黑体" w:hAnsi="黑体" w:eastAsia="黑体"/>
                      <w:color w:val="000000"/>
                      <w:sz w:val="96"/>
                      <w:szCs w:val="96"/>
                    </w:rPr>
                  </w:pPr>
                </w:p>
              </w:txbxContent>
            </v:textbox>
          </v:rect>
        </w:pict>
      </w:r>
    </w:p>
    <w:p>
      <w:pPr>
        <w:widowControl/>
        <w:spacing w:line="580" w:lineRule="exact"/>
        <w:ind w:firstLine="640" w:firstLineChars="200"/>
        <w:rPr>
          <w:rFonts w:eastAsia="黑体"/>
          <w:sz w:val="32"/>
          <w:szCs w:val="3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r>
        <w:rPr>
          <w:sz w:val="72"/>
        </w:rPr>
        <w:pict>
          <v:rect id="文本框 2" o:spid="_x0000_s1030" o:spt="1" style="position:absolute;left:0pt;margin-left:-80.95pt;margin-top:-207.65pt;height:263.1pt;width:613.65pt;z-index:1024;mso-width-relative:page;mso-height-relative:page;" fillcolor="#7F7F7F" filled="t" o:preferrelative="t" stroked="t" coordsize="21600,21600">
            <v:path/>
            <v:fill type="pattern" on="t" o:title="image2" focussize="0,0" r:id="rId14"/>
            <v:stroke color="#A5A5A5" miterlimit="2"/>
            <v:imagedata o:title=""/>
            <o:lock v:ext="edit"/>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pPr>
                    <w:widowControl/>
                    <w:jc w:val="center"/>
                    <w:rPr>
                      <w:rFonts w:ascii="黑体" w:hAnsi="黑体" w:eastAsia="黑体"/>
                      <w:color w:val="000000"/>
                      <w:sz w:val="90"/>
                      <w:szCs w:val="90"/>
                    </w:rPr>
                  </w:pPr>
                  <w:r>
                    <w:rPr>
                      <w:rFonts w:hint="eastAsia" w:ascii="黑体" w:hAnsi="黑体" w:eastAsia="黑体"/>
                      <w:color w:val="000000"/>
                      <w:sz w:val="90"/>
                      <w:szCs w:val="90"/>
                    </w:rPr>
                    <w:t>2020年部门决算情况说明</w:t>
                  </w:r>
                </w:p>
                <w:p>
                  <w:pPr>
                    <w:widowControl/>
                    <w:jc w:val="center"/>
                  </w:pPr>
                </w:p>
                <w:p/>
              </w:txbxContent>
            </v:textbox>
          </v:rect>
        </w:pict>
      </w:r>
    </w:p>
    <w:p>
      <w:pPr>
        <w:jc w:val="center"/>
        <w:rPr>
          <w:rFonts w:ascii="黑体" w:hAnsi="黑体" w:eastAsia="黑体"/>
          <w:sz w:val="56"/>
          <w:szCs w:val="72"/>
        </w:rPr>
      </w:pPr>
    </w:p>
    <w:p>
      <w:pPr>
        <w:keepNext/>
        <w:keepLines/>
        <w:snapToGrid w:val="0"/>
        <w:spacing w:line="600" w:lineRule="exact"/>
        <w:ind w:firstLine="420" w:firstLineChars="200"/>
        <w:outlineLvl w:val="1"/>
        <w:rPr>
          <w:rFonts w:ascii="黑体" w:eastAsia="黑体"/>
          <w:sz w:val="32"/>
          <w:szCs w:val="32"/>
        </w:rPr>
      </w:pPr>
      <w:r>
        <w:br w:type="page"/>
      </w:r>
      <w:r>
        <w:rPr>
          <w:rFonts w:hint="eastAsia" w:ascii="黑体" w:eastAsia="黑体"/>
          <w:sz w:val="32"/>
          <w:szCs w:val="32"/>
        </w:rPr>
        <w:t>一、收入</w:t>
      </w:r>
      <w:r>
        <w:rPr>
          <w:rFonts w:hint="eastAsia" w:ascii="黑体" w:hAnsi="Cambria" w:eastAsia="黑体"/>
          <w:kern w:val="0"/>
          <w:sz w:val="32"/>
          <w:szCs w:val="32"/>
        </w:rPr>
        <w:t>支出</w:t>
      </w:r>
      <w:r>
        <w:rPr>
          <w:rFonts w:hint="eastAsia" w:ascii="黑体" w:eastAsia="黑体"/>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w:t>
      </w:r>
      <w:r>
        <w:rPr>
          <w:rFonts w:ascii="仿宋_GB2312" w:hAnsi="Times New Roman" w:eastAsia="仿宋_GB2312" w:cs="Wingdings"/>
          <w:sz w:val="32"/>
          <w:szCs w:val="32"/>
        </w:rPr>
        <w:t>3528.56</w:t>
      </w:r>
      <w:r>
        <w:rPr>
          <w:rFonts w:hint="eastAsia" w:ascii="仿宋_GB2312" w:hAnsi="Times New Roman" w:eastAsia="仿宋_GB2312" w:cs="Wingdings"/>
          <w:sz w:val="32"/>
          <w:szCs w:val="32"/>
        </w:rPr>
        <w:t>万元。与2019年度决算相比，收支各增加244.89万元，增长7.46%，主要原因是</w:t>
      </w:r>
      <w:r>
        <w:rPr>
          <w:rFonts w:hint="eastAsia" w:ascii="仿宋_GB2312" w:hAnsi="Times New Roman" w:eastAsia="仿宋_GB2312"/>
          <w:sz w:val="32"/>
        </w:rPr>
        <w:t>我院2020年承办诉讼案件大幅增加，导致非税收入增幅较大。</w:t>
      </w:r>
    </w:p>
    <w:p>
      <w:pPr>
        <w:adjustRightInd w:val="0"/>
        <w:snapToGrid w:val="0"/>
        <w:spacing w:line="600" w:lineRule="exact"/>
        <w:rPr>
          <w:rFonts w:ascii="仿宋_GB2312" w:hAnsi="Times New Roman" w:eastAsia="仿宋_GB2312" w:cs="Wingdings"/>
          <w:sz w:val="32"/>
          <w:szCs w:val="32"/>
        </w:rPr>
      </w:pPr>
      <w:r>
        <w:rPr>
          <w:rFonts w:ascii="仿宋_GB2312" w:hAnsi="Times New Roman" w:eastAsia="仿宋_GB2312" w:cs="Wingdings"/>
          <w:sz w:val="32"/>
          <w:szCs w:val="32"/>
        </w:rPr>
        <w:pict>
          <v:shape id="_x0000_s1031" o:spid="_x0000_s1031" o:spt="75" type="#_x0000_t75" style="position:absolute;left:0pt;margin-left:38.1pt;margin-top:9.35pt;height:213.75pt;width:347.25pt;mso-wrap-distance-bottom:0pt;mso-wrap-distance-left:9pt;mso-wrap-distance-right:9pt;mso-wrap-distance-top:0pt;z-index:1024;mso-width-relative:page;mso-height-relative:page;" o:ole="t" filled="f" o:preferrelative="t" stroked="f" coordsize="21600,21600">
            <v:path/>
            <v:fill on="f" focussize="0,0"/>
            <v:stroke on="f"/>
            <v:imagedata r:id="rId16" o:title=""/>
            <o:lock v:ext="edit" aspectratio="t"/>
            <w10:wrap type="square"/>
          </v:shape>
          <o:OLEObject Type="Embed" ProgID="Excel.Chart.8" ShapeID="_x0000_s1031" DrawAspect="Content" ObjectID="_1468075725" r:id="rId15">
            <o:LockedField>false</o:LockedField>
          </o:OLEObject>
        </w:pict>
      </w:r>
    </w:p>
    <w:p>
      <w:pPr>
        <w:adjustRightInd w:val="0"/>
        <w:snapToGrid w:val="0"/>
        <w:spacing w:line="600" w:lineRule="exact"/>
        <w:rPr>
          <w:rFonts w:ascii="仿宋_GB2312" w:hAnsi="Times New Roman" w:eastAsia="仿宋_GB2312" w:cs="Wingdings"/>
          <w:sz w:val="32"/>
          <w:szCs w:val="32"/>
        </w:rPr>
      </w:pPr>
      <w:r>
        <w:rPr>
          <w:rFonts w:ascii="仿宋_GB2312" w:hAnsi="Times New Roman" w:eastAsia="仿宋_GB2312" w:cs="Wingdings"/>
          <w:sz w:val="32"/>
          <w:szCs w:val="32"/>
        </w:rPr>
        <w:pict>
          <v:shape id="图表 27" o:spid="_x0000_s1032" o:spt="100" style="position:absolute;left:0pt;margin-left:58.6pt;margin-top:4.9pt;height:179pt;width:327.4pt;z-index:-1024;mso-width-relative:page;mso-height-relative:page;" filled="f" stroked="f" coordsize="21600,21600" adj=",">
            <v:fill on="f" focussize="0,0"/>
            <v:stroke on="f"/>
            <v:imagedata o:title=""/>
            <o:lock v:ext="edit"/>
          </v:shape>
        </w:pict>
      </w:r>
    </w:p>
    <w:p>
      <w:pPr>
        <w:keepNext/>
        <w:keepLines/>
        <w:snapToGrid w:val="0"/>
        <w:spacing w:line="600" w:lineRule="exact"/>
        <w:ind w:firstLine="640" w:firstLineChars="200"/>
        <w:outlineLvl w:val="1"/>
        <w:rPr>
          <w:rFonts w:ascii="黑体" w:eastAsia="黑体"/>
          <w:sz w:val="32"/>
          <w:szCs w:val="32"/>
        </w:rPr>
      </w:pPr>
    </w:p>
    <w:p>
      <w:pPr>
        <w:keepNext/>
        <w:keepLines/>
        <w:snapToGrid w:val="0"/>
        <w:spacing w:line="600" w:lineRule="exact"/>
        <w:ind w:firstLine="640" w:firstLineChars="200"/>
        <w:outlineLvl w:val="1"/>
        <w:rPr>
          <w:rFonts w:ascii="黑体" w:eastAsia="黑体"/>
          <w:sz w:val="32"/>
          <w:szCs w:val="32"/>
        </w:rPr>
      </w:pPr>
    </w:p>
    <w:p>
      <w:pPr>
        <w:keepNext/>
        <w:keepLines/>
        <w:snapToGrid w:val="0"/>
        <w:spacing w:line="600" w:lineRule="exact"/>
        <w:ind w:firstLine="640" w:firstLineChars="200"/>
        <w:outlineLvl w:val="1"/>
        <w:rPr>
          <w:rFonts w:ascii="黑体" w:eastAsia="黑体"/>
          <w:sz w:val="32"/>
          <w:szCs w:val="32"/>
        </w:rPr>
      </w:pPr>
    </w:p>
    <w:p>
      <w:pPr>
        <w:keepNext/>
        <w:keepLines/>
        <w:snapToGrid w:val="0"/>
        <w:spacing w:line="600" w:lineRule="exact"/>
        <w:ind w:firstLine="640" w:firstLineChars="200"/>
        <w:outlineLvl w:val="1"/>
        <w:rPr>
          <w:rFonts w:ascii="黑体" w:eastAsia="黑体"/>
          <w:sz w:val="32"/>
          <w:szCs w:val="32"/>
        </w:rPr>
      </w:pPr>
    </w:p>
    <w:p>
      <w:pPr>
        <w:keepNext/>
        <w:keepLines/>
        <w:snapToGrid w:val="0"/>
        <w:spacing w:line="600" w:lineRule="exact"/>
        <w:ind w:firstLine="640" w:firstLineChars="200"/>
        <w:outlineLvl w:val="1"/>
        <w:rPr>
          <w:rFonts w:ascii="黑体" w:eastAsia="黑体"/>
          <w:sz w:val="32"/>
          <w:szCs w:val="32"/>
        </w:rPr>
      </w:pPr>
      <w:r>
        <w:rPr>
          <w:rFonts w:hint="eastAsia" w:ascii="黑体" w:eastAsia="黑体"/>
          <w:sz w:val="32"/>
          <w:szCs w:val="32"/>
        </w:rPr>
        <w:t>二、收入决算情况说明</w:t>
      </w:r>
    </w:p>
    <w:p>
      <w:pPr>
        <w:snapToGrid w:val="0"/>
        <w:spacing w:line="600" w:lineRule="exact"/>
        <w:ind w:firstLine="640" w:firstLineChars="200"/>
        <w:outlineLvl w:val="1"/>
        <w:rPr>
          <w:rFonts w:ascii="仿宋_GB2312" w:hAnsi="Times New Roman" w:eastAsia="仿宋_GB2312" w:cs="Wingdings"/>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sz w:val="32"/>
          <w:szCs w:val="32"/>
        </w:rPr>
        <w:t>部门2020年度本年收入合计</w:t>
      </w:r>
      <w:r>
        <w:rPr>
          <w:rFonts w:ascii="仿宋_GB2312" w:hAnsi="Times New Roman" w:eastAsia="仿宋_GB2312" w:cs="Wingdings"/>
          <w:color w:val="000000"/>
          <w:sz w:val="32"/>
          <w:szCs w:val="32"/>
        </w:rPr>
        <w:t>3484.29</w:t>
      </w:r>
      <w:r>
        <w:rPr>
          <w:rFonts w:hint="eastAsia" w:ascii="仿宋_GB2312" w:hAnsi="Times New Roman" w:eastAsia="仿宋_GB2312" w:cs="Wingdings"/>
          <w:color w:val="000000"/>
          <w:sz w:val="32"/>
          <w:szCs w:val="32"/>
        </w:rPr>
        <w:t>万元，其中：财政拨款收入</w:t>
      </w:r>
      <w:r>
        <w:rPr>
          <w:rFonts w:ascii="仿宋_GB2312" w:hAnsi="Times New Roman" w:eastAsia="仿宋_GB2312" w:cs="Wingdings"/>
          <w:color w:val="000000"/>
          <w:sz w:val="32"/>
          <w:szCs w:val="32"/>
        </w:rPr>
        <w:t>3484.29</w:t>
      </w:r>
      <w:r>
        <w:rPr>
          <w:rFonts w:hint="eastAsia" w:ascii="仿宋_GB2312" w:hAnsi="Times New Roman" w:eastAsia="仿宋_GB2312" w:cs="Wingdings"/>
          <w:color w:val="000000"/>
          <w:sz w:val="32"/>
          <w:szCs w:val="32"/>
        </w:rPr>
        <w:t>万元，占100%；上级补助收入0万元，占0%；事业收入0万元，占0%；经营收入0万元，占0%；附属单位上缴收入0万元，占0%；其他收入0万元，占0%。</w:t>
      </w:r>
    </w:p>
    <w:p>
      <w:pPr>
        <w:snapToGrid w:val="0"/>
        <w:spacing w:line="600" w:lineRule="exact"/>
        <w:ind w:firstLine="640" w:firstLineChars="200"/>
        <w:outlineLvl w:val="1"/>
        <w:rPr>
          <w:rFonts w:ascii="黑体" w:eastAsia="黑体"/>
          <w:sz w:val="32"/>
          <w:szCs w:val="32"/>
        </w:rPr>
      </w:pPr>
    </w:p>
    <w:p>
      <w:pPr>
        <w:snapToGrid w:val="0"/>
        <w:spacing w:line="600" w:lineRule="exact"/>
        <w:ind w:firstLine="640" w:firstLineChars="200"/>
        <w:outlineLvl w:val="1"/>
        <w:rPr>
          <w:rFonts w:ascii="黑体" w:eastAsia="黑体"/>
          <w:sz w:val="32"/>
          <w:szCs w:val="32"/>
        </w:rPr>
      </w:pPr>
      <w:r>
        <w:rPr>
          <w:rFonts w:hint="eastAsia" w:ascii="黑体" w:eastAsia="黑体"/>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ascii="仿宋_GB2312" w:hAnsi="Times New Roman" w:eastAsia="仿宋_GB2312" w:cs="Wingdings"/>
          <w:sz w:val="32"/>
          <w:szCs w:val="32"/>
        </w:rPr>
        <w:t>3516.29</w:t>
      </w:r>
      <w:r>
        <w:rPr>
          <w:rFonts w:hint="eastAsia" w:ascii="仿宋_GB2312" w:hAnsi="Times New Roman" w:eastAsia="仿宋_GB2312" w:cs="Wingdings"/>
          <w:sz w:val="32"/>
          <w:szCs w:val="32"/>
        </w:rPr>
        <w:t>万元，其中：基本支出</w:t>
      </w:r>
      <w:r>
        <w:rPr>
          <w:rFonts w:ascii="仿宋_GB2312" w:hAnsi="Times New Roman" w:eastAsia="仿宋_GB2312" w:cs="Wingdings"/>
          <w:sz w:val="32"/>
          <w:szCs w:val="32"/>
        </w:rPr>
        <w:t>2200.24</w:t>
      </w:r>
      <w:r>
        <w:rPr>
          <w:rFonts w:hint="eastAsia" w:ascii="仿宋_GB2312" w:hAnsi="Times New Roman" w:eastAsia="仿宋_GB2312" w:cs="Wingdings"/>
          <w:sz w:val="32"/>
          <w:szCs w:val="32"/>
        </w:rPr>
        <w:t>万元，占62.57%；项目支出</w:t>
      </w:r>
      <w:r>
        <w:rPr>
          <w:rFonts w:ascii="仿宋_GB2312" w:hAnsi="Times New Roman" w:eastAsia="仿宋_GB2312" w:cs="Wingdings"/>
          <w:sz w:val="32"/>
          <w:szCs w:val="32"/>
        </w:rPr>
        <w:t>1316.05</w:t>
      </w:r>
      <w:r>
        <w:rPr>
          <w:rFonts w:hint="eastAsia" w:ascii="仿宋_GB2312" w:hAnsi="Times New Roman" w:eastAsia="仿宋_GB2312" w:cs="Wingdings"/>
          <w:sz w:val="32"/>
          <w:szCs w:val="32"/>
        </w:rPr>
        <w:t>万元，占37.43%；上缴上级支出0万元，占0%；经营支出0万元，占0%；对附属单位补助支出0万元，占0%。如图所示：</w:t>
      </w:r>
    </w:p>
    <w:p>
      <w:pPr>
        <w:adjustRightInd w:val="0"/>
        <w:snapToGrid w:val="0"/>
        <w:spacing w:line="600" w:lineRule="exact"/>
        <w:ind w:firstLine="1260" w:firstLineChars="600"/>
        <w:rPr>
          <w:rFonts w:ascii="仿宋_GB2312" w:hAnsi="Times New Roman" w:eastAsia="仿宋_GB2312" w:cs="Wingdings"/>
          <w:sz w:val="32"/>
          <w:szCs w:val="32"/>
        </w:rPr>
      </w:pPr>
      <w:r>
        <w:rPr>
          <w:rFonts w:ascii="Times New Roman" w:hAnsi="Times New Roman"/>
        </w:rPr>
        <w:pict>
          <v:shape id="_x0000_s1033" o:spid="_x0000_s1033" o:spt="75" type="#_x0000_t75" style="position:absolute;left:0pt;margin-left:89.3pt;margin-top:7.15pt;height:127.85pt;width:264.45pt;mso-wrap-distance-bottom:0pt;mso-wrap-distance-left:9pt;mso-wrap-distance-right:9pt;mso-wrap-distance-top:0pt;z-index:1024;mso-width-relative:page;mso-height-relative:page;" o:ole="t" filled="f" o:preferrelative="t" stroked="f" coordsize="21600,21600">
            <v:path/>
            <v:fill on="f" focussize="0,0"/>
            <v:stroke on="f" joinstyle="miter"/>
            <v:imagedata r:id="rId18" o:title=""/>
            <o:lock v:ext="edit" aspectratio="t"/>
            <w10:wrap type="square"/>
          </v:shape>
          <o:OLEObject Type="Embed" ProgID="Excel.Chart.8" ShapeID="_x0000_s1033" DrawAspect="Content" ObjectID="_1468075726" r:id="rId17">
            <o:LockedField>false</o:LockedField>
          </o:OLEObject>
        </w:pict>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keepNext/>
        <w:keepLines/>
        <w:snapToGrid w:val="0"/>
        <w:spacing w:line="600" w:lineRule="exact"/>
        <w:ind w:firstLine="640" w:firstLineChars="200"/>
        <w:outlineLvl w:val="1"/>
        <w:rPr>
          <w:rFonts w:ascii="黑体" w:eastAsia="黑体"/>
          <w:sz w:val="32"/>
          <w:szCs w:val="32"/>
        </w:rPr>
      </w:pPr>
      <w:r>
        <w:rPr>
          <w:rFonts w:hint="eastAsia" w:ascii="黑体" w:eastAsia="黑体"/>
          <w:sz w:val="32"/>
          <w:szCs w:val="32"/>
        </w:rPr>
        <w:t>四、</w:t>
      </w:r>
      <w:r>
        <w:rPr>
          <w:rFonts w:hint="eastAsia" w:ascii="黑体" w:hAnsi="Cambria" w:eastAsia="黑体"/>
          <w:kern w:val="0"/>
          <w:sz w:val="32"/>
          <w:szCs w:val="32"/>
        </w:rPr>
        <w:t>财政</w:t>
      </w:r>
      <w:r>
        <w:rPr>
          <w:rFonts w:hint="eastAsia" w:ascii="黑体" w:eastAsia="黑体"/>
          <w:sz w:val="32"/>
          <w:szCs w:val="32"/>
        </w:rPr>
        <w:t>拨款收入支出决算总体情况说明</w:t>
      </w:r>
    </w:p>
    <w:p>
      <w:pPr>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w:t>
      </w:r>
      <w:r>
        <w:rPr>
          <w:rFonts w:ascii="仿宋_GB2312" w:hAnsi="Times New Roman" w:eastAsia="仿宋_GB2312" w:cs="Wingdings"/>
          <w:color w:val="000000"/>
          <w:sz w:val="32"/>
          <w:szCs w:val="32"/>
        </w:rPr>
        <w:t>3484.29</w:t>
      </w:r>
      <w:r>
        <w:rPr>
          <w:rFonts w:hint="eastAsia" w:ascii="仿宋_GB2312" w:hAnsi="Times New Roman" w:eastAsia="仿宋_GB2312" w:cs="Wingdings"/>
          <w:sz w:val="32"/>
          <w:szCs w:val="32"/>
        </w:rPr>
        <w:t>万元,比2019年度增加200.62万元，增长6.11%，主要是</w:t>
      </w:r>
      <w:r>
        <w:rPr>
          <w:rFonts w:hint="eastAsia" w:ascii="仿宋_GB2312" w:hAnsi="Times New Roman" w:eastAsia="仿宋_GB2312"/>
          <w:sz w:val="32"/>
        </w:rPr>
        <w:t>我院2019年承办诉讼案件大幅增加，从而非税收入增幅较大，导致财政拨款收入增幅较大</w:t>
      </w:r>
      <w:r>
        <w:rPr>
          <w:rFonts w:hint="eastAsia" w:ascii="仿宋_GB2312" w:hAnsi="Times New Roman" w:eastAsia="仿宋_GB2312" w:cs="Wingdings"/>
          <w:sz w:val="32"/>
          <w:szCs w:val="32"/>
        </w:rPr>
        <w:t>；本年支出</w:t>
      </w:r>
      <w:r>
        <w:rPr>
          <w:rFonts w:ascii="仿宋_GB2312" w:hAnsi="Times New Roman" w:eastAsia="仿宋_GB2312" w:cs="Wingdings"/>
          <w:sz w:val="32"/>
          <w:szCs w:val="32"/>
        </w:rPr>
        <w:t>3516.29</w:t>
      </w:r>
      <w:r>
        <w:rPr>
          <w:rFonts w:hint="eastAsia" w:ascii="仿宋_GB2312" w:hAnsi="Times New Roman" w:eastAsia="仿宋_GB2312" w:cs="Wingdings"/>
          <w:sz w:val="32"/>
          <w:szCs w:val="32"/>
        </w:rPr>
        <w:t>万元，增加275.72万元，增长8.51%，主要是</w:t>
      </w:r>
      <w:r>
        <w:rPr>
          <w:rFonts w:hint="eastAsia" w:ascii="仿宋_GB2312" w:hAnsi="Times New Roman" w:eastAsia="仿宋_GB2312"/>
          <w:sz w:val="32"/>
        </w:rPr>
        <w:t>行政运行资金支出占比较高</w:t>
      </w:r>
      <w:r>
        <w:rPr>
          <w:rFonts w:hint="eastAsia" w:ascii="仿宋_GB2312" w:hAnsi="Times New Roman" w:eastAsia="仿宋_GB2312" w:cs="Wingdings"/>
          <w:sz w:val="32"/>
          <w:szCs w:val="32"/>
        </w:rPr>
        <w:t>。</w:t>
      </w:r>
      <w:r>
        <w:pict>
          <v:shape id="_x0000_i1025" o:spt="75" type="#_x0000_t75" style="height:216pt;width:216pt;" filled="f" o:preferrelative="t" stroked="f" coordsize="21600,21600">
            <v:path/>
            <v:fill on="f" focussize="0,0"/>
            <v:stroke on="f" joinstyle="miter"/>
            <v:imagedata o:title=""/>
            <o:lock v:ext="edit" aspectratio="t"/>
            <w10:wrap type="none"/>
            <w10:anchorlock/>
          </v:shape>
        </w:pict>
      </w:r>
    </w:p>
    <w:p>
      <w:pPr>
        <w:adjustRightInd w:val="0"/>
        <w:snapToGrid w:val="0"/>
        <w:spacing w:line="600" w:lineRule="exact"/>
        <w:ind w:firstLine="640" w:firstLineChars="200"/>
        <w:rPr>
          <w:rFonts w:ascii="仿宋_GB2312" w:hAnsi="Times New Roman" w:eastAsia="仿宋_GB2312" w:cs="Wingdings"/>
          <w:sz w:val="32"/>
          <w:szCs w:val="32"/>
        </w:rPr>
      </w:pPr>
      <w:r>
        <w:rPr>
          <w:rFonts w:ascii="仿宋_GB2312" w:hAnsi="Times New Roman" w:eastAsia="仿宋_GB2312" w:cs="Wingdings"/>
          <w:sz w:val="32"/>
          <w:szCs w:val="32"/>
        </w:rPr>
        <w:pict>
          <v:shape id="_x0000_s1035" o:spid="_x0000_s1035" o:spt="75" type="#_x0000_t75" style="position:absolute;left:0pt;margin-left:37pt;margin-top:7pt;height:203.85pt;width:363.75pt;mso-wrap-distance-bottom:0pt;mso-wrap-distance-left:9pt;mso-wrap-distance-right:9pt;mso-wrap-distance-top:0pt;z-index:1024;mso-width-relative:page;mso-height-relative:page;" o:ole="t" filled="f" o:preferrelative="t" stroked="f" coordsize="21600,21600">
            <v:path/>
            <v:fill on="f" focussize="0,0"/>
            <v:stroke on="f" joinstyle="miter"/>
            <v:imagedata r:id="rId20" o:title=""/>
            <o:lock v:ext="edit" aspectratio="t"/>
            <w10:wrap type="square"/>
          </v:shape>
          <o:OLEObject Type="Embed" ProgID="Excel.Chart.8" ShapeID="_x0000_s1035" DrawAspect="Content" ObjectID="_1468075727" r:id="rId19">
            <o:LockedField>false</o:LockedField>
          </o:OLEObject>
        </w:pict>
      </w:r>
    </w:p>
    <w:p>
      <w:pPr>
        <w:adjustRightInd w:val="0"/>
        <w:snapToGrid w:val="0"/>
        <w:spacing w:line="600" w:lineRule="exact"/>
        <w:ind w:firstLine="640" w:firstLineChars="200"/>
        <w:rPr>
          <w:rFonts w:ascii="仿宋_GB2312" w:hAnsi="Times New Roman" w:eastAsia="仿宋_GB2312" w:cs="Wingdings"/>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本部门2020年度一般公共预算财政拨款收入</w:t>
      </w:r>
      <w:r>
        <w:rPr>
          <w:rFonts w:ascii="仿宋_GB2312" w:hAnsi="Times New Roman" w:eastAsia="仿宋_GB2312" w:cs="Wingdings"/>
          <w:color w:val="000000"/>
          <w:sz w:val="32"/>
          <w:szCs w:val="32"/>
        </w:rPr>
        <w:t>3484.29</w:t>
      </w:r>
      <w:r>
        <w:rPr>
          <w:rFonts w:hint="eastAsia" w:ascii="仿宋_GB2312" w:hAnsi="Times New Roman" w:eastAsia="仿宋_GB2312" w:cs="Wingdings"/>
          <w:sz w:val="32"/>
          <w:szCs w:val="32"/>
        </w:rPr>
        <w:t>万元，完成年初预算的87.17%,比年初预算减少512.82万元，决算数小于预算数主要原因是非税收入未达到预期金额；本年支出</w:t>
      </w:r>
      <w:r>
        <w:rPr>
          <w:rFonts w:ascii="仿宋_GB2312" w:hAnsi="Times New Roman" w:eastAsia="仿宋_GB2312" w:cs="Wingdings"/>
          <w:sz w:val="32"/>
          <w:szCs w:val="32"/>
        </w:rPr>
        <w:t>3516.29</w:t>
      </w:r>
      <w:r>
        <w:rPr>
          <w:rFonts w:hint="eastAsia" w:ascii="仿宋_GB2312" w:hAnsi="Times New Roman" w:eastAsia="仿宋_GB2312" w:cs="Wingdings"/>
          <w:sz w:val="32"/>
          <w:szCs w:val="32"/>
        </w:rPr>
        <w:t>万元，完成年初预算的12.03%,比年初预算减少480.82万元，决算数小于预算数主要原因是在保证法院正常工作运转的同时根据压减支出要求，我院减少了部分资金支出量。</w:t>
      </w:r>
    </w:p>
    <w:p>
      <w:pPr>
        <w:adjustRightInd w:val="0"/>
        <w:snapToGrid w:val="0"/>
        <w:spacing w:line="600" w:lineRule="exact"/>
        <w:rPr>
          <w:rFonts w:ascii="仿宋_GB2312" w:hAnsi="Times New Roman" w:eastAsia="仿宋_GB2312" w:cs="Wingdings"/>
          <w:sz w:val="32"/>
          <w:szCs w:val="32"/>
        </w:rPr>
      </w:pPr>
      <w:r>
        <w:rPr>
          <w:rFonts w:ascii="仿宋_GB2312" w:hAnsi="Times New Roman" w:eastAsia="仿宋_GB2312" w:cs="Wingdings"/>
          <w:sz w:val="32"/>
          <w:szCs w:val="32"/>
        </w:rPr>
        <w:pict>
          <v:shape id="_x0000_s1036" o:spid="_x0000_s1036" o:spt="75" type="#_x0000_t75" style="position:absolute;left:0pt;margin-left:36.35pt;margin-top:6.4pt;height:210.7pt;width:372.1pt;mso-wrap-distance-bottom:0pt;mso-wrap-distance-left:9pt;mso-wrap-distance-right:9pt;mso-wrap-distance-top:0pt;z-index:1024;mso-width-relative:page;mso-height-relative:page;" o:ole="t" filled="f" o:preferrelative="t" stroked="f" coordsize="21600,21600">
            <v:path/>
            <v:fill on="f" focussize="0,0"/>
            <v:stroke on="f"/>
            <v:imagedata r:id="rId22" o:title=""/>
            <o:lock v:ext="edit" aspectratio="t"/>
            <w10:wrap type="square"/>
          </v:shape>
          <o:OLEObject Type="Embed" ProgID="Excel.Chart.8" ShapeID="_x0000_s1036" DrawAspect="Content" ObjectID="_1468075728" r:id="rId21">
            <o:LockedField>false</o:LockedField>
          </o:OLEObject>
        </w:pict>
      </w: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2020年度财政拨款支出</w:t>
      </w:r>
      <w:r>
        <w:rPr>
          <w:rFonts w:ascii="仿宋_GB2312" w:hAnsi="Times New Roman" w:eastAsia="仿宋_GB2312" w:cs="Wingdings"/>
          <w:sz w:val="32"/>
          <w:szCs w:val="32"/>
        </w:rPr>
        <w:t>3516.29</w:t>
      </w:r>
      <w:r>
        <w:rPr>
          <w:rFonts w:hint="eastAsia" w:ascii="仿宋_GB2312" w:hAnsi="Times New Roman" w:eastAsia="仿宋_GB2312" w:cs="Wingdings"/>
          <w:sz w:val="32"/>
          <w:szCs w:val="32"/>
        </w:rPr>
        <w:t>万元，主要用于以下方面：一般公共服务（类）支出0万元，占0%，；公共安全类（类）支出3516.29万元，占100%；教育（类）支出0万元，占0%；科学技术（类）支出0万元，占0%；社会保障和就业（类）支出0万元，占0%；住房保障（类）支出0万元，占0%。</w:t>
      </w:r>
    </w:p>
    <w:p>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年度财政拨款基本支出2200.24万元，其中：人员经费2077.22万元，主要包括基本工资、津贴补贴、奖金、绩效工资、机关事业单位基本养老保险缴费、职业年金缴费、职工基本医疗保险缴费、公务员医疗补助缴费、住房公积金、医疗费、其他社会保障缴费、其他工资福利支出、离休费、退休费、生活补助、其他对个人和家庭的补助支出；公用经费123.02万元，主要包括办公费、印刷费、咨询费、手续费、水费、电费、邮电费、取暖费、物业管理费、差旅费、维修（护）费、租赁费、会议费、培训费、劳务费、委托业务费、工会经费、福利费、公务用车运行维护费、其他商品和服务支出、办公设备购置、专用设备购置、信息网络及软件购置更新、公务用车购置、其他资本性支出。</w:t>
      </w:r>
    </w:p>
    <w:p>
      <w:pPr>
        <w:adjustRightInd w:val="0"/>
        <w:snapToGrid w:val="0"/>
        <w:spacing w:line="600" w:lineRule="exact"/>
        <w:ind w:firstLine="640" w:firstLineChars="200"/>
        <w:rPr>
          <w:rFonts w:ascii="仿宋_GB2312" w:hAnsi="Times New Roman" w:eastAsia="仿宋_GB2312" w:cs="Wingdings"/>
          <w:sz w:val="32"/>
          <w:szCs w:val="32"/>
        </w:rPr>
      </w:pPr>
    </w:p>
    <w:p>
      <w:pPr>
        <w:keepNext/>
        <w:keepLines/>
        <w:snapToGrid w:val="0"/>
        <w:spacing w:line="600" w:lineRule="exact"/>
        <w:ind w:firstLine="640" w:firstLineChars="200"/>
        <w:outlineLvl w:val="1"/>
        <w:rPr>
          <w:rFonts w:ascii="黑体" w:eastAsia="黑体"/>
          <w:sz w:val="32"/>
          <w:szCs w:val="32"/>
        </w:rPr>
      </w:pPr>
      <w:r>
        <w:rPr>
          <w:rFonts w:hint="eastAsia" w:ascii="黑体" w:eastAsia="黑体"/>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本部门2020年度“三公”经费财政拨款支出预算为81.65万元，支出决算为73.9元，完成预算的</w:t>
      </w:r>
      <w:r>
        <w:rPr>
          <w:rFonts w:hint="eastAsia" w:ascii="仿宋_GB2312" w:hAnsi="仿宋_GB2312" w:eastAsia="仿宋_GB2312" w:cs="仿宋_GB2312"/>
          <w:sz w:val="32"/>
          <w:szCs w:val="32"/>
        </w:rPr>
        <w:t>90.51</w:t>
      </w:r>
      <w:r>
        <w:rPr>
          <w:rFonts w:hint="eastAsia" w:ascii="仿宋_GB2312" w:hAnsi="Times New Roman" w:eastAsia="仿宋_GB2312" w:cs="Wingdings"/>
          <w:sz w:val="32"/>
          <w:szCs w:val="32"/>
        </w:rPr>
        <w:t>%,较预算减少7.75万元，降低9.49%，主要是本年</w:t>
      </w:r>
      <w:r>
        <w:rPr>
          <w:rFonts w:hint="eastAsia" w:ascii="仿宋_GB2312" w:hAnsi="Times New Roman" w:eastAsia="仿宋_GB2312" w:cs="Wingdings"/>
          <w:sz w:val="32"/>
          <w:szCs w:val="32"/>
          <w:lang w:eastAsia="zh-CN"/>
        </w:rPr>
        <w:t>度</w:t>
      </w:r>
      <w:r>
        <w:rPr>
          <w:rFonts w:hint="eastAsia" w:ascii="仿宋_GB2312" w:hAnsi="Times New Roman" w:eastAsia="仿宋_GB2312" w:cs="Wingdings"/>
          <w:sz w:val="32"/>
          <w:szCs w:val="32"/>
        </w:rPr>
        <w:t>疫情导致公车出行率降低，维护费随之减少；较2019年度增加29.9万元，增长67.95%，主要是本年</w:t>
      </w:r>
      <w:r>
        <w:rPr>
          <w:rFonts w:hint="eastAsia" w:ascii="仿宋_GB2312" w:hAnsi="Times New Roman" w:eastAsia="仿宋_GB2312" w:cs="Wingdings"/>
          <w:sz w:val="32"/>
          <w:szCs w:val="32"/>
          <w:lang w:eastAsia="zh-CN"/>
        </w:rPr>
        <w:t>度</w:t>
      </w:r>
      <w:r>
        <w:rPr>
          <w:rFonts w:hint="eastAsia" w:ascii="仿宋_GB2312" w:hAnsi="Times New Roman" w:eastAsia="仿宋_GB2312" w:cs="Wingdings"/>
          <w:sz w:val="32"/>
          <w:szCs w:val="32"/>
        </w:rPr>
        <w:t>增加公车购置预算。</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因公出国（境）费支出0万元，完成预算的0%。</w:t>
      </w:r>
      <w:r>
        <w:rPr>
          <w:rFonts w:hint="eastAsia" w:ascii="仿宋_GB2312" w:hAnsi="Times New Roman" w:eastAsia="仿宋_GB2312" w:cs="Wingdings"/>
          <w:sz w:val="32"/>
          <w:szCs w:val="32"/>
        </w:rPr>
        <w:t>因公出国（境）团组0个、共0人、参加其他单位组织的因公出国（境）团组0个、共0人/无本单位组织的出国（境）团组。因公出国（境）费支出较预算增加0万元，增长0%；较上年增加0万元，增长0%。</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公务用车购置及运行维护费支出73.9万元，完成预算的90.51%，</w:t>
      </w:r>
      <w:r>
        <w:rPr>
          <w:rFonts w:hint="eastAsia" w:ascii="仿宋_GB2312" w:hAnsi="Times New Roman" w:eastAsia="仿宋_GB2312" w:cs="Wingdings"/>
          <w:sz w:val="32"/>
          <w:szCs w:val="32"/>
        </w:rPr>
        <w:t>较预算减少7.75万元，降低9.49%，主要是本年</w:t>
      </w:r>
      <w:r>
        <w:rPr>
          <w:rFonts w:hint="eastAsia" w:ascii="仿宋_GB2312" w:hAnsi="Times New Roman" w:eastAsia="仿宋_GB2312" w:cs="Wingdings"/>
          <w:sz w:val="32"/>
          <w:szCs w:val="32"/>
          <w:lang w:eastAsia="zh-CN"/>
        </w:rPr>
        <w:t>度</w:t>
      </w:r>
      <w:r>
        <w:rPr>
          <w:rFonts w:hint="eastAsia" w:ascii="仿宋_GB2312" w:hAnsi="Times New Roman" w:eastAsia="仿宋_GB2312" w:cs="Wingdings"/>
          <w:sz w:val="32"/>
          <w:szCs w:val="32"/>
        </w:rPr>
        <w:t>疫情导致公车出行率降低，维护费随之减少；较2019年度增加29.9万元，增长67.95%，主要是本年</w:t>
      </w:r>
      <w:r>
        <w:rPr>
          <w:rFonts w:hint="eastAsia" w:ascii="仿宋_GB2312" w:hAnsi="Times New Roman" w:eastAsia="仿宋_GB2312" w:cs="Wingdings"/>
          <w:sz w:val="32"/>
          <w:szCs w:val="32"/>
          <w:lang w:eastAsia="zh-CN"/>
        </w:rPr>
        <w:t>度</w:t>
      </w:r>
      <w:r>
        <w:rPr>
          <w:rFonts w:hint="eastAsia" w:ascii="仿宋_GB2312" w:hAnsi="Times New Roman" w:eastAsia="仿宋_GB2312" w:cs="Wingdings"/>
          <w:sz w:val="32"/>
          <w:szCs w:val="32"/>
        </w:rPr>
        <w:t>增加公车购置预算。</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本部门2020年度公务用车购置量1辆，发生“公务用车购置”经费支出37.65万元。公务用车购置费支出较预算减少0万元，降低0%,与预算数持平；较上年增加37.65万元，增长100%，主要是本年增加公车购置预算。</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本部门2020年度单位公务用车保有量20辆,发生运行维护费支出36.25万元。公车运行维护费支出较预算</w:t>
      </w:r>
      <w:r>
        <w:rPr>
          <w:rFonts w:hint="eastAsia" w:ascii="仿宋_GB2312" w:hAnsi="Times New Roman" w:eastAsia="仿宋_GB2312" w:cs="DengXian-Regular"/>
          <w:sz w:val="32"/>
          <w:szCs w:val="32"/>
        </w:rPr>
        <w:t>减少7.75万元，降低17.61%,</w:t>
      </w:r>
      <w:r>
        <w:rPr>
          <w:rFonts w:hint="eastAsia" w:ascii="仿宋_GB2312" w:hAnsi="Times New Roman" w:eastAsia="仿宋_GB2312" w:cs="Wingdings"/>
          <w:sz w:val="32"/>
          <w:szCs w:val="32"/>
        </w:rPr>
        <w:t>主要是疫情导致公车出行率降低，维护费随之减少</w:t>
      </w:r>
      <w:r>
        <w:rPr>
          <w:rFonts w:hint="eastAsia" w:ascii="仿宋_GB2312" w:hAnsi="Times New Roman" w:eastAsia="仿宋_GB2312" w:cs="DengXian-Regular"/>
          <w:sz w:val="32"/>
          <w:szCs w:val="32"/>
        </w:rPr>
        <w:t>；较上年减少7.75万元，降低17.61%,</w:t>
      </w:r>
      <w:r>
        <w:rPr>
          <w:rFonts w:hint="eastAsia" w:ascii="仿宋_GB2312" w:hAnsi="Times New Roman" w:eastAsia="仿宋_GB2312" w:cs="Wingdings"/>
          <w:sz w:val="32"/>
          <w:szCs w:val="32"/>
        </w:rPr>
        <w:t>主要是本年疫情导致公车出行率降低，维护费随之减少。</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公务接待费支出0万元，完成预算的0%。发生</w:t>
      </w:r>
      <w:r>
        <w:rPr>
          <w:rFonts w:hint="eastAsia" w:ascii="仿宋_GB2312" w:hAnsi="Times New Roman" w:eastAsia="仿宋_GB2312" w:cs="Wingdings"/>
          <w:sz w:val="32"/>
          <w:szCs w:val="32"/>
        </w:rPr>
        <w:t>公务接待共0批次、0人次。公务接待费支出较预算增加0万元，增长0%,</w:t>
      </w:r>
      <w:r>
        <w:rPr>
          <w:rFonts w:hint="eastAsia" w:ascii="仿宋_GB2312" w:hAnsi="Times New Roman" w:eastAsia="仿宋_GB2312" w:cs="DengXian-Regular"/>
          <w:sz w:val="32"/>
          <w:szCs w:val="32"/>
        </w:rPr>
        <w:t>与预算</w:t>
      </w:r>
      <w:r>
        <w:rPr>
          <w:rFonts w:hint="eastAsia" w:ascii="仿宋_GB2312" w:hAnsi="Times New Roman" w:eastAsia="仿宋_GB2312" w:cs="DengXian-Regular"/>
          <w:sz w:val="32"/>
          <w:szCs w:val="32"/>
          <w:lang w:eastAsia="zh-CN"/>
        </w:rPr>
        <w:t>数</w:t>
      </w:r>
      <w:bookmarkStart w:id="0" w:name="_GoBack"/>
      <w:bookmarkEnd w:id="0"/>
      <w:r>
        <w:rPr>
          <w:rFonts w:hint="eastAsia" w:ascii="仿宋_GB2312" w:hAnsi="Times New Roman" w:eastAsia="仿宋_GB2312" w:cs="DengXian-Regular"/>
          <w:sz w:val="32"/>
          <w:szCs w:val="32"/>
        </w:rPr>
        <w:t>持平</w:t>
      </w:r>
      <w:r>
        <w:rPr>
          <w:rFonts w:hint="eastAsia" w:ascii="仿宋_GB2312" w:hAnsi="Times New Roman" w:eastAsia="仿宋_GB2312" w:cs="Wingdings"/>
          <w:sz w:val="32"/>
          <w:szCs w:val="32"/>
        </w:rPr>
        <w:t>；较上年度增加0万元，增长0%,</w:t>
      </w:r>
      <w:r>
        <w:rPr>
          <w:rFonts w:hint="eastAsia" w:ascii="仿宋_GB2312" w:hAnsi="Times New Roman" w:eastAsia="仿宋_GB2312" w:cs="DengXian-Regular"/>
          <w:sz w:val="32"/>
          <w:szCs w:val="32"/>
        </w:rPr>
        <w:t>与</w:t>
      </w:r>
      <w:r>
        <w:rPr>
          <w:rFonts w:ascii="仿宋_GB2312" w:hAnsi="Times New Roman" w:eastAsia="仿宋_GB2312" w:cs="DengXian-Regular"/>
          <w:sz w:val="32"/>
          <w:szCs w:val="32"/>
        </w:rPr>
        <w:t>201</w:t>
      </w:r>
      <w:r>
        <w:rPr>
          <w:rFonts w:hint="eastAsia" w:ascii="仿宋_GB2312" w:hAnsi="Times New Roman" w:eastAsia="仿宋_GB2312" w:cs="DengXian-Regular"/>
          <w:sz w:val="32"/>
          <w:szCs w:val="32"/>
        </w:rPr>
        <w:t>9</w:t>
      </w:r>
      <w:r>
        <w:rPr>
          <w:rFonts w:ascii="仿宋_GB2312" w:hAnsi="Times New Roman" w:eastAsia="仿宋_GB2312" w:cs="DengXian-Regular"/>
          <w:sz w:val="32"/>
          <w:szCs w:val="32"/>
        </w:rPr>
        <w:t>年度决算支出持平</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黑体" w:hAnsi="Times New Roman" w:eastAsia="黑体"/>
          <w:sz w:val="32"/>
          <w:szCs w:val="40"/>
        </w:rPr>
      </w:pPr>
    </w:p>
    <w:p>
      <w:pPr>
        <w:adjustRightInd w:val="0"/>
        <w:snapToGrid w:val="0"/>
        <w:spacing w:line="600" w:lineRule="exact"/>
        <w:ind w:firstLine="640" w:firstLineChars="200"/>
        <w:rPr>
          <w:rFonts w:ascii="黑体" w:hAnsi="Times New Roman" w:eastAsia="黑体"/>
          <w:sz w:val="32"/>
          <w:szCs w:val="40"/>
        </w:rPr>
      </w:pPr>
      <w:r>
        <w:rPr>
          <w:rFonts w:hint="eastAsia" w:ascii="黑体" w:hAnsi="Times New Roman" w:eastAsia="黑体"/>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根据预算绩效管理要求，本部门组织对2020年度项目支出全面开展绩效自评，其中，一般公共预算项目13个，共涉及资金</w:t>
      </w:r>
      <w:r>
        <w:rPr>
          <w:rFonts w:ascii="仿宋_GB2312" w:hAnsi="仿宋_GB2312" w:eastAsia="仿宋_GB2312" w:cs="仿宋_GB2312"/>
          <w:sz w:val="32"/>
          <w:szCs w:val="32"/>
        </w:rPr>
        <w:t>1316.05</w:t>
      </w:r>
      <w:r>
        <w:rPr>
          <w:rFonts w:hint="eastAsia" w:ascii="仿宋_GB2312" w:hAnsi="仿宋_GB2312" w:eastAsia="仿宋_GB2312" w:cs="仿宋_GB2312"/>
          <w:sz w:val="32"/>
          <w:szCs w:val="32"/>
        </w:rPr>
        <w:t>万元，占一般公共预算项目支出总额的100%；政府性基金预算项目0个,共涉及资金0万元，占政府性基金预算项目支出总额的0%。</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组织对“案卷印刷邮寄、维修费、办公设备购置”、“</w:t>
      </w:r>
      <w:r>
        <w:rPr>
          <w:rFonts w:hint="eastAsia"/>
        </w:rPr>
        <w:t xml:space="preserve"> </w:t>
      </w:r>
      <w:r>
        <w:rPr>
          <w:rFonts w:hint="eastAsia" w:ascii="仿宋_GB2312" w:hAnsi="仿宋_GB2312" w:eastAsia="仿宋_GB2312" w:cs="仿宋_GB2312"/>
          <w:sz w:val="32"/>
          <w:szCs w:val="32"/>
        </w:rPr>
        <w:t>涉法涉诉信访资金”等项目开展了部门重点评价，涉及一般公共预算支出</w:t>
      </w:r>
      <w:r>
        <w:rPr>
          <w:rFonts w:ascii="仿宋_GB2312" w:hAnsi="仿宋_GB2312" w:eastAsia="仿宋_GB2312" w:cs="仿宋_GB2312"/>
          <w:sz w:val="32"/>
          <w:szCs w:val="32"/>
        </w:rPr>
        <w:t>1316.05</w:t>
      </w:r>
      <w:r>
        <w:rPr>
          <w:rFonts w:hint="eastAsia" w:ascii="仿宋_GB2312" w:hAnsi="仿宋_GB2312" w:eastAsia="仿宋_GB2312" w:cs="仿宋_GB2312"/>
          <w:sz w:val="32"/>
          <w:szCs w:val="32"/>
        </w:rPr>
        <w:t>万元，政府性基金预算支出0万元。其中，对“案卷印刷邮寄、维修费、办公设备购置”、“</w:t>
      </w:r>
      <w:r>
        <w:rPr>
          <w:rFonts w:hint="eastAsia"/>
        </w:rPr>
        <w:t xml:space="preserve"> </w:t>
      </w:r>
      <w:r>
        <w:rPr>
          <w:rFonts w:hint="eastAsia" w:ascii="仿宋_GB2312" w:hAnsi="仿宋_GB2312" w:eastAsia="仿宋_GB2312" w:cs="仿宋_GB2312"/>
          <w:sz w:val="32"/>
          <w:szCs w:val="32"/>
        </w:rPr>
        <w:t>涉法涉诉信访资金”等8个项目委托部门内评审机构开展绩效评价。从评价情况来看，相关各项项目都能获得较高的自评得分，相关经费能按时保质保量支出。</w:t>
      </w:r>
    </w:p>
    <w:p>
      <w:pPr>
        <w:numPr>
          <w:ilvl w:val="0"/>
          <w:numId w:val="2"/>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法警执勤补贴项目绩效自评综述：根据年初设定的绩效目标，法警执勤补贴项目绩效自评得分为100分（绩效自评表附后）。全年预算数为6.996万元，执行数为6.996万元，完成预算的100%。项目绩效目标完成情况：一是通过对法警执勤补贴，保障我院审判案件有序进行，维护我院审判秩序；二是资金全额发放，较好完成本年预定目标。未发现相关项目问题，较好完成了本年目标。</w:t>
      </w:r>
    </w:p>
    <w:tbl>
      <w:tblPr>
        <w:tblStyle w:val="6"/>
        <w:tblW w:w="8816" w:type="dxa"/>
        <w:tblInd w:w="0" w:type="dxa"/>
        <w:tblLayout w:type="fixed"/>
        <w:tblCellMar>
          <w:top w:w="0" w:type="dxa"/>
          <w:left w:w="15" w:type="dxa"/>
          <w:bottom w:w="0" w:type="dxa"/>
          <w:right w:w="15" w:type="dxa"/>
        </w:tblCellMar>
      </w:tblPr>
      <w:tblGrid>
        <w:gridCol w:w="1176"/>
        <w:gridCol w:w="1013"/>
        <w:gridCol w:w="1013"/>
        <w:gridCol w:w="1176"/>
        <w:gridCol w:w="1563"/>
        <w:gridCol w:w="875"/>
        <w:gridCol w:w="875"/>
        <w:gridCol w:w="1125"/>
      </w:tblGrid>
      <w:tr>
        <w:tblPrEx>
          <w:tblLayout w:type="fixed"/>
          <w:tblCellMar>
            <w:top w:w="0" w:type="dxa"/>
            <w:left w:w="15" w:type="dxa"/>
            <w:bottom w:w="0" w:type="dxa"/>
            <w:right w:w="15" w:type="dxa"/>
          </w:tblCellMar>
        </w:tblPrEx>
        <w:trPr>
          <w:trHeight w:val="312" w:hRule="atLeast"/>
        </w:trPr>
        <w:tc>
          <w:tcPr>
            <w:tcW w:w="8816" w:type="dxa"/>
            <w:gridSpan w:val="8"/>
            <w:vMerge w:val="restart"/>
            <w:vAlign w:val="center"/>
          </w:tcPr>
          <w:p>
            <w:pPr>
              <w:autoSpaceDN w:val="0"/>
              <w:jc w:val="center"/>
              <w:textAlignment w:val="center"/>
              <w:rPr>
                <w:rFonts w:ascii="宋体" w:hAnsi="宋体"/>
                <w:b/>
                <w:color w:val="000000"/>
                <w:sz w:val="24"/>
              </w:rPr>
            </w:pPr>
            <w:r>
              <w:rPr>
                <w:rFonts w:ascii="宋体" w:hAnsi="宋体"/>
                <w:b/>
                <w:color w:val="000000"/>
                <w:sz w:val="24"/>
              </w:rPr>
              <w:t>区级部门预算项目绩效自评表</w:t>
            </w:r>
          </w:p>
        </w:tc>
      </w:tr>
      <w:tr>
        <w:tblPrEx>
          <w:tblLayout w:type="fixed"/>
          <w:tblCellMar>
            <w:top w:w="0" w:type="dxa"/>
            <w:left w:w="15" w:type="dxa"/>
            <w:bottom w:w="0" w:type="dxa"/>
            <w:right w:w="15" w:type="dxa"/>
          </w:tblCellMar>
        </w:tblPrEx>
        <w:trPr>
          <w:trHeight w:val="312" w:hRule="atLeast"/>
        </w:trPr>
        <w:tc>
          <w:tcPr>
            <w:tcW w:w="8816" w:type="dxa"/>
            <w:gridSpan w:val="8"/>
            <w:vMerge w:val="continue"/>
            <w:vAlign w:val="center"/>
          </w:tcPr>
          <w:p>
            <w:pPr>
              <w:autoSpaceDN w:val="0"/>
              <w:rPr>
                <w:rFonts w:ascii="宋体" w:hAnsi="宋体"/>
                <w:sz w:val="24"/>
              </w:rPr>
            </w:pPr>
          </w:p>
        </w:tc>
      </w:tr>
      <w:tr>
        <w:tblPrEx>
          <w:tblLayout w:type="fixed"/>
          <w:tblCellMar>
            <w:top w:w="0" w:type="dxa"/>
            <w:left w:w="15" w:type="dxa"/>
            <w:bottom w:w="0" w:type="dxa"/>
            <w:right w:w="15" w:type="dxa"/>
          </w:tblCellMar>
        </w:tblPrEx>
        <w:trPr>
          <w:trHeight w:val="315" w:hRule="atLeast"/>
        </w:trPr>
        <w:tc>
          <w:tcPr>
            <w:tcW w:w="8816" w:type="dxa"/>
            <w:gridSpan w:val="8"/>
            <w:vAlign w:val="center"/>
          </w:tcPr>
          <w:p>
            <w:pPr>
              <w:autoSpaceDN w:val="0"/>
              <w:jc w:val="center"/>
              <w:textAlignment w:val="center"/>
              <w:rPr>
                <w:rFonts w:ascii="宋体" w:hAnsi="宋体"/>
                <w:color w:val="000000"/>
                <w:sz w:val="18"/>
              </w:rPr>
            </w:pPr>
            <w:r>
              <w:rPr>
                <w:rFonts w:ascii="宋体" w:hAnsi="宋体"/>
                <w:color w:val="000000"/>
                <w:sz w:val="18"/>
              </w:rPr>
              <w:t>（ 2020 年度）</w:t>
            </w:r>
          </w:p>
        </w:tc>
      </w:tr>
      <w:tr>
        <w:tblPrEx>
          <w:tblLayout w:type="fixed"/>
          <w:tblCellMar>
            <w:top w:w="0" w:type="dxa"/>
            <w:left w:w="15" w:type="dxa"/>
            <w:bottom w:w="0" w:type="dxa"/>
            <w:right w:w="15" w:type="dxa"/>
          </w:tblCellMar>
        </w:tblPrEx>
        <w:trPr>
          <w:trHeight w:val="315" w:hRule="atLeast"/>
        </w:trPr>
        <w:tc>
          <w:tcPr>
            <w:tcW w:w="1176" w:type="dxa"/>
            <w:vAlign w:val="center"/>
          </w:tcPr>
          <w:p>
            <w:pPr>
              <w:autoSpaceDN w:val="0"/>
              <w:jc w:val="left"/>
              <w:textAlignment w:val="center"/>
              <w:rPr>
                <w:rFonts w:ascii="宋体" w:hAnsi="宋体"/>
                <w:color w:val="000000"/>
                <w:sz w:val="18"/>
              </w:rPr>
            </w:pPr>
            <w:r>
              <w:rPr>
                <w:rFonts w:ascii="宋体" w:hAnsi="宋体"/>
                <w:color w:val="000000"/>
                <w:sz w:val="18"/>
              </w:rPr>
              <w:t>填报单位：</w:t>
            </w:r>
          </w:p>
        </w:tc>
        <w:tc>
          <w:tcPr>
            <w:tcW w:w="3202" w:type="dxa"/>
            <w:gridSpan w:val="3"/>
            <w:vAlign w:val="center"/>
          </w:tcPr>
          <w:p>
            <w:pPr>
              <w:autoSpaceDN w:val="0"/>
              <w:jc w:val="center"/>
              <w:textAlignment w:val="center"/>
              <w:rPr>
                <w:rFonts w:ascii="宋体" w:hAnsi="宋体"/>
                <w:color w:val="000000"/>
                <w:sz w:val="18"/>
              </w:rPr>
            </w:pPr>
            <w:r>
              <w:rPr>
                <w:rFonts w:ascii="宋体" w:hAnsi="宋体"/>
                <w:color w:val="000000"/>
                <w:sz w:val="18"/>
              </w:rPr>
              <w:t>石家庄市藁城区人民法院</w:t>
            </w:r>
          </w:p>
        </w:tc>
        <w:tc>
          <w:tcPr>
            <w:tcW w:w="1563" w:type="dxa"/>
            <w:vAlign w:val="center"/>
          </w:tcPr>
          <w:p>
            <w:pPr>
              <w:autoSpaceDN w:val="0"/>
              <w:jc w:val="left"/>
              <w:textAlignment w:val="center"/>
              <w:rPr>
                <w:rFonts w:ascii="宋体" w:hAnsi="宋体"/>
                <w:color w:val="000000"/>
                <w:sz w:val="18"/>
              </w:rPr>
            </w:pPr>
          </w:p>
        </w:tc>
        <w:tc>
          <w:tcPr>
            <w:tcW w:w="875" w:type="dxa"/>
            <w:vAlign w:val="center"/>
          </w:tcPr>
          <w:p>
            <w:pPr>
              <w:autoSpaceDN w:val="0"/>
              <w:jc w:val="left"/>
              <w:textAlignment w:val="center"/>
              <w:rPr>
                <w:rFonts w:ascii="宋体" w:hAnsi="宋体"/>
                <w:color w:val="000000"/>
                <w:sz w:val="18"/>
              </w:rPr>
            </w:pPr>
          </w:p>
        </w:tc>
        <w:tc>
          <w:tcPr>
            <w:tcW w:w="2000" w:type="dxa"/>
            <w:gridSpan w:val="2"/>
            <w:tcBorders>
              <w:bottom w:val="single" w:color="000000" w:sz="4" w:space="0"/>
            </w:tcBorders>
            <w:vAlign w:val="center"/>
          </w:tcPr>
          <w:p>
            <w:pPr>
              <w:autoSpaceDN w:val="0"/>
              <w:jc w:val="right"/>
              <w:textAlignment w:val="center"/>
              <w:rPr>
                <w:rFonts w:ascii="宋体" w:hAnsi="宋体"/>
                <w:color w:val="000000"/>
                <w:sz w:val="18"/>
              </w:rPr>
            </w:pPr>
            <w:r>
              <w:rPr>
                <w:rFonts w:ascii="宋体" w:hAnsi="宋体"/>
                <w:color w:val="000000"/>
                <w:sz w:val="18"/>
              </w:rPr>
              <w:t>单位金额：万元</w:t>
            </w:r>
          </w:p>
        </w:tc>
      </w:tr>
      <w:tr>
        <w:tblPrEx>
          <w:tblLayout w:type="fixed"/>
          <w:tblCellMar>
            <w:top w:w="0" w:type="dxa"/>
            <w:left w:w="15" w:type="dxa"/>
            <w:bottom w:w="0" w:type="dxa"/>
            <w:right w:w="15" w:type="dxa"/>
          </w:tblCellMar>
        </w:tblPrEx>
        <w:trPr>
          <w:trHeight w:val="780" w:hRule="atLeast"/>
        </w:trPr>
        <w:tc>
          <w:tcPr>
            <w:tcW w:w="1176"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一、基本情况</w:t>
            </w: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项目名称</w:t>
            </w:r>
          </w:p>
        </w:tc>
        <w:tc>
          <w:tcPr>
            <w:tcW w:w="2189"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法警执勤补贴（专项资金）</w:t>
            </w:r>
          </w:p>
        </w:tc>
        <w:tc>
          <w:tcPr>
            <w:tcW w:w="1563"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实施（主管单位）</w:t>
            </w:r>
          </w:p>
        </w:tc>
        <w:tc>
          <w:tcPr>
            <w:tcW w:w="2875"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石家庄市藁城区人民法院</w:t>
            </w:r>
          </w:p>
        </w:tc>
      </w:tr>
      <w:tr>
        <w:tblPrEx>
          <w:tblLayout w:type="fixed"/>
          <w:tblCellMar>
            <w:top w:w="0" w:type="dxa"/>
            <w:left w:w="15" w:type="dxa"/>
            <w:bottom w:w="0" w:type="dxa"/>
            <w:right w:w="15" w:type="dxa"/>
          </w:tblCellMar>
        </w:tblPrEx>
        <w:trPr>
          <w:trHeight w:val="315" w:hRule="atLeast"/>
        </w:trPr>
        <w:tc>
          <w:tcPr>
            <w:tcW w:w="1176"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二、预算执行</w:t>
            </w:r>
            <w:r>
              <w:rPr>
                <w:rFonts w:ascii="宋体" w:hAnsi="宋体"/>
                <w:color w:val="000000"/>
                <w:sz w:val="18"/>
              </w:rPr>
              <w:br w:type="textWrapping"/>
            </w:r>
            <w:r>
              <w:rPr>
                <w:rFonts w:ascii="宋体" w:hAnsi="宋体"/>
                <w:color w:val="000000"/>
                <w:sz w:val="18"/>
              </w:rPr>
              <w:t>情况</w:t>
            </w:r>
          </w:p>
        </w:tc>
        <w:tc>
          <w:tcPr>
            <w:tcW w:w="2026"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预算安排情况（调整后）</w:t>
            </w:r>
          </w:p>
        </w:tc>
        <w:tc>
          <w:tcPr>
            <w:tcW w:w="2739"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资金到位情况</w:t>
            </w:r>
          </w:p>
        </w:tc>
        <w:tc>
          <w:tcPr>
            <w:tcW w:w="17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资金执行情况</w:t>
            </w:r>
          </w:p>
        </w:tc>
        <w:tc>
          <w:tcPr>
            <w:tcW w:w="1125"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预算执行进度</w:t>
            </w:r>
          </w:p>
        </w:tc>
      </w:tr>
      <w:tr>
        <w:tblPrEx>
          <w:tblLayout w:type="fixed"/>
          <w:tblCellMar>
            <w:top w:w="0" w:type="dxa"/>
            <w:left w:w="15" w:type="dxa"/>
            <w:bottom w:w="0" w:type="dxa"/>
            <w:right w:w="15" w:type="dxa"/>
          </w:tblCellMar>
        </w:tblPrEx>
        <w:trPr>
          <w:trHeight w:val="315"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预算数：</w:t>
            </w: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6.996</w:t>
            </w:r>
          </w:p>
        </w:tc>
        <w:tc>
          <w:tcPr>
            <w:tcW w:w="1176"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到位数：</w:t>
            </w:r>
          </w:p>
        </w:tc>
        <w:tc>
          <w:tcPr>
            <w:tcW w:w="1563"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6.996</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执行数：</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6.996</w:t>
            </w:r>
          </w:p>
        </w:tc>
        <w:tc>
          <w:tcPr>
            <w:tcW w:w="1125"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r>
      <w:tr>
        <w:tblPrEx>
          <w:tblLayout w:type="fixed"/>
          <w:tblCellMar>
            <w:top w:w="0" w:type="dxa"/>
            <w:left w:w="15" w:type="dxa"/>
            <w:bottom w:w="0" w:type="dxa"/>
            <w:right w:w="15" w:type="dxa"/>
          </w:tblCellMar>
        </w:tblPrEx>
        <w:trPr>
          <w:trHeight w:val="510"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其中：财政</w:t>
            </w:r>
            <w:r>
              <w:rPr>
                <w:rFonts w:ascii="宋体" w:hAnsi="宋体"/>
                <w:color w:val="000000"/>
                <w:sz w:val="18"/>
              </w:rPr>
              <w:br w:type="textWrapping"/>
            </w:r>
            <w:r>
              <w:rPr>
                <w:rFonts w:ascii="宋体" w:hAnsi="宋体"/>
                <w:color w:val="000000"/>
                <w:sz w:val="18"/>
              </w:rPr>
              <w:t xml:space="preserve">     资金</w:t>
            </w: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6.996</w:t>
            </w:r>
          </w:p>
        </w:tc>
        <w:tc>
          <w:tcPr>
            <w:tcW w:w="1176"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其中：财政</w:t>
            </w:r>
            <w:r>
              <w:rPr>
                <w:rFonts w:ascii="宋体" w:hAnsi="宋体"/>
                <w:color w:val="000000"/>
                <w:sz w:val="18"/>
              </w:rPr>
              <w:br w:type="textWrapping"/>
            </w:r>
            <w:r>
              <w:rPr>
                <w:rFonts w:ascii="宋体" w:hAnsi="宋体"/>
                <w:color w:val="000000"/>
                <w:sz w:val="18"/>
              </w:rPr>
              <w:t xml:space="preserve">     资金</w:t>
            </w:r>
          </w:p>
        </w:tc>
        <w:tc>
          <w:tcPr>
            <w:tcW w:w="1563"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6.996</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其中：财政</w:t>
            </w:r>
            <w:r>
              <w:rPr>
                <w:rFonts w:ascii="宋体" w:hAnsi="宋体"/>
                <w:color w:val="000000"/>
                <w:sz w:val="18"/>
              </w:rPr>
              <w:br w:type="textWrapping"/>
            </w:r>
            <w:r>
              <w:rPr>
                <w:rFonts w:ascii="宋体" w:hAnsi="宋体"/>
                <w:color w:val="000000"/>
                <w:sz w:val="18"/>
              </w:rPr>
              <w:t xml:space="preserve">     资金</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6.996</w:t>
            </w:r>
          </w:p>
        </w:tc>
        <w:tc>
          <w:tcPr>
            <w:tcW w:w="112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r>
      <w:tr>
        <w:tblPrEx>
          <w:tblLayout w:type="fixed"/>
          <w:tblCellMar>
            <w:top w:w="0" w:type="dxa"/>
            <w:left w:w="15" w:type="dxa"/>
            <w:bottom w:w="0" w:type="dxa"/>
            <w:right w:w="15" w:type="dxa"/>
          </w:tblCellMar>
        </w:tblPrEx>
        <w:trPr>
          <w:trHeight w:val="315"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 xml:space="preserve">     其他</w:t>
            </w: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p>
        </w:tc>
        <w:tc>
          <w:tcPr>
            <w:tcW w:w="1176"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 xml:space="preserve">     其他</w:t>
            </w:r>
          </w:p>
        </w:tc>
        <w:tc>
          <w:tcPr>
            <w:tcW w:w="1563"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 xml:space="preserve">     其他</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p>
        </w:tc>
        <w:tc>
          <w:tcPr>
            <w:tcW w:w="112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r>
      <w:tr>
        <w:tblPrEx>
          <w:tblLayout w:type="fixed"/>
          <w:tblCellMar>
            <w:top w:w="0" w:type="dxa"/>
            <w:left w:w="15" w:type="dxa"/>
            <w:bottom w:w="0" w:type="dxa"/>
            <w:right w:w="15" w:type="dxa"/>
          </w:tblCellMar>
        </w:tblPrEx>
        <w:trPr>
          <w:trHeight w:val="315" w:hRule="atLeast"/>
        </w:trPr>
        <w:tc>
          <w:tcPr>
            <w:tcW w:w="1176"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三、目标完成</w:t>
            </w:r>
            <w:r>
              <w:rPr>
                <w:rFonts w:ascii="宋体" w:hAnsi="宋体"/>
                <w:color w:val="000000"/>
                <w:sz w:val="18"/>
              </w:rPr>
              <w:br w:type="textWrapping"/>
            </w:r>
            <w:r>
              <w:rPr>
                <w:rFonts w:ascii="宋体" w:hAnsi="宋体"/>
                <w:color w:val="000000"/>
                <w:sz w:val="18"/>
              </w:rPr>
              <w:t>情况</w:t>
            </w:r>
          </w:p>
        </w:tc>
        <w:tc>
          <w:tcPr>
            <w:tcW w:w="320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年度预算目标</w:t>
            </w:r>
          </w:p>
        </w:tc>
        <w:tc>
          <w:tcPr>
            <w:tcW w:w="3313"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具体完成情况</w:t>
            </w:r>
          </w:p>
        </w:tc>
        <w:tc>
          <w:tcPr>
            <w:tcW w:w="1125"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总体完成率</w:t>
            </w:r>
          </w:p>
        </w:tc>
      </w:tr>
      <w:tr>
        <w:tblPrEx>
          <w:tblLayout w:type="fixed"/>
          <w:tblCellMar>
            <w:top w:w="0" w:type="dxa"/>
            <w:left w:w="15" w:type="dxa"/>
            <w:bottom w:w="0" w:type="dxa"/>
            <w:right w:w="15" w:type="dxa"/>
          </w:tblCellMar>
        </w:tblPrEx>
        <w:trPr>
          <w:trHeight w:val="540"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320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通过对法警执勤补贴，保障我院审判案件有序进行，维护我院审判秩序。</w:t>
            </w:r>
          </w:p>
        </w:tc>
        <w:tc>
          <w:tcPr>
            <w:tcW w:w="3313"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资金全额发放，较好完成本年预定目标。</w:t>
            </w:r>
          </w:p>
        </w:tc>
        <w:tc>
          <w:tcPr>
            <w:tcW w:w="11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r>
      <w:tr>
        <w:tblPrEx>
          <w:tblLayout w:type="fixed"/>
          <w:tblCellMar>
            <w:top w:w="0" w:type="dxa"/>
            <w:left w:w="15" w:type="dxa"/>
            <w:bottom w:w="0" w:type="dxa"/>
            <w:right w:w="15" w:type="dxa"/>
          </w:tblCellMar>
        </w:tblPrEx>
        <w:trPr>
          <w:trHeight w:val="480" w:hRule="atLeast"/>
        </w:trPr>
        <w:tc>
          <w:tcPr>
            <w:tcW w:w="1176"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四、年度绩效指标完成情况</w:t>
            </w: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一级指标</w:t>
            </w: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二级指标</w:t>
            </w:r>
          </w:p>
        </w:tc>
        <w:tc>
          <w:tcPr>
            <w:tcW w:w="2739"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三级指标</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预期指标值</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实际完成值</w:t>
            </w:r>
          </w:p>
        </w:tc>
        <w:tc>
          <w:tcPr>
            <w:tcW w:w="11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自评得分</w:t>
            </w:r>
          </w:p>
        </w:tc>
      </w:tr>
      <w:tr>
        <w:tblPrEx>
          <w:tblLayout w:type="fixed"/>
          <w:tblCellMar>
            <w:top w:w="0" w:type="dxa"/>
            <w:left w:w="15" w:type="dxa"/>
            <w:bottom w:w="0" w:type="dxa"/>
            <w:right w:w="15" w:type="dxa"/>
          </w:tblCellMar>
        </w:tblPrEx>
        <w:trPr>
          <w:trHeight w:val="360"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13"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产出指标</w:t>
            </w:r>
            <w:r>
              <w:rPr>
                <w:rFonts w:ascii="宋体" w:hAnsi="宋体"/>
                <w:color w:val="000000"/>
                <w:sz w:val="18"/>
              </w:rPr>
              <w:br w:type="textWrapping"/>
            </w:r>
            <w:r>
              <w:rPr>
                <w:rFonts w:ascii="宋体" w:hAnsi="宋体"/>
                <w:color w:val="000000"/>
                <w:sz w:val="18"/>
              </w:rPr>
              <w:t>（40分）</w:t>
            </w:r>
          </w:p>
        </w:tc>
        <w:tc>
          <w:tcPr>
            <w:tcW w:w="1013" w:type="dxa"/>
            <w:tcBorders>
              <w:top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数量指标</w:t>
            </w:r>
          </w:p>
        </w:tc>
        <w:tc>
          <w:tcPr>
            <w:tcW w:w="2739" w:type="dxa"/>
            <w:gridSpan w:val="2"/>
            <w:tcBorders>
              <w:top w:val="single" w:color="000000" w:sz="4" w:space="0"/>
              <w:left w:val="single" w:color="000000" w:sz="4" w:space="0"/>
              <w:bottom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补贴人员数量</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4人</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4人</w:t>
            </w:r>
          </w:p>
        </w:tc>
        <w:tc>
          <w:tcPr>
            <w:tcW w:w="1125" w:type="dxa"/>
            <w:tcBorders>
              <w:top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20</w:t>
            </w:r>
          </w:p>
        </w:tc>
      </w:tr>
      <w:tr>
        <w:tblPrEx>
          <w:tblLayout w:type="fixed"/>
          <w:tblCellMar>
            <w:top w:w="0" w:type="dxa"/>
            <w:left w:w="15" w:type="dxa"/>
            <w:bottom w:w="0" w:type="dxa"/>
            <w:right w:w="15" w:type="dxa"/>
          </w:tblCellMar>
        </w:tblPrEx>
        <w:trPr>
          <w:trHeight w:val="360"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13"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rPr>
                <w:rFonts w:ascii="宋体" w:hAnsi="宋体"/>
                <w:sz w:val="24"/>
              </w:rPr>
            </w:pPr>
          </w:p>
        </w:tc>
        <w:tc>
          <w:tcPr>
            <w:tcW w:w="1013" w:type="dxa"/>
            <w:tcBorders>
              <w:top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时效指标</w:t>
            </w:r>
          </w:p>
        </w:tc>
        <w:tc>
          <w:tcPr>
            <w:tcW w:w="2739"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补助发放率（%）</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20</w:t>
            </w:r>
          </w:p>
        </w:tc>
      </w:tr>
      <w:tr>
        <w:tblPrEx>
          <w:tblLayout w:type="fixed"/>
          <w:tblCellMar>
            <w:top w:w="0" w:type="dxa"/>
            <w:left w:w="15" w:type="dxa"/>
            <w:bottom w:w="0" w:type="dxa"/>
            <w:right w:w="15" w:type="dxa"/>
          </w:tblCellMar>
        </w:tblPrEx>
        <w:trPr>
          <w:trHeight w:val="600"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预算执行率指标（10分）</w:t>
            </w: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预算</w:t>
            </w:r>
            <w:r>
              <w:rPr>
                <w:rFonts w:ascii="宋体" w:hAnsi="宋体"/>
                <w:color w:val="000000"/>
                <w:sz w:val="18"/>
              </w:rPr>
              <w:br w:type="textWrapping"/>
            </w:r>
            <w:r>
              <w:rPr>
                <w:rFonts w:ascii="宋体" w:hAnsi="宋体"/>
                <w:color w:val="000000"/>
                <w:sz w:val="18"/>
              </w:rPr>
              <w:t>执行率</w:t>
            </w:r>
          </w:p>
        </w:tc>
        <w:tc>
          <w:tcPr>
            <w:tcW w:w="2739" w:type="dxa"/>
            <w:gridSpan w:val="2"/>
            <w:tcBorders>
              <w:top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项目资金到位率(%)</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&gt;=90%</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w:t>
            </w:r>
          </w:p>
        </w:tc>
      </w:tr>
      <w:tr>
        <w:tblPrEx>
          <w:tblLayout w:type="fixed"/>
          <w:tblCellMar>
            <w:top w:w="0" w:type="dxa"/>
            <w:left w:w="15" w:type="dxa"/>
            <w:bottom w:w="0" w:type="dxa"/>
            <w:right w:w="15" w:type="dxa"/>
          </w:tblCellMar>
        </w:tblPrEx>
        <w:trPr>
          <w:trHeight w:val="360"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13" w:type="dxa"/>
            <w:vMerge w:val="restart"/>
            <w:tcBorders>
              <w:top w:val="single" w:color="000000" w:sz="4" w:space="0"/>
              <w:left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效益指标</w:t>
            </w:r>
            <w:r>
              <w:rPr>
                <w:rFonts w:ascii="宋体" w:hAnsi="宋体"/>
                <w:color w:val="000000"/>
                <w:sz w:val="18"/>
              </w:rPr>
              <w:br w:type="textWrapping"/>
            </w:r>
            <w:r>
              <w:rPr>
                <w:rFonts w:ascii="宋体" w:hAnsi="宋体"/>
                <w:color w:val="000000"/>
                <w:sz w:val="18"/>
              </w:rPr>
              <w:t>（40分）</w:t>
            </w:r>
          </w:p>
        </w:tc>
        <w:tc>
          <w:tcPr>
            <w:tcW w:w="1013" w:type="dxa"/>
            <w:vMerge w:val="restart"/>
            <w:tcBorders>
              <w:top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社会效益指标</w:t>
            </w:r>
          </w:p>
        </w:tc>
        <w:tc>
          <w:tcPr>
            <w:tcW w:w="2739"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业务保障能力（%）</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&gt;=98%</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20</w:t>
            </w:r>
          </w:p>
        </w:tc>
      </w:tr>
      <w:tr>
        <w:tblPrEx>
          <w:tblLayout w:type="fixed"/>
          <w:tblCellMar>
            <w:top w:w="0" w:type="dxa"/>
            <w:left w:w="15" w:type="dxa"/>
            <w:bottom w:w="0" w:type="dxa"/>
            <w:right w:w="15" w:type="dxa"/>
          </w:tblCellMar>
        </w:tblPrEx>
        <w:trPr>
          <w:trHeight w:val="360"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13" w:type="dxa"/>
            <w:vMerge w:val="continue"/>
            <w:tcBorders>
              <w:top w:val="single" w:color="000000" w:sz="4" w:space="0"/>
              <w:left w:val="single" w:color="000000" w:sz="4" w:space="0"/>
              <w:right w:val="single" w:color="000000" w:sz="4" w:space="0"/>
            </w:tcBorders>
            <w:vAlign w:val="center"/>
          </w:tcPr>
          <w:p>
            <w:pPr>
              <w:autoSpaceDN w:val="0"/>
              <w:rPr>
                <w:rFonts w:ascii="宋体" w:hAnsi="宋体"/>
                <w:sz w:val="24"/>
              </w:rPr>
            </w:pPr>
          </w:p>
        </w:tc>
        <w:tc>
          <w:tcPr>
            <w:tcW w:w="1013" w:type="dxa"/>
            <w:vMerge w:val="continue"/>
            <w:tcBorders>
              <w:top w:val="single" w:color="000000" w:sz="4" w:space="0"/>
              <w:bottom w:val="single" w:color="000000" w:sz="4" w:space="0"/>
              <w:right w:val="single" w:color="000000" w:sz="4" w:space="0"/>
            </w:tcBorders>
            <w:vAlign w:val="center"/>
          </w:tcPr>
          <w:p>
            <w:pPr>
              <w:autoSpaceDN w:val="0"/>
              <w:jc w:val="center"/>
              <w:textAlignment w:val="center"/>
              <w:rPr>
                <w:rFonts w:ascii="宋体" w:hAnsi="宋体"/>
                <w:sz w:val="24"/>
              </w:rPr>
            </w:pPr>
          </w:p>
        </w:tc>
        <w:tc>
          <w:tcPr>
            <w:tcW w:w="2739"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补助覆盖率(%)</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w:t>
            </w:r>
          </w:p>
        </w:tc>
      </w:tr>
      <w:tr>
        <w:tblPrEx>
          <w:tblLayout w:type="fixed"/>
          <w:tblCellMar>
            <w:top w:w="0" w:type="dxa"/>
            <w:left w:w="15" w:type="dxa"/>
            <w:bottom w:w="0" w:type="dxa"/>
            <w:right w:w="15" w:type="dxa"/>
          </w:tblCellMar>
        </w:tblPrEx>
        <w:trPr>
          <w:trHeight w:val="555"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13" w:type="dxa"/>
            <w:vMerge w:val="continue"/>
            <w:tcBorders>
              <w:top w:val="single" w:color="000000" w:sz="4" w:space="0"/>
              <w:left w:val="single" w:color="000000" w:sz="4" w:space="0"/>
              <w:right w:val="single" w:color="000000" w:sz="4" w:space="0"/>
            </w:tcBorders>
            <w:vAlign w:val="center"/>
          </w:tcPr>
          <w:p>
            <w:pPr>
              <w:autoSpaceDN w:val="0"/>
              <w:rPr>
                <w:rFonts w:ascii="宋体" w:hAnsi="宋体"/>
                <w:sz w:val="24"/>
              </w:rPr>
            </w:pPr>
          </w:p>
        </w:tc>
        <w:tc>
          <w:tcPr>
            <w:tcW w:w="1013" w:type="dxa"/>
            <w:tcBorders>
              <w:top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可持续影响指标</w:t>
            </w:r>
          </w:p>
        </w:tc>
        <w:tc>
          <w:tcPr>
            <w:tcW w:w="2739"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项目后续管控有效性（%）</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w:t>
            </w:r>
          </w:p>
        </w:tc>
      </w:tr>
      <w:tr>
        <w:tblPrEx>
          <w:tblLayout w:type="fixed"/>
          <w:tblCellMar>
            <w:top w:w="0" w:type="dxa"/>
            <w:left w:w="15" w:type="dxa"/>
            <w:bottom w:w="0" w:type="dxa"/>
            <w:right w:w="15" w:type="dxa"/>
          </w:tblCellMar>
        </w:tblPrEx>
        <w:trPr>
          <w:trHeight w:val="540"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满意度指标</w:t>
            </w:r>
            <w:r>
              <w:rPr>
                <w:rFonts w:ascii="宋体" w:hAnsi="宋体"/>
                <w:color w:val="000000"/>
                <w:sz w:val="18"/>
              </w:rPr>
              <w:br w:type="textWrapping"/>
            </w:r>
            <w:r>
              <w:rPr>
                <w:rFonts w:ascii="宋体" w:hAnsi="宋体"/>
                <w:color w:val="000000"/>
                <w:sz w:val="18"/>
              </w:rPr>
              <w:t>（10分）</w:t>
            </w:r>
          </w:p>
        </w:tc>
        <w:tc>
          <w:tcPr>
            <w:tcW w:w="1013"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满意度指标</w:t>
            </w:r>
          </w:p>
        </w:tc>
        <w:tc>
          <w:tcPr>
            <w:tcW w:w="2739"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受益对象满意度（%）</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8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w:t>
            </w:r>
          </w:p>
        </w:tc>
      </w:tr>
      <w:tr>
        <w:tblPrEx>
          <w:tblLayout w:type="fixed"/>
          <w:tblCellMar>
            <w:top w:w="0" w:type="dxa"/>
            <w:left w:w="15" w:type="dxa"/>
            <w:bottom w:w="0" w:type="dxa"/>
            <w:right w:w="15" w:type="dxa"/>
          </w:tblCellMar>
        </w:tblPrEx>
        <w:trPr>
          <w:trHeight w:val="270" w:hRule="atLeast"/>
        </w:trPr>
        <w:tc>
          <w:tcPr>
            <w:tcW w:w="117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6515" w:type="dxa"/>
            <w:gridSpan w:val="6"/>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总分</w:t>
            </w:r>
          </w:p>
        </w:tc>
        <w:tc>
          <w:tcPr>
            <w:tcW w:w="11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r>
      <w:tr>
        <w:tblPrEx>
          <w:tblLayout w:type="fixed"/>
          <w:tblCellMar>
            <w:top w:w="0" w:type="dxa"/>
            <w:left w:w="15" w:type="dxa"/>
            <w:bottom w:w="0" w:type="dxa"/>
            <w:right w:w="15" w:type="dxa"/>
          </w:tblCellMar>
        </w:tblPrEx>
        <w:trPr>
          <w:trHeight w:val="690" w:hRule="atLeast"/>
        </w:trPr>
        <w:tc>
          <w:tcPr>
            <w:tcW w:w="1176"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五、存在问题、原因及下一步整改措施</w:t>
            </w:r>
          </w:p>
        </w:tc>
        <w:tc>
          <w:tcPr>
            <w:tcW w:w="7640" w:type="dxa"/>
            <w:gridSpan w:val="7"/>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本年目标圆满完成。</w:t>
            </w:r>
          </w:p>
        </w:tc>
      </w:tr>
      <w:tr>
        <w:tblPrEx>
          <w:tblLayout w:type="fixed"/>
          <w:tblCellMar>
            <w:top w:w="0" w:type="dxa"/>
            <w:left w:w="15" w:type="dxa"/>
            <w:bottom w:w="0" w:type="dxa"/>
            <w:right w:w="15" w:type="dxa"/>
          </w:tblCellMar>
        </w:tblPrEx>
        <w:trPr>
          <w:trHeight w:val="270" w:hRule="atLeast"/>
        </w:trPr>
        <w:tc>
          <w:tcPr>
            <w:tcW w:w="1176" w:type="dxa"/>
            <w:vAlign w:val="center"/>
          </w:tcPr>
          <w:p>
            <w:pPr>
              <w:autoSpaceDN w:val="0"/>
              <w:jc w:val="left"/>
              <w:textAlignment w:val="center"/>
              <w:rPr>
                <w:rFonts w:ascii="宋体" w:hAnsi="宋体"/>
                <w:color w:val="000000"/>
                <w:sz w:val="18"/>
              </w:rPr>
            </w:pPr>
            <w:r>
              <w:rPr>
                <w:rFonts w:ascii="宋体" w:hAnsi="宋体"/>
                <w:color w:val="000000"/>
                <w:sz w:val="18"/>
              </w:rPr>
              <w:t>填报人：</w:t>
            </w:r>
          </w:p>
        </w:tc>
        <w:tc>
          <w:tcPr>
            <w:tcW w:w="1013" w:type="dxa"/>
            <w:vAlign w:val="center"/>
          </w:tcPr>
          <w:p>
            <w:pPr>
              <w:autoSpaceDN w:val="0"/>
              <w:jc w:val="center"/>
              <w:textAlignment w:val="center"/>
              <w:rPr>
                <w:rFonts w:ascii="宋体" w:hAnsi="宋体"/>
                <w:color w:val="000000"/>
                <w:sz w:val="18"/>
              </w:rPr>
            </w:pPr>
            <w:r>
              <w:rPr>
                <w:rFonts w:ascii="宋体" w:hAnsi="宋体"/>
                <w:color w:val="000000"/>
                <w:sz w:val="18"/>
              </w:rPr>
              <w:t>赵溪</w:t>
            </w:r>
          </w:p>
        </w:tc>
        <w:tc>
          <w:tcPr>
            <w:tcW w:w="1013" w:type="dxa"/>
            <w:vAlign w:val="center"/>
          </w:tcPr>
          <w:p>
            <w:pPr>
              <w:autoSpaceDN w:val="0"/>
              <w:jc w:val="center"/>
              <w:textAlignment w:val="center"/>
              <w:rPr>
                <w:rFonts w:ascii="宋体" w:hAnsi="宋体"/>
                <w:color w:val="000000"/>
                <w:sz w:val="18"/>
              </w:rPr>
            </w:pPr>
          </w:p>
        </w:tc>
        <w:tc>
          <w:tcPr>
            <w:tcW w:w="1176" w:type="dxa"/>
            <w:vAlign w:val="center"/>
          </w:tcPr>
          <w:p>
            <w:pPr>
              <w:autoSpaceDN w:val="0"/>
              <w:jc w:val="center"/>
              <w:textAlignment w:val="center"/>
              <w:rPr>
                <w:rFonts w:ascii="宋体" w:hAnsi="宋体"/>
                <w:color w:val="000000"/>
                <w:sz w:val="18"/>
              </w:rPr>
            </w:pPr>
          </w:p>
        </w:tc>
        <w:tc>
          <w:tcPr>
            <w:tcW w:w="1563" w:type="dxa"/>
            <w:vAlign w:val="center"/>
          </w:tcPr>
          <w:p>
            <w:pPr>
              <w:autoSpaceDN w:val="0"/>
              <w:jc w:val="center"/>
              <w:textAlignment w:val="center"/>
              <w:rPr>
                <w:rFonts w:ascii="宋体" w:hAnsi="宋体"/>
                <w:color w:val="000000"/>
                <w:sz w:val="18"/>
              </w:rPr>
            </w:pPr>
          </w:p>
        </w:tc>
        <w:tc>
          <w:tcPr>
            <w:tcW w:w="875" w:type="dxa"/>
            <w:vAlign w:val="center"/>
          </w:tcPr>
          <w:p>
            <w:pPr>
              <w:autoSpaceDN w:val="0"/>
              <w:jc w:val="left"/>
              <w:textAlignment w:val="center"/>
              <w:rPr>
                <w:rFonts w:ascii="宋体" w:hAnsi="宋体"/>
                <w:color w:val="000000"/>
                <w:sz w:val="18"/>
              </w:rPr>
            </w:pPr>
            <w:r>
              <w:rPr>
                <w:rFonts w:ascii="宋体" w:hAnsi="宋体"/>
                <w:color w:val="000000"/>
                <w:sz w:val="18"/>
              </w:rPr>
              <w:t>联系电话：</w:t>
            </w:r>
          </w:p>
        </w:tc>
        <w:tc>
          <w:tcPr>
            <w:tcW w:w="2000" w:type="dxa"/>
            <w:gridSpan w:val="2"/>
            <w:vAlign w:val="center"/>
          </w:tcPr>
          <w:p>
            <w:pPr>
              <w:autoSpaceDN w:val="0"/>
              <w:jc w:val="center"/>
              <w:textAlignment w:val="center"/>
              <w:rPr>
                <w:rFonts w:ascii="宋体" w:hAnsi="宋体"/>
                <w:color w:val="000000"/>
                <w:sz w:val="18"/>
              </w:rPr>
            </w:pPr>
            <w:r>
              <w:rPr>
                <w:rFonts w:ascii="宋体" w:hAnsi="宋体"/>
                <w:color w:val="000000"/>
                <w:sz w:val="18"/>
              </w:rPr>
              <w:t>0311-88149060</w:t>
            </w:r>
          </w:p>
        </w:tc>
      </w:tr>
    </w:tbl>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在职人员加班补贴项目绩效自评综述：根据年初设定的绩效目标，在职人员加班补贴项目绩效自评得分为100分（绩效自评表附后）。全年预算数为34.73万元，执行数为34.73万元，完成预算的100%。项目绩效目标完成情况：一是通过对我院干警加班补贴，保障我院审判案件有序进行，维护我院审判工作正常运转；二是资金全额发放，较好完成本年预定目标。未发现相关项目问题，较好完成了本年目标。</w:t>
      </w:r>
    </w:p>
    <w:tbl>
      <w:tblPr>
        <w:tblStyle w:val="6"/>
        <w:tblW w:w="8683" w:type="dxa"/>
        <w:tblInd w:w="0" w:type="dxa"/>
        <w:tblLayout w:type="fixed"/>
        <w:tblCellMar>
          <w:top w:w="0" w:type="dxa"/>
          <w:left w:w="15" w:type="dxa"/>
          <w:bottom w:w="0" w:type="dxa"/>
          <w:right w:w="15" w:type="dxa"/>
        </w:tblCellMar>
      </w:tblPr>
      <w:tblGrid>
        <w:gridCol w:w="1160"/>
        <w:gridCol w:w="1058"/>
        <w:gridCol w:w="1058"/>
        <w:gridCol w:w="1058"/>
        <w:gridCol w:w="1058"/>
        <w:gridCol w:w="1058"/>
        <w:gridCol w:w="1058"/>
        <w:gridCol w:w="1175"/>
      </w:tblGrid>
      <w:tr>
        <w:tblPrEx>
          <w:tblLayout w:type="fixed"/>
          <w:tblCellMar>
            <w:top w:w="0" w:type="dxa"/>
            <w:left w:w="15" w:type="dxa"/>
            <w:bottom w:w="0" w:type="dxa"/>
            <w:right w:w="15" w:type="dxa"/>
          </w:tblCellMar>
        </w:tblPrEx>
        <w:trPr>
          <w:trHeight w:val="312" w:hRule="atLeast"/>
        </w:trPr>
        <w:tc>
          <w:tcPr>
            <w:tcW w:w="8683" w:type="dxa"/>
            <w:gridSpan w:val="8"/>
            <w:vMerge w:val="restart"/>
            <w:vAlign w:val="center"/>
          </w:tcPr>
          <w:p>
            <w:pPr>
              <w:autoSpaceDN w:val="0"/>
              <w:jc w:val="center"/>
              <w:textAlignment w:val="center"/>
              <w:rPr>
                <w:rFonts w:ascii="宋体" w:hAnsi="宋体"/>
                <w:b/>
                <w:color w:val="000000"/>
                <w:sz w:val="24"/>
              </w:rPr>
            </w:pPr>
            <w:r>
              <w:rPr>
                <w:rFonts w:ascii="宋体" w:hAnsi="宋体"/>
                <w:b/>
                <w:color w:val="000000"/>
                <w:sz w:val="24"/>
              </w:rPr>
              <w:t>区级部门预算项目绩效自评表</w:t>
            </w:r>
          </w:p>
        </w:tc>
      </w:tr>
      <w:tr>
        <w:tblPrEx>
          <w:tblLayout w:type="fixed"/>
          <w:tblCellMar>
            <w:top w:w="0" w:type="dxa"/>
            <w:left w:w="15" w:type="dxa"/>
            <w:bottom w:w="0" w:type="dxa"/>
            <w:right w:w="15" w:type="dxa"/>
          </w:tblCellMar>
        </w:tblPrEx>
        <w:trPr>
          <w:trHeight w:val="312" w:hRule="atLeast"/>
        </w:trPr>
        <w:tc>
          <w:tcPr>
            <w:tcW w:w="8683" w:type="dxa"/>
            <w:gridSpan w:val="8"/>
            <w:vMerge w:val="continue"/>
            <w:vAlign w:val="center"/>
          </w:tcPr>
          <w:p>
            <w:pPr>
              <w:autoSpaceDN w:val="0"/>
              <w:rPr>
                <w:rFonts w:ascii="宋体" w:hAnsi="宋体"/>
                <w:sz w:val="24"/>
              </w:rPr>
            </w:pPr>
          </w:p>
        </w:tc>
      </w:tr>
      <w:tr>
        <w:tblPrEx>
          <w:tblLayout w:type="fixed"/>
          <w:tblCellMar>
            <w:top w:w="0" w:type="dxa"/>
            <w:left w:w="15" w:type="dxa"/>
            <w:bottom w:w="0" w:type="dxa"/>
            <w:right w:w="15" w:type="dxa"/>
          </w:tblCellMar>
        </w:tblPrEx>
        <w:trPr>
          <w:trHeight w:val="285" w:hRule="atLeast"/>
        </w:trPr>
        <w:tc>
          <w:tcPr>
            <w:tcW w:w="8683" w:type="dxa"/>
            <w:gridSpan w:val="8"/>
            <w:vAlign w:val="center"/>
          </w:tcPr>
          <w:p>
            <w:pPr>
              <w:autoSpaceDN w:val="0"/>
              <w:jc w:val="center"/>
              <w:textAlignment w:val="center"/>
              <w:rPr>
                <w:rFonts w:ascii="宋体" w:hAnsi="宋体"/>
                <w:color w:val="000000"/>
                <w:sz w:val="18"/>
              </w:rPr>
            </w:pPr>
            <w:r>
              <w:rPr>
                <w:rFonts w:ascii="宋体" w:hAnsi="宋体"/>
                <w:color w:val="000000"/>
                <w:sz w:val="18"/>
              </w:rPr>
              <w:t>（ 2020 年度）</w:t>
            </w:r>
          </w:p>
        </w:tc>
      </w:tr>
      <w:tr>
        <w:tblPrEx>
          <w:tblLayout w:type="fixed"/>
          <w:tblCellMar>
            <w:top w:w="0" w:type="dxa"/>
            <w:left w:w="15" w:type="dxa"/>
            <w:bottom w:w="0" w:type="dxa"/>
            <w:right w:w="15" w:type="dxa"/>
          </w:tblCellMar>
        </w:tblPrEx>
        <w:trPr>
          <w:trHeight w:val="285" w:hRule="atLeast"/>
        </w:trPr>
        <w:tc>
          <w:tcPr>
            <w:tcW w:w="1160" w:type="dxa"/>
            <w:vAlign w:val="center"/>
          </w:tcPr>
          <w:p>
            <w:pPr>
              <w:autoSpaceDN w:val="0"/>
              <w:jc w:val="left"/>
              <w:textAlignment w:val="center"/>
              <w:rPr>
                <w:rFonts w:ascii="宋体" w:hAnsi="宋体"/>
                <w:color w:val="000000"/>
                <w:sz w:val="18"/>
              </w:rPr>
            </w:pPr>
            <w:r>
              <w:rPr>
                <w:rFonts w:ascii="宋体" w:hAnsi="宋体"/>
                <w:color w:val="000000"/>
                <w:sz w:val="18"/>
              </w:rPr>
              <w:t>填报单位：</w:t>
            </w:r>
          </w:p>
        </w:tc>
        <w:tc>
          <w:tcPr>
            <w:tcW w:w="3174" w:type="dxa"/>
            <w:gridSpan w:val="3"/>
            <w:vAlign w:val="center"/>
          </w:tcPr>
          <w:p>
            <w:pPr>
              <w:autoSpaceDN w:val="0"/>
              <w:jc w:val="center"/>
              <w:textAlignment w:val="center"/>
              <w:rPr>
                <w:rFonts w:ascii="宋体" w:hAnsi="宋体"/>
                <w:color w:val="000000"/>
                <w:sz w:val="18"/>
              </w:rPr>
            </w:pPr>
            <w:r>
              <w:rPr>
                <w:rFonts w:ascii="宋体" w:hAnsi="宋体"/>
                <w:color w:val="000000"/>
                <w:sz w:val="18"/>
              </w:rPr>
              <w:t>石家庄市藁城区人民法院</w:t>
            </w:r>
          </w:p>
        </w:tc>
        <w:tc>
          <w:tcPr>
            <w:tcW w:w="1058" w:type="dxa"/>
            <w:vAlign w:val="center"/>
          </w:tcPr>
          <w:p>
            <w:pPr>
              <w:autoSpaceDN w:val="0"/>
              <w:jc w:val="left"/>
              <w:textAlignment w:val="center"/>
              <w:rPr>
                <w:rFonts w:ascii="宋体" w:hAnsi="宋体"/>
                <w:color w:val="000000"/>
                <w:sz w:val="18"/>
              </w:rPr>
            </w:pPr>
          </w:p>
        </w:tc>
        <w:tc>
          <w:tcPr>
            <w:tcW w:w="1058" w:type="dxa"/>
            <w:vAlign w:val="center"/>
          </w:tcPr>
          <w:p>
            <w:pPr>
              <w:autoSpaceDN w:val="0"/>
              <w:jc w:val="left"/>
              <w:textAlignment w:val="center"/>
              <w:rPr>
                <w:rFonts w:ascii="宋体" w:hAnsi="宋体"/>
                <w:color w:val="000000"/>
                <w:sz w:val="18"/>
              </w:rPr>
            </w:pPr>
          </w:p>
        </w:tc>
        <w:tc>
          <w:tcPr>
            <w:tcW w:w="2233" w:type="dxa"/>
            <w:gridSpan w:val="2"/>
            <w:tcBorders>
              <w:bottom w:val="single" w:color="000000" w:sz="4" w:space="0"/>
            </w:tcBorders>
            <w:vAlign w:val="center"/>
          </w:tcPr>
          <w:p>
            <w:pPr>
              <w:autoSpaceDN w:val="0"/>
              <w:jc w:val="right"/>
              <w:textAlignment w:val="center"/>
              <w:rPr>
                <w:rFonts w:ascii="宋体" w:hAnsi="宋体"/>
                <w:color w:val="000000"/>
                <w:sz w:val="18"/>
              </w:rPr>
            </w:pPr>
            <w:r>
              <w:rPr>
                <w:rFonts w:ascii="宋体" w:hAnsi="宋体"/>
                <w:color w:val="000000"/>
                <w:sz w:val="18"/>
              </w:rPr>
              <w:t>单位金额：万元</w:t>
            </w:r>
          </w:p>
        </w:tc>
      </w:tr>
      <w:tr>
        <w:tblPrEx>
          <w:tblLayout w:type="fixed"/>
          <w:tblCellMar>
            <w:top w:w="0" w:type="dxa"/>
            <w:left w:w="15" w:type="dxa"/>
            <w:bottom w:w="0" w:type="dxa"/>
            <w:right w:w="15" w:type="dxa"/>
          </w:tblCellMar>
        </w:tblPrEx>
        <w:trPr>
          <w:trHeight w:val="450" w:hRule="atLeast"/>
        </w:trPr>
        <w:tc>
          <w:tcPr>
            <w:tcW w:w="1160"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一、基本情况</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项目名称</w:t>
            </w:r>
          </w:p>
        </w:tc>
        <w:tc>
          <w:tcPr>
            <w:tcW w:w="2116"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在职人员加班补贴（专项资金）</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实施（主管单位）</w:t>
            </w:r>
          </w:p>
        </w:tc>
        <w:tc>
          <w:tcPr>
            <w:tcW w:w="3291"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石家庄市藁城区人民法院</w:t>
            </w:r>
          </w:p>
        </w:tc>
      </w:tr>
      <w:tr>
        <w:tblPrEx>
          <w:tblLayout w:type="fixed"/>
          <w:tblCellMar>
            <w:top w:w="0" w:type="dxa"/>
            <w:left w:w="15" w:type="dxa"/>
            <w:bottom w:w="0" w:type="dxa"/>
            <w:right w:w="15" w:type="dxa"/>
          </w:tblCellMar>
        </w:tblPrEx>
        <w:trPr>
          <w:trHeight w:val="285" w:hRule="atLeast"/>
        </w:trPr>
        <w:tc>
          <w:tcPr>
            <w:tcW w:w="116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二、预算执行</w:t>
            </w:r>
            <w:r>
              <w:rPr>
                <w:rFonts w:ascii="宋体" w:hAnsi="宋体"/>
                <w:color w:val="000000"/>
                <w:sz w:val="18"/>
              </w:rPr>
              <w:br w:type="textWrapping"/>
            </w:r>
            <w:r>
              <w:rPr>
                <w:rFonts w:ascii="宋体" w:hAnsi="宋体"/>
                <w:color w:val="000000"/>
                <w:sz w:val="18"/>
              </w:rPr>
              <w:t>情况</w:t>
            </w:r>
          </w:p>
        </w:tc>
        <w:tc>
          <w:tcPr>
            <w:tcW w:w="2116"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预算安排情况（调整后）</w:t>
            </w:r>
          </w:p>
        </w:tc>
        <w:tc>
          <w:tcPr>
            <w:tcW w:w="2116"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资金到位情况</w:t>
            </w:r>
          </w:p>
        </w:tc>
        <w:tc>
          <w:tcPr>
            <w:tcW w:w="2116"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资金执行情况</w:t>
            </w:r>
          </w:p>
        </w:tc>
        <w:tc>
          <w:tcPr>
            <w:tcW w:w="1175"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预算执行进度</w:t>
            </w:r>
          </w:p>
        </w:tc>
      </w:tr>
      <w:tr>
        <w:tblPrEx>
          <w:tblLayout w:type="fixed"/>
          <w:tblCellMar>
            <w:top w:w="0" w:type="dxa"/>
            <w:left w:w="15" w:type="dxa"/>
            <w:bottom w:w="0" w:type="dxa"/>
            <w:right w:w="15" w:type="dxa"/>
          </w:tblCellMar>
        </w:tblPrEx>
        <w:trPr>
          <w:trHeight w:val="285"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预算数：</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34.732</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到位数：</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34.732</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执行数：</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34.732</w:t>
            </w:r>
          </w:p>
        </w:tc>
        <w:tc>
          <w:tcPr>
            <w:tcW w:w="1175"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r>
      <w:tr>
        <w:tblPrEx>
          <w:tblLayout w:type="fixed"/>
          <w:tblCellMar>
            <w:top w:w="0" w:type="dxa"/>
            <w:left w:w="15" w:type="dxa"/>
            <w:bottom w:w="0" w:type="dxa"/>
            <w:right w:w="15" w:type="dxa"/>
          </w:tblCellMar>
        </w:tblPrEx>
        <w:trPr>
          <w:trHeight w:val="450"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其中：财政</w:t>
            </w:r>
            <w:r>
              <w:rPr>
                <w:rFonts w:ascii="宋体" w:hAnsi="宋体"/>
                <w:color w:val="000000"/>
                <w:sz w:val="18"/>
              </w:rPr>
              <w:br w:type="textWrapping"/>
            </w:r>
            <w:r>
              <w:rPr>
                <w:rFonts w:ascii="宋体" w:hAnsi="宋体"/>
                <w:color w:val="000000"/>
                <w:sz w:val="18"/>
              </w:rPr>
              <w:t xml:space="preserve">     资金</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34.732</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其中：财政</w:t>
            </w:r>
            <w:r>
              <w:rPr>
                <w:rFonts w:ascii="宋体" w:hAnsi="宋体"/>
                <w:color w:val="000000"/>
                <w:sz w:val="18"/>
              </w:rPr>
              <w:br w:type="textWrapping"/>
            </w:r>
            <w:r>
              <w:rPr>
                <w:rFonts w:ascii="宋体" w:hAnsi="宋体"/>
                <w:color w:val="000000"/>
                <w:sz w:val="18"/>
              </w:rPr>
              <w:t xml:space="preserve">     资金</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34.732</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其中：财政</w:t>
            </w:r>
            <w:r>
              <w:rPr>
                <w:rFonts w:ascii="宋体" w:hAnsi="宋体"/>
                <w:color w:val="000000"/>
                <w:sz w:val="18"/>
              </w:rPr>
              <w:br w:type="textWrapping"/>
            </w:r>
            <w:r>
              <w:rPr>
                <w:rFonts w:ascii="宋体" w:hAnsi="宋体"/>
                <w:color w:val="000000"/>
                <w:sz w:val="18"/>
              </w:rPr>
              <w:t xml:space="preserve">     资金</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34.732</w:t>
            </w:r>
          </w:p>
        </w:tc>
        <w:tc>
          <w:tcPr>
            <w:tcW w:w="117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r>
      <w:tr>
        <w:tblPrEx>
          <w:tblLayout w:type="fixed"/>
          <w:tblCellMar>
            <w:top w:w="0" w:type="dxa"/>
            <w:left w:w="15" w:type="dxa"/>
            <w:bottom w:w="0" w:type="dxa"/>
            <w:right w:w="15" w:type="dxa"/>
          </w:tblCellMar>
        </w:tblPrEx>
        <w:trPr>
          <w:trHeight w:val="285"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 xml:space="preserve">     其他</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 xml:space="preserve">     其他</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 xml:space="preserve">     其他</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p>
        </w:tc>
        <w:tc>
          <w:tcPr>
            <w:tcW w:w="117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r>
      <w:tr>
        <w:tblPrEx>
          <w:tblLayout w:type="fixed"/>
          <w:tblCellMar>
            <w:top w:w="0" w:type="dxa"/>
            <w:left w:w="15" w:type="dxa"/>
            <w:bottom w:w="0" w:type="dxa"/>
            <w:right w:w="15" w:type="dxa"/>
          </w:tblCellMar>
        </w:tblPrEx>
        <w:trPr>
          <w:trHeight w:val="330" w:hRule="atLeast"/>
        </w:trPr>
        <w:tc>
          <w:tcPr>
            <w:tcW w:w="116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三、目标完成</w:t>
            </w:r>
            <w:r>
              <w:rPr>
                <w:rFonts w:ascii="宋体" w:hAnsi="宋体"/>
                <w:color w:val="000000"/>
                <w:sz w:val="18"/>
              </w:rPr>
              <w:br w:type="textWrapping"/>
            </w:r>
            <w:r>
              <w:rPr>
                <w:rFonts w:ascii="宋体" w:hAnsi="宋体"/>
                <w:color w:val="000000"/>
                <w:sz w:val="18"/>
              </w:rPr>
              <w:t>情况</w:t>
            </w:r>
          </w:p>
        </w:tc>
        <w:tc>
          <w:tcPr>
            <w:tcW w:w="3174"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年度预算目标</w:t>
            </w:r>
          </w:p>
        </w:tc>
        <w:tc>
          <w:tcPr>
            <w:tcW w:w="3174"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具体完成情况</w:t>
            </w:r>
          </w:p>
        </w:tc>
        <w:tc>
          <w:tcPr>
            <w:tcW w:w="1175"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总体完成率</w:t>
            </w:r>
          </w:p>
        </w:tc>
      </w:tr>
      <w:tr>
        <w:tblPrEx>
          <w:tblLayout w:type="fixed"/>
          <w:tblCellMar>
            <w:top w:w="0" w:type="dxa"/>
            <w:left w:w="15" w:type="dxa"/>
            <w:bottom w:w="0" w:type="dxa"/>
            <w:right w:w="15" w:type="dxa"/>
          </w:tblCellMar>
        </w:tblPrEx>
        <w:trPr>
          <w:trHeight w:val="720"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3174"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通过对我院干警加班补贴，保障我院审判案件有序进行，维护我院审判工作正常运转。</w:t>
            </w:r>
          </w:p>
        </w:tc>
        <w:tc>
          <w:tcPr>
            <w:tcW w:w="3174"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资金全额发放，较好完成本年预定目标。</w:t>
            </w:r>
          </w:p>
        </w:tc>
        <w:tc>
          <w:tcPr>
            <w:tcW w:w="11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r>
      <w:tr>
        <w:tblPrEx>
          <w:tblLayout w:type="fixed"/>
          <w:tblCellMar>
            <w:top w:w="0" w:type="dxa"/>
            <w:left w:w="15" w:type="dxa"/>
            <w:bottom w:w="0" w:type="dxa"/>
            <w:right w:w="15" w:type="dxa"/>
          </w:tblCellMar>
        </w:tblPrEx>
        <w:trPr>
          <w:trHeight w:val="285" w:hRule="atLeast"/>
        </w:trPr>
        <w:tc>
          <w:tcPr>
            <w:tcW w:w="116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四、年度绩效指标完成情况</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一级指标</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二级指标</w:t>
            </w:r>
          </w:p>
        </w:tc>
        <w:tc>
          <w:tcPr>
            <w:tcW w:w="2116"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三级指标</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预期指标值</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实际完成值</w:t>
            </w:r>
          </w:p>
        </w:tc>
        <w:tc>
          <w:tcPr>
            <w:tcW w:w="11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自评得分</w:t>
            </w:r>
          </w:p>
        </w:tc>
      </w:tr>
      <w:tr>
        <w:tblPrEx>
          <w:tblLayout w:type="fixed"/>
          <w:tblCellMar>
            <w:top w:w="0" w:type="dxa"/>
            <w:left w:w="15" w:type="dxa"/>
            <w:bottom w:w="0" w:type="dxa"/>
            <w:right w:w="15" w:type="dxa"/>
          </w:tblCellMar>
        </w:tblPrEx>
        <w:trPr>
          <w:trHeight w:val="285"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58"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产出指标</w:t>
            </w:r>
            <w:r>
              <w:rPr>
                <w:rFonts w:ascii="宋体" w:hAnsi="宋体"/>
                <w:color w:val="000000"/>
                <w:sz w:val="18"/>
              </w:rPr>
              <w:br w:type="textWrapping"/>
            </w:r>
            <w:r>
              <w:rPr>
                <w:rFonts w:ascii="宋体" w:hAnsi="宋体"/>
                <w:color w:val="000000"/>
                <w:sz w:val="18"/>
              </w:rPr>
              <w:t>（40分）</w:t>
            </w:r>
          </w:p>
        </w:tc>
        <w:tc>
          <w:tcPr>
            <w:tcW w:w="1058" w:type="dxa"/>
            <w:tcBorders>
              <w:top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数量指标</w:t>
            </w:r>
          </w:p>
        </w:tc>
        <w:tc>
          <w:tcPr>
            <w:tcW w:w="2116" w:type="dxa"/>
            <w:gridSpan w:val="2"/>
            <w:tcBorders>
              <w:top w:val="single" w:color="000000" w:sz="4" w:space="0"/>
              <w:left w:val="single" w:color="000000" w:sz="4" w:space="0"/>
              <w:bottom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补贴人员数量</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102人</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102人</w:t>
            </w:r>
          </w:p>
        </w:tc>
        <w:tc>
          <w:tcPr>
            <w:tcW w:w="1175" w:type="dxa"/>
            <w:tcBorders>
              <w:top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20</w:t>
            </w:r>
          </w:p>
        </w:tc>
      </w:tr>
      <w:tr>
        <w:tblPrEx>
          <w:tblLayout w:type="fixed"/>
          <w:tblCellMar>
            <w:top w:w="0" w:type="dxa"/>
            <w:left w:w="15" w:type="dxa"/>
            <w:bottom w:w="0" w:type="dxa"/>
            <w:right w:w="15" w:type="dxa"/>
          </w:tblCellMar>
        </w:tblPrEx>
        <w:trPr>
          <w:trHeight w:val="285"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58"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rPr>
                <w:rFonts w:ascii="宋体" w:hAnsi="宋体"/>
                <w:sz w:val="24"/>
              </w:rPr>
            </w:pPr>
          </w:p>
        </w:tc>
        <w:tc>
          <w:tcPr>
            <w:tcW w:w="1058" w:type="dxa"/>
            <w:tcBorders>
              <w:top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时效指标</w:t>
            </w:r>
          </w:p>
        </w:tc>
        <w:tc>
          <w:tcPr>
            <w:tcW w:w="2116"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补助发放率（%）</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20</w:t>
            </w:r>
          </w:p>
        </w:tc>
      </w:tr>
      <w:tr>
        <w:tblPrEx>
          <w:tblLayout w:type="fixed"/>
          <w:tblCellMar>
            <w:top w:w="0" w:type="dxa"/>
            <w:left w:w="15" w:type="dxa"/>
            <w:bottom w:w="0" w:type="dxa"/>
            <w:right w:w="15" w:type="dxa"/>
          </w:tblCellMar>
        </w:tblPrEx>
        <w:trPr>
          <w:trHeight w:val="675"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预算执行率指标（10分）</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预算</w:t>
            </w:r>
            <w:r>
              <w:rPr>
                <w:rFonts w:ascii="宋体" w:hAnsi="宋体"/>
                <w:color w:val="000000"/>
                <w:sz w:val="18"/>
              </w:rPr>
              <w:br w:type="textWrapping"/>
            </w:r>
            <w:r>
              <w:rPr>
                <w:rFonts w:ascii="宋体" w:hAnsi="宋体"/>
                <w:color w:val="000000"/>
                <w:sz w:val="18"/>
              </w:rPr>
              <w:t>执行率</w:t>
            </w:r>
          </w:p>
        </w:tc>
        <w:tc>
          <w:tcPr>
            <w:tcW w:w="2116" w:type="dxa"/>
            <w:gridSpan w:val="2"/>
            <w:tcBorders>
              <w:top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项目资金到位率(%)</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&gt;=90%</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w:t>
            </w:r>
          </w:p>
        </w:tc>
      </w:tr>
      <w:tr>
        <w:tblPrEx>
          <w:tblLayout w:type="fixed"/>
          <w:tblCellMar>
            <w:top w:w="0" w:type="dxa"/>
            <w:left w:w="15" w:type="dxa"/>
            <w:bottom w:w="0" w:type="dxa"/>
            <w:right w:w="15" w:type="dxa"/>
          </w:tblCellMar>
        </w:tblPrEx>
        <w:trPr>
          <w:trHeight w:val="285"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58" w:type="dxa"/>
            <w:vMerge w:val="restart"/>
            <w:tcBorders>
              <w:top w:val="single" w:color="000000" w:sz="4" w:space="0"/>
              <w:left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效益指标</w:t>
            </w:r>
            <w:r>
              <w:rPr>
                <w:rFonts w:ascii="宋体" w:hAnsi="宋体"/>
                <w:color w:val="000000"/>
                <w:sz w:val="18"/>
              </w:rPr>
              <w:br w:type="textWrapping"/>
            </w:r>
            <w:r>
              <w:rPr>
                <w:rFonts w:ascii="宋体" w:hAnsi="宋体"/>
                <w:color w:val="000000"/>
                <w:sz w:val="18"/>
              </w:rPr>
              <w:t>（40分）</w:t>
            </w:r>
          </w:p>
        </w:tc>
        <w:tc>
          <w:tcPr>
            <w:tcW w:w="1058" w:type="dxa"/>
            <w:vMerge w:val="restart"/>
            <w:tcBorders>
              <w:top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社会效益指标</w:t>
            </w:r>
          </w:p>
        </w:tc>
        <w:tc>
          <w:tcPr>
            <w:tcW w:w="2116"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业务保障能力（%）</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&gt;=98%</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20</w:t>
            </w:r>
          </w:p>
        </w:tc>
      </w:tr>
      <w:tr>
        <w:tblPrEx>
          <w:tblLayout w:type="fixed"/>
          <w:tblCellMar>
            <w:top w:w="0" w:type="dxa"/>
            <w:left w:w="15" w:type="dxa"/>
            <w:bottom w:w="0" w:type="dxa"/>
            <w:right w:w="15" w:type="dxa"/>
          </w:tblCellMar>
        </w:tblPrEx>
        <w:trPr>
          <w:trHeight w:val="285"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58" w:type="dxa"/>
            <w:vMerge w:val="continue"/>
            <w:tcBorders>
              <w:top w:val="single" w:color="000000" w:sz="4" w:space="0"/>
              <w:left w:val="single" w:color="000000" w:sz="4" w:space="0"/>
              <w:right w:val="single" w:color="000000" w:sz="4" w:space="0"/>
            </w:tcBorders>
            <w:vAlign w:val="center"/>
          </w:tcPr>
          <w:p>
            <w:pPr>
              <w:autoSpaceDN w:val="0"/>
              <w:rPr>
                <w:rFonts w:ascii="宋体" w:hAnsi="宋体"/>
                <w:sz w:val="24"/>
              </w:rPr>
            </w:pPr>
          </w:p>
        </w:tc>
        <w:tc>
          <w:tcPr>
            <w:tcW w:w="1058" w:type="dxa"/>
            <w:vMerge w:val="continue"/>
            <w:tcBorders>
              <w:top w:val="single" w:color="000000" w:sz="4" w:space="0"/>
              <w:bottom w:val="single" w:color="000000" w:sz="4" w:space="0"/>
              <w:right w:val="single" w:color="000000" w:sz="4" w:space="0"/>
            </w:tcBorders>
            <w:vAlign w:val="center"/>
          </w:tcPr>
          <w:p>
            <w:pPr>
              <w:autoSpaceDN w:val="0"/>
              <w:jc w:val="center"/>
              <w:textAlignment w:val="center"/>
              <w:rPr>
                <w:rFonts w:ascii="宋体" w:hAnsi="宋体"/>
                <w:sz w:val="24"/>
              </w:rPr>
            </w:pPr>
          </w:p>
        </w:tc>
        <w:tc>
          <w:tcPr>
            <w:tcW w:w="2116"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补助覆盖率(%)</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w:t>
            </w:r>
          </w:p>
        </w:tc>
      </w:tr>
      <w:tr>
        <w:tblPrEx>
          <w:tblLayout w:type="fixed"/>
          <w:tblCellMar>
            <w:top w:w="0" w:type="dxa"/>
            <w:left w:w="15" w:type="dxa"/>
            <w:bottom w:w="0" w:type="dxa"/>
            <w:right w:w="15" w:type="dxa"/>
          </w:tblCellMar>
        </w:tblPrEx>
        <w:trPr>
          <w:trHeight w:val="450"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58" w:type="dxa"/>
            <w:vMerge w:val="continue"/>
            <w:tcBorders>
              <w:top w:val="single" w:color="000000" w:sz="4" w:space="0"/>
              <w:left w:val="single" w:color="000000" w:sz="4" w:space="0"/>
              <w:right w:val="single" w:color="000000" w:sz="4" w:space="0"/>
            </w:tcBorders>
            <w:vAlign w:val="center"/>
          </w:tcPr>
          <w:p>
            <w:pPr>
              <w:autoSpaceDN w:val="0"/>
              <w:rPr>
                <w:rFonts w:ascii="宋体" w:hAnsi="宋体"/>
                <w:sz w:val="24"/>
              </w:rPr>
            </w:pPr>
          </w:p>
        </w:tc>
        <w:tc>
          <w:tcPr>
            <w:tcW w:w="1058" w:type="dxa"/>
            <w:tcBorders>
              <w:top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可持续影响指标</w:t>
            </w:r>
          </w:p>
        </w:tc>
        <w:tc>
          <w:tcPr>
            <w:tcW w:w="2116"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项目后续管控有效性（%）</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w:t>
            </w:r>
          </w:p>
        </w:tc>
      </w:tr>
      <w:tr>
        <w:tblPrEx>
          <w:tblLayout w:type="fixed"/>
          <w:tblCellMar>
            <w:top w:w="0" w:type="dxa"/>
            <w:left w:w="15" w:type="dxa"/>
            <w:bottom w:w="0" w:type="dxa"/>
            <w:right w:w="15" w:type="dxa"/>
          </w:tblCellMar>
        </w:tblPrEx>
        <w:trPr>
          <w:trHeight w:val="450"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满意度指标</w:t>
            </w:r>
            <w:r>
              <w:rPr>
                <w:rFonts w:ascii="宋体" w:hAnsi="宋体"/>
                <w:color w:val="000000"/>
                <w:sz w:val="18"/>
              </w:rPr>
              <w:br w:type="textWrapping"/>
            </w:r>
            <w:r>
              <w:rPr>
                <w:rFonts w:ascii="宋体" w:hAnsi="宋体"/>
                <w:color w:val="000000"/>
                <w:sz w:val="18"/>
              </w:rPr>
              <w:t>（10分）</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满意度指标</w:t>
            </w:r>
          </w:p>
        </w:tc>
        <w:tc>
          <w:tcPr>
            <w:tcW w:w="2116"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ascii="宋体" w:hAnsi="宋体"/>
                <w:color w:val="000000"/>
                <w:sz w:val="18"/>
              </w:rPr>
            </w:pPr>
            <w:r>
              <w:rPr>
                <w:rFonts w:ascii="宋体" w:hAnsi="宋体"/>
                <w:color w:val="000000"/>
                <w:sz w:val="18"/>
              </w:rPr>
              <w:t>受益对象满意度（%）</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058"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c>
          <w:tcPr>
            <w:tcW w:w="11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w:t>
            </w:r>
          </w:p>
        </w:tc>
      </w:tr>
      <w:tr>
        <w:tblPrEx>
          <w:tblLayout w:type="fixed"/>
          <w:tblCellMar>
            <w:top w:w="0" w:type="dxa"/>
            <w:left w:w="15" w:type="dxa"/>
            <w:bottom w:w="0" w:type="dxa"/>
            <w:right w:w="15" w:type="dxa"/>
          </w:tblCellMar>
        </w:tblPrEx>
        <w:trPr>
          <w:trHeight w:val="285" w:hRule="atLeast"/>
        </w:trPr>
        <w:tc>
          <w:tcPr>
            <w:tcW w:w="116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hAnsi="宋体"/>
                <w:sz w:val="24"/>
              </w:rPr>
            </w:pPr>
          </w:p>
        </w:tc>
        <w:tc>
          <w:tcPr>
            <w:tcW w:w="6348" w:type="dxa"/>
            <w:gridSpan w:val="6"/>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总分</w:t>
            </w:r>
          </w:p>
        </w:tc>
        <w:tc>
          <w:tcPr>
            <w:tcW w:w="11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100</w:t>
            </w:r>
          </w:p>
        </w:tc>
      </w:tr>
      <w:tr>
        <w:tblPrEx>
          <w:tblLayout w:type="fixed"/>
          <w:tblCellMar>
            <w:top w:w="0" w:type="dxa"/>
            <w:left w:w="15" w:type="dxa"/>
            <w:bottom w:w="0" w:type="dxa"/>
            <w:right w:w="15" w:type="dxa"/>
          </w:tblCellMar>
        </w:tblPrEx>
        <w:trPr>
          <w:trHeight w:val="900" w:hRule="atLeast"/>
        </w:trPr>
        <w:tc>
          <w:tcPr>
            <w:tcW w:w="116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五、存在问题、原因及下一步整改措施</w:t>
            </w:r>
          </w:p>
        </w:tc>
        <w:tc>
          <w:tcPr>
            <w:tcW w:w="7523" w:type="dxa"/>
            <w:gridSpan w:val="7"/>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ascii="宋体" w:hAnsi="宋体"/>
                <w:color w:val="000000"/>
                <w:sz w:val="18"/>
              </w:rPr>
            </w:pPr>
            <w:r>
              <w:rPr>
                <w:rFonts w:ascii="宋体" w:hAnsi="宋体"/>
                <w:color w:val="000000"/>
                <w:sz w:val="18"/>
              </w:rPr>
              <w:t>本年目标圆满完成。</w:t>
            </w:r>
          </w:p>
        </w:tc>
      </w:tr>
      <w:tr>
        <w:tblPrEx>
          <w:tblLayout w:type="fixed"/>
          <w:tblCellMar>
            <w:top w:w="0" w:type="dxa"/>
            <w:left w:w="15" w:type="dxa"/>
            <w:bottom w:w="0" w:type="dxa"/>
            <w:right w:w="15" w:type="dxa"/>
          </w:tblCellMar>
        </w:tblPrEx>
        <w:trPr>
          <w:trHeight w:val="270" w:hRule="atLeast"/>
        </w:trPr>
        <w:tc>
          <w:tcPr>
            <w:tcW w:w="1160" w:type="dxa"/>
            <w:vAlign w:val="center"/>
          </w:tcPr>
          <w:p>
            <w:pPr>
              <w:autoSpaceDN w:val="0"/>
              <w:jc w:val="left"/>
              <w:textAlignment w:val="center"/>
              <w:rPr>
                <w:rFonts w:ascii="宋体" w:hAnsi="宋体"/>
                <w:color w:val="000000"/>
                <w:sz w:val="18"/>
              </w:rPr>
            </w:pPr>
            <w:r>
              <w:rPr>
                <w:rFonts w:ascii="宋体" w:hAnsi="宋体"/>
                <w:color w:val="000000"/>
                <w:sz w:val="18"/>
              </w:rPr>
              <w:t>填报人：</w:t>
            </w:r>
          </w:p>
        </w:tc>
        <w:tc>
          <w:tcPr>
            <w:tcW w:w="1058" w:type="dxa"/>
            <w:vAlign w:val="center"/>
          </w:tcPr>
          <w:p>
            <w:pPr>
              <w:autoSpaceDN w:val="0"/>
              <w:jc w:val="center"/>
              <w:textAlignment w:val="center"/>
              <w:rPr>
                <w:rFonts w:ascii="宋体" w:hAnsi="宋体"/>
                <w:color w:val="000000"/>
                <w:sz w:val="18"/>
              </w:rPr>
            </w:pPr>
            <w:r>
              <w:rPr>
                <w:rFonts w:ascii="宋体" w:hAnsi="宋体"/>
                <w:color w:val="000000"/>
                <w:sz w:val="18"/>
              </w:rPr>
              <w:t>赵溪</w:t>
            </w:r>
          </w:p>
        </w:tc>
        <w:tc>
          <w:tcPr>
            <w:tcW w:w="1058" w:type="dxa"/>
            <w:vAlign w:val="center"/>
          </w:tcPr>
          <w:p>
            <w:pPr>
              <w:autoSpaceDN w:val="0"/>
              <w:jc w:val="center"/>
              <w:textAlignment w:val="center"/>
              <w:rPr>
                <w:rFonts w:ascii="宋体" w:hAnsi="宋体"/>
                <w:color w:val="000000"/>
                <w:sz w:val="18"/>
              </w:rPr>
            </w:pPr>
          </w:p>
        </w:tc>
        <w:tc>
          <w:tcPr>
            <w:tcW w:w="1058" w:type="dxa"/>
            <w:vAlign w:val="center"/>
          </w:tcPr>
          <w:p>
            <w:pPr>
              <w:autoSpaceDN w:val="0"/>
              <w:jc w:val="center"/>
              <w:textAlignment w:val="center"/>
              <w:rPr>
                <w:rFonts w:ascii="宋体" w:hAnsi="宋体"/>
                <w:color w:val="000000"/>
                <w:sz w:val="18"/>
              </w:rPr>
            </w:pPr>
          </w:p>
        </w:tc>
        <w:tc>
          <w:tcPr>
            <w:tcW w:w="1058" w:type="dxa"/>
            <w:vAlign w:val="center"/>
          </w:tcPr>
          <w:p>
            <w:pPr>
              <w:autoSpaceDN w:val="0"/>
              <w:jc w:val="center"/>
              <w:textAlignment w:val="center"/>
              <w:rPr>
                <w:rFonts w:ascii="宋体" w:hAnsi="宋体"/>
                <w:color w:val="000000"/>
                <w:sz w:val="18"/>
              </w:rPr>
            </w:pPr>
          </w:p>
        </w:tc>
        <w:tc>
          <w:tcPr>
            <w:tcW w:w="1058" w:type="dxa"/>
            <w:vAlign w:val="center"/>
          </w:tcPr>
          <w:p>
            <w:pPr>
              <w:autoSpaceDN w:val="0"/>
              <w:jc w:val="left"/>
              <w:textAlignment w:val="center"/>
              <w:rPr>
                <w:rFonts w:ascii="宋体" w:hAnsi="宋体"/>
                <w:color w:val="000000"/>
                <w:sz w:val="18"/>
              </w:rPr>
            </w:pPr>
            <w:r>
              <w:rPr>
                <w:rFonts w:ascii="宋体" w:hAnsi="宋体"/>
                <w:color w:val="000000"/>
                <w:sz w:val="18"/>
              </w:rPr>
              <w:t>联系电话：</w:t>
            </w:r>
          </w:p>
        </w:tc>
        <w:tc>
          <w:tcPr>
            <w:tcW w:w="2233" w:type="dxa"/>
            <w:gridSpan w:val="2"/>
            <w:vAlign w:val="center"/>
          </w:tcPr>
          <w:p>
            <w:pPr>
              <w:autoSpaceDN w:val="0"/>
              <w:jc w:val="center"/>
              <w:textAlignment w:val="center"/>
              <w:rPr>
                <w:rFonts w:ascii="宋体" w:hAnsi="宋体"/>
                <w:color w:val="000000"/>
                <w:sz w:val="18"/>
              </w:rPr>
            </w:pPr>
            <w:r>
              <w:rPr>
                <w:rFonts w:ascii="宋体" w:hAnsi="宋体"/>
                <w:color w:val="000000"/>
                <w:sz w:val="18"/>
              </w:rPr>
              <w:t>0311-88149060</w:t>
            </w:r>
          </w:p>
        </w:tc>
      </w:tr>
    </w:tbl>
    <w:p>
      <w:pPr>
        <w:keepNext/>
        <w:keepLines/>
        <w:snapToGrid w:val="0"/>
        <w:spacing w:line="580" w:lineRule="exact"/>
        <w:ind w:left="640"/>
        <w:outlineLvl w:val="1"/>
        <w:rPr>
          <w:rFonts w:ascii="仿宋_GB2312" w:hAnsi="仿宋_GB2312" w:eastAsia="仿宋_GB2312" w:cs="仿宋_GB2312"/>
          <w:sz w:val="32"/>
          <w:szCs w:val="32"/>
        </w:rPr>
      </w:pPr>
      <w:r>
        <w:rPr>
          <w:rFonts w:hint="eastAsia" w:ascii="楷体_GB2312" w:hAnsi="楷体_GB2312" w:eastAsia="楷体_GB2312" w:cs="楷体_GB2312"/>
          <w:b/>
          <w:bCs/>
          <w:sz w:val="32"/>
          <w:szCs w:val="32"/>
        </w:rPr>
        <w:t>（三）财政评价项目绩效评价结果</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本部门无财政评价项目。</w:t>
      </w:r>
    </w:p>
    <w:p>
      <w:pPr>
        <w:keepNext/>
        <w:keepLines/>
        <w:snapToGrid w:val="0"/>
        <w:spacing w:line="600" w:lineRule="exact"/>
        <w:ind w:firstLine="640" w:firstLineChars="200"/>
        <w:outlineLvl w:val="1"/>
        <w:rPr>
          <w:rFonts w:ascii="黑体" w:hAnsi="黑体" w:eastAsia="黑体"/>
          <w:b/>
          <w:bCs/>
          <w:sz w:val="32"/>
          <w:szCs w:val="32"/>
        </w:rPr>
      </w:pPr>
      <w:r>
        <w:rPr>
          <w:rFonts w:hint="eastAsia" w:ascii="黑体" w:hAnsi="黑体" w:eastAsia="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本部门2020年度机关运行经费支出123.02万元，比2019年度增加14.53万元，增长13.39%。主要原因是人员增加，按人头标准的机关运行经费随之增加。</w:t>
      </w:r>
    </w:p>
    <w:p>
      <w:pPr>
        <w:adjustRightInd w:val="0"/>
        <w:snapToGrid w:val="0"/>
        <w:spacing w:line="600" w:lineRule="exact"/>
        <w:ind w:firstLine="640" w:firstLineChars="200"/>
        <w:rPr>
          <w:rFonts w:ascii="仿宋_GB2312" w:hAnsi="仿宋_GB2312" w:eastAsia="仿宋_GB2312" w:cs="仿宋_GB2312"/>
          <w:sz w:val="32"/>
          <w:szCs w:val="32"/>
          <w:highlight w:val="yellow"/>
        </w:rPr>
      </w:pPr>
    </w:p>
    <w:p>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本部门2020年度政府采购支出总额50.06万元，从采购类型来看，</w:t>
      </w:r>
      <w:r>
        <w:rPr>
          <w:rFonts w:hint="eastAsia" w:ascii="仿宋_GB2312" w:hAnsi="仿宋_GB2312" w:eastAsia="仿宋_GB2312" w:cs="仿宋_GB2312"/>
          <w:color w:val="000000"/>
          <w:kern w:val="0"/>
          <w:sz w:val="32"/>
          <w:szCs w:val="32"/>
        </w:rPr>
        <w:t>政府采购货物支出50.06 万元、政府采购工程支出0万元、政府采购服务支出 0万元。授予中小企业合同金50.6万元，占政府采购支出总额的100%，其中授予小微企业合同金额50.06万元，占政府采购支出总额的 100%。</w:t>
      </w:r>
    </w:p>
    <w:p>
      <w:pPr>
        <w:snapToGrid w:val="0"/>
        <w:spacing w:line="600" w:lineRule="exact"/>
        <w:ind w:firstLine="640" w:firstLineChars="200"/>
        <w:jc w:val="left"/>
        <w:rPr>
          <w:rFonts w:ascii="仿宋_GB2312" w:hAnsi="仿宋_GB2312" w:eastAsia="仿宋_GB2312" w:cs="仿宋_GB2312"/>
          <w:sz w:val="32"/>
          <w:szCs w:val="32"/>
          <w:highlight w:val="yellow"/>
        </w:rPr>
      </w:pPr>
    </w:p>
    <w:p>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20辆，比上年增加2辆，主要是报废两辆公车后，新购两辆特种车辆。其中，副部（省）级及以上领导用车0辆，主要领导干部用车0辆，机要通信用车1辆，应急保障用车0辆，执法执勤用车15辆，特种专业技术用车4辆，离退休干部用车0辆，其他用车0辆；</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单位价值50万元以上通用设备0台，比上年增加0套，</w:t>
      </w:r>
      <w:r>
        <w:rPr>
          <w:rFonts w:hint="eastAsia" w:ascii="仿宋_GB2312" w:hAnsi="Times New Roman" w:eastAsia="仿宋_GB2312" w:cs="DengXian-Regular"/>
          <w:sz w:val="32"/>
          <w:szCs w:val="32"/>
        </w:rPr>
        <w:t>与上年相比无增减变化</w:t>
      </w:r>
      <w:r>
        <w:rPr>
          <w:rFonts w:hint="eastAsia" w:ascii="仿宋_GB2312" w:hAnsi="仿宋_GB2312" w:eastAsia="仿宋_GB2312" w:cs="仿宋_GB2312"/>
          <w:sz w:val="32"/>
          <w:szCs w:val="32"/>
        </w:rPr>
        <w:t>，单位价值100万元以上专用设备0台比上年增加0套，</w:t>
      </w:r>
      <w:r>
        <w:rPr>
          <w:rFonts w:hint="eastAsia" w:ascii="仿宋_GB2312" w:hAnsi="Times New Roman" w:eastAsia="仿宋_GB2312" w:cs="DengXian-Regular"/>
          <w:sz w:val="32"/>
          <w:szCs w:val="32"/>
        </w:rPr>
        <w:t>与上年相比无增减变化</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仿宋_GB2312" w:hAnsi="仿宋_GB2312" w:eastAsia="仿宋_GB2312" w:cs="仿宋_GB2312"/>
          <w:b/>
          <w:bCs/>
          <w:sz w:val="32"/>
          <w:szCs w:val="32"/>
        </w:rPr>
      </w:pPr>
    </w:p>
    <w:p>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本部门2020年度未发生政府性基金预算、国有资金经营预算收支及结转结余情况，故政府性基金预算财政拨款收入支出决算表、国有资本经营预算财政拨款支出决算表等表以空表列示。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w:pict>
          <v:rect id="文本框 188" o:spid="_x0000_s1037" o:spt="1" style="position:absolute;left:0pt;margin-left:-81.9pt;margin-top:2.05pt;height:263.1pt;width:613.65pt;z-index:1024;mso-width-relative:page;mso-height-relative:page;" fillcolor="#7F7F7F" filled="t" o:preferrelative="t" stroked="t" coordsize="21600,21600">
            <v:path/>
            <v:fill type="pattern" on="t" o:title="image2" focussize="0,0" r:id="rId14"/>
            <v:stroke color="#7F7F7F" miterlimit="2"/>
            <v:imagedata o:title=""/>
            <o:lock v:ext="edit"/>
            <v:textbox>
              <w:txbxContent>
                <w:p>
                  <w:pPr>
                    <w:widowControl/>
                    <w:jc w:val="center"/>
                  </w:pPr>
                  <w:r>
                    <w:rPr>
                      <w:rFonts w:hint="eastAsia" w:ascii="黑体" w:hAnsi="黑体" w:eastAsia="黑体"/>
                      <w:color w:val="000000"/>
                      <w:sz w:val="90"/>
                      <w:szCs w:val="90"/>
                    </w:rPr>
                    <w:t>第三部分 相关名词解释</w:t>
                  </w:r>
                </w:p>
              </w:txbxContent>
            </v:textbox>
          </v:rect>
        </w:pic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（九）基本建设支出：</w:t>
      </w:r>
      <w:r>
        <w:rPr>
          <w:rFonts w:hint="eastAsia" w:ascii="仿宋_GB2312" w:hAnsi="宋体" w:eastAsia="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（十）其他资本性支出：</w:t>
      </w:r>
      <w:r>
        <w:rPr>
          <w:rFonts w:hint="eastAsia" w:ascii="仿宋_GB2312" w:hAnsi="宋体" w:eastAsia="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（十三）公务用车购置：</w:t>
      </w:r>
      <w:r>
        <w:rPr>
          <w:rFonts w:hint="eastAsia" w:ascii="仿宋_GB2312" w:hAnsi="宋体" w:eastAsia="仿宋_GB2312"/>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（十四）其他交通工具购置：</w:t>
      </w:r>
      <w:r>
        <w:rPr>
          <w:rFonts w:hint="eastAsia" w:ascii="仿宋_GB2312" w:hAnsi="宋体" w:eastAsia="仿宋_GB2312"/>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b/>
          <w:bCs/>
          <w:color w:val="000000"/>
          <w:kern w:val="0"/>
          <w:sz w:val="32"/>
          <w:szCs w:val="32"/>
        </w:rPr>
        <w:t>（十六）经费形式: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sz w:val="32"/>
          <w:szCs w:val="32"/>
        </w:rPr>
        <w:sectPr>
          <w:headerReference r:id="rId11" w:type="default"/>
          <w:pgSz w:w="11906" w:h="16838"/>
          <w:pgMar w:top="2098" w:right="1531" w:bottom="1984" w:left="1531" w:header="851" w:footer="992" w:gutter="0"/>
          <w:pgNumType w:fmt="numberInDash"/>
          <w:cols w:space="720" w:num="1"/>
          <w:titlePg/>
          <w:docGrid w:type="lines" w:linePitch="312" w:charSpace="0"/>
        </w:sectPr>
      </w:pPr>
    </w:p>
    <w:p>
      <w:r>
        <w:rPr>
          <w:sz w:val="72"/>
        </w:rPr>
        <w:pict>
          <v:rect id="文本框 1" o:spid="_x0000_s1038" o:spt="1" style="position:absolute;left:0pt;margin-left:-80.9pt;margin-top:90.65pt;height:263.1pt;width:613.65pt;z-index:1024;mso-width-relative:page;mso-height-relative:page;" fillcolor="#7F7F7F" filled="t" o:preferrelative="t" stroked="t" coordsize="21600,21600">
            <v:path/>
            <v:fill type="pattern" on="t" o:title="image2" focussize="0,0" r:id="rId14"/>
            <v:stroke color="#A5A5A5" miterlimit="2"/>
            <v:imagedata o:title=""/>
            <o:lock v:ext="edit"/>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pPr>
                    <w:widowControl/>
                    <w:jc w:val="center"/>
                  </w:pPr>
                  <w:r>
                    <w:rPr>
                      <w:rFonts w:hint="eastAsia" w:ascii="黑体" w:hAnsi="黑体" w:eastAsia="黑体"/>
                      <w:color w:val="000000"/>
                      <w:sz w:val="90"/>
                      <w:szCs w:val="90"/>
                    </w:rPr>
                    <w:t>2020年度部门决算报表</w:t>
                  </w:r>
                </w:p>
                <w:p/>
              </w:txbxContent>
            </v:textbox>
          </v:rect>
        </w:pict>
      </w: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jc w:val="left"/>
        <w:rPr>
          <w:rFonts w:ascii="仿宋_GB2312" w:hAnsi="Cambria" w:eastAsia="仿宋_GB2312" w:cs="Arial Black"/>
          <w:kern w:val="0"/>
          <w:sz w:val="32"/>
          <w:szCs w:val="32"/>
        </w:rPr>
        <w:sectPr>
          <w:type w:val="continuous"/>
          <w:pgSz w:w="11906" w:h="16838"/>
          <w:pgMar w:top="2098" w:right="1531" w:bottom="1984" w:left="1531" w:header="851" w:footer="992" w:gutter="0"/>
          <w:pgNumType w:fmt="numberInDash"/>
          <w:cols w:space="720" w:num="1"/>
          <w:titlePg/>
          <w:docGrid w:type="lines" w:linePitch="312" w:charSpace="0"/>
        </w:sectPr>
      </w:pPr>
      <w:r>
        <w:rPr>
          <w:rFonts w:hint="eastAsia" w:ascii="仿宋_GB2312" w:hAnsi="Cambria" w:eastAsia="仿宋_GB2312" w:cs="Arial Black"/>
          <w:kern w:val="0"/>
          <w:sz w:val="32"/>
          <w:szCs w:val="32"/>
        </w:rPr>
        <w:t>详见附表</w:t>
      </w: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w:pict>
          <v:rect id="矩形 3" o:spid="_x0000_s1039" o:spt="1" style="position:absolute;left:0pt;margin-left:-78.2pt;margin-top:-106.6pt;height:842.2pt;width:601pt;z-index:1024;mso-width-relative:page;mso-height-relative:page;" fillcolor="#BBD6EE" filled="t" o:preferrelative="t" stroked="f" coordsize="21600,21600">
            <v:path/>
            <v:fill on="t" focussize="0,0"/>
            <v:stroke on="f"/>
            <v:imagedata o:title=""/>
            <o:lock v:ext="edit"/>
          </v:rect>
        </w:pict>
      </w:r>
    </w:p>
    <w:sectPr>
      <w:pgSz w:w="11906" w:h="16838"/>
      <w:pgMar w:top="2098"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auto"/>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C"/>
    <w:multiLevelType w:val="singleLevel"/>
    <w:tmpl w:val="0000000C"/>
    <w:lvl w:ilvl="0" w:tentative="0">
      <w:start w:val="1"/>
      <w:numFmt w:val="decimal"/>
      <w:suff w:val="nothing"/>
      <w:lvlText w:val="（%1）"/>
      <w:lvlJc w:val="left"/>
    </w:lvl>
  </w:abstractNum>
  <w:abstractNum w:abstractNumId="1">
    <w:nsid w:val="0000000D"/>
    <w:multiLevelType w:val="singleLevel"/>
    <w:tmpl w:val="0000000D"/>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57910"/>
    <w:rsid w:val="00C76ED5"/>
    <w:rsid w:val="00CE5359"/>
    <w:rsid w:val="00F57910"/>
    <w:rsid w:val="429831F7"/>
    <w:rsid w:val="49301647"/>
    <w:rsid w:val="4FC97090"/>
    <w:rsid w:val="6CD50C78"/>
    <w:rsid w:val="7A806CBF"/>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alloon Text"/>
    <w:basedOn w:val="1"/>
    <w:link w:val="9"/>
    <w:uiPriority w:val="0"/>
    <w:rPr>
      <w:sz w:val="18"/>
      <w:szCs w:val="18"/>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customStyle="1" w:styleId="8">
    <w:name w:val="列出段落1"/>
    <w:basedOn w:val="1"/>
    <w:qFormat/>
    <w:uiPriority w:val="0"/>
    <w:pPr>
      <w:ind w:firstLine="420" w:firstLineChars="200"/>
    </w:pPr>
  </w:style>
  <w:style w:type="character" w:customStyle="1" w:styleId="9">
    <w:name w:val="批注框文本 Char"/>
    <w:basedOn w:val="7"/>
    <w:link w:val="3"/>
    <w:qFormat/>
    <w:uiPriority w:val="0"/>
    <w:rPr>
      <w:rFonts w:ascii="Calibri" w:hAnsi="Calibri" w:eastAsia="宋体" w:cs="黑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6.emf"/><Relationship Id="rId21" Type="http://schemas.openxmlformats.org/officeDocument/2006/relationships/oleObject" Target="embeddings/oleObject4.bin"/><Relationship Id="rId20" Type="http://schemas.openxmlformats.org/officeDocument/2006/relationships/image" Target="media/image5.wmf"/><Relationship Id="rId2" Type="http://schemas.openxmlformats.org/officeDocument/2006/relationships/settings" Target="settings.xml"/><Relationship Id="rId19" Type="http://schemas.openxmlformats.org/officeDocument/2006/relationships/oleObject" Target="embeddings/oleObject3.bin"/><Relationship Id="rId18" Type="http://schemas.openxmlformats.org/officeDocument/2006/relationships/image" Target="media/image4.wmf"/><Relationship Id="rId17" Type="http://schemas.openxmlformats.org/officeDocument/2006/relationships/oleObject" Target="embeddings/oleObject2.bin"/><Relationship Id="rId16" Type="http://schemas.openxmlformats.org/officeDocument/2006/relationships/image" Target="media/image3.emf"/><Relationship Id="rId15" Type="http://schemas.openxmlformats.org/officeDocument/2006/relationships/oleObject" Target="embeddings/oleObject1.bin"/><Relationship Id="rId14" Type="http://schemas.openxmlformats.org/officeDocument/2006/relationships/image" Target="media/image2.GIF"/><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1"/>
    <customShpInfo spid="_x0000_s1032"/>
    <customShpInfo spid="_x0000_s1033"/>
    <customShpInfo spid="_x0000_s1035"/>
    <customShpInfo spid="_x0000_s1036"/>
    <customShpInfo spid="_x0000_s1037"/>
    <customShpInfo spid="_x0000_s1038"/>
    <customShpInfo spid="_x0000_s103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24</Pages>
  <Words>1032</Words>
  <Characters>5889</Characters>
  <Lines>49</Lines>
  <Paragraphs>13</Paragraphs>
  <TotalTime>7</TotalTime>
  <ScaleCrop>false</ScaleCrop>
  <LinksUpToDate>false</LinksUpToDate>
  <CharactersWithSpaces>6908</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2021-09-16T06:48:00Z</cp:lastPrinted>
  <dcterms:modified xsi:type="dcterms:W3CDTF">2022-08-30T02:36:25Z</dcterms:modified>
  <dc:title>user</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65FA352BAB5146309CB066C800874C19</vt:lpwstr>
  </property>
</Properties>
</file>