
<file path=[Content_Types].xml><?xml version="1.0" encoding="utf-8"?>
<Types xmlns="http://schemas.openxmlformats.org/package/2006/content-types">
  <Default Extension="xml" ContentType="application/xml"/>
  <Default Extension="xlsx" ContentType="application/vnd.openxmlformats-officedocument.spreadsheetml.sheet"/>
  <Default Extension="bin" ContentType="application/vnd.openxmlformats-officedocument.oleObject"/>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bookmarkStart w:id="0" w:name="_GoBack"/>
      <w:bookmarkEnd w:id="0"/>
      <w:r>
        <w:rPr>
          <w:rFonts w:hint="eastAsia" w:hAnsi="宋体" w:asciiTheme="minorEastAsia" w:eastAsiaTheme="minorEastAsia"/>
          <w:color w:val="002060"/>
          <w:sz w:val="72"/>
          <w:szCs w:val="72"/>
        </w:rPr>
        <w:drawing>
          <wp:anchor distT="0" distB="0" distL="114300" distR="114300" simplePos="0" relativeHeight="251660288" behindDoc="1" locked="0" layoutInCell="1" allowOverlap="1">
            <wp:simplePos x="0" y="0"/>
            <wp:positionH relativeFrom="column">
              <wp:posOffset>-827405</wp:posOffset>
            </wp:positionH>
            <wp:positionV relativeFrom="paragraph">
              <wp:posOffset>315595</wp:posOffset>
            </wp:positionV>
            <wp:extent cx="7576820" cy="10796905"/>
            <wp:effectExtent l="19050" t="0" r="5080" b="0"/>
            <wp:wrapNone/>
            <wp:docPr id="5"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7" descr="wc ga"/>
                    <pic:cNvPicPr>
                      <a:picLocks noChangeAspect="1"/>
                    </pic:cNvPicPr>
                  </pic:nvPicPr>
                  <pic:blipFill>
                    <a:blip r:embed="rId5" cstate="print"/>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w:pict>
          <v:shape id="_x0000_s1026" o:spid="_x0000_s1026" o:spt="202" type="#_x0000_t202" style="position:absolute;left:0pt;margin-left:-83.1pt;margin-top:43.25pt;height:166.25pt;width:596.2pt;z-index:251661312;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石家庄市藁城区信访局</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一九年十</w:t>
      </w:r>
      <w:r>
        <w:rPr>
          <w:rFonts w:hint="eastAsia" w:ascii="楷体_GB2312" w:hAnsi="楷体" w:eastAsia="楷体_GB2312" w:cs="楷体"/>
          <w:b/>
          <w:sz w:val="40"/>
          <w:szCs w:val="40"/>
        </w:rPr>
        <w:t>月二十九日</w:t>
      </w:r>
    </w:p>
    <w:p>
      <w:pPr>
        <w:spacing w:beforeLines="200" w:after="0" w:line="1000" w:lineRule="exact"/>
        <w:jc w:val="center"/>
        <w:rPr>
          <w:rFonts w:ascii="黑体" w:eastAsia="黑体"/>
          <w:sz w:val="48"/>
          <w:szCs w:val="48"/>
        </w:rPr>
      </w:pPr>
      <w:r>
        <w:rPr>
          <w:sz w:val="48"/>
          <w:szCs w:val="28"/>
        </w:rPr>
        <w:pict>
          <v:group id="_x0000_s1034" o:spid="_x0000_s1034" o:spt="203" style="position:absolute;left:0pt;margin-left:-80.8pt;margin-top:39.95pt;height:46.7pt;width:250.05pt;mso-position-vertical-relative:page;z-index:251666432;mso-width-relative:page;mso-height-relative:page;" coordorigin="45,526" coordsize="85,13982"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2DzDVNsAAAALAQAADwAAAAAAAAAB&#10;ACAAAAAiAAAAZHJzL2Rvd25yZXYueG1sUEsBAhQAFAAAAAgAh07iQAA8qI8qAwAA8ggAAA4AAAAA&#10;AAAAAQAgAAAAKgEAAGRycy9lMm9Eb2MueG1sUEsFBgAAAAAGAAYAWQEAAMYGAAAAAA==&#10;">
            <o:lock v:ext="edit"/>
            <v:rect id="矩形 13" o:spid="_x0000_s1035" o:spt="1" style="position:absolute;left:45;top:526;height:11;width:85;v-text-anchor:middle;" fillcolor="#D9D9D9" filled="t" stroked="f" coordsize="21600,21600" o:gfxdata="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dhqAa/&#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036" o:spt="1" style="position:absolute;left:45;top:528;height:12;width:84;v-text-anchor:middle;" fillcolor="#AD002D" filled="t" stroked="t" coordsize="21600,21600" o:gfxdata="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VJfCbsAAADc&#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pPr>
                      <w:jc w:val="center"/>
                    </w:pPr>
                  </w:p>
                </w:txbxContent>
              </v:textbox>
            </v:rect>
            <w10:anchorlock/>
          </v:group>
        </w:pict>
      </w: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r>
        <w:rPr>
          <w:rFonts w:hint="eastAsia" w:eastAsia="仿宋_GB2312"/>
          <w:sz w:val="24"/>
          <w:szCs w:val="32"/>
        </w:rPr>
        <w:t xml:space="preserve"> </w:t>
      </w:r>
    </w:p>
    <w:p>
      <w:pPr>
        <w:pStyle w:val="13"/>
        <w:widowControl/>
        <w:numPr>
          <w:ilvl w:val="0"/>
          <w:numId w:val="1"/>
        </w:numPr>
        <w:spacing w:line="580" w:lineRule="exact"/>
        <w:ind w:firstLineChars="0"/>
        <w:rPr>
          <w:rFonts w:eastAsia="仿宋_GB2312"/>
          <w:sz w:val="32"/>
          <w:szCs w:val="32"/>
        </w:rPr>
      </w:pPr>
      <w:r>
        <w:rPr>
          <w:rFonts w:eastAsia="仿宋_GB2312"/>
          <w:sz w:val="32"/>
          <w:szCs w:val="32"/>
        </w:rPr>
        <w:t>部门</w:t>
      </w:r>
      <w:r>
        <w:rPr>
          <w:rFonts w:hint="eastAsia" w:eastAsia="仿宋_GB2312"/>
          <w:sz w:val="32"/>
          <w:szCs w:val="32"/>
        </w:rPr>
        <w:t>职责</w:t>
      </w:r>
    </w:p>
    <w:p>
      <w:pPr>
        <w:pStyle w:val="13"/>
        <w:widowControl/>
        <w:numPr>
          <w:ilvl w:val="0"/>
          <w:numId w:val="1"/>
        </w:numPr>
        <w:spacing w:line="580" w:lineRule="exact"/>
        <w:ind w:firstLineChars="0"/>
        <w:rPr>
          <w:rFonts w:eastAsia="仿宋_GB2312"/>
          <w:sz w:val="32"/>
          <w:szCs w:val="32"/>
        </w:rPr>
      </w:pP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第三部分  部门201</w:t>
      </w:r>
      <w:r>
        <w:rPr>
          <w:rFonts w:hint="eastAsia" w:eastAsia="黑体"/>
          <w:sz w:val="32"/>
          <w:szCs w:val="32"/>
        </w:rPr>
        <w:t>8</w:t>
      </w:r>
      <w:r>
        <w:rPr>
          <w:rFonts w:eastAsia="黑体"/>
          <w:sz w:val="32"/>
          <w:szCs w:val="32"/>
        </w:rPr>
        <w:t>年部门决算情况说明</w:t>
      </w:r>
      <w:r>
        <w:rPr>
          <w:sz w:val="44"/>
        </w:rPr>
        <w:pict>
          <v:group id="_x0000_s1031" o:spid="_x0000_s1031" o:spt="203" style="position:absolute;left:0pt;margin-left:-80.8pt;margin-top:38.95pt;height:46.7pt;width:222.8pt;mso-position-vertical-relative:page;z-index:251665408;mso-width-relative:page;mso-height-relative:page;" coordorigin="45,526" coordsize="85,13982"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">
            <o:lock v:ext="edit"/>
            <v:rect id="矩形 13" o:spid="_x0000_s1032" o:spt="1" style="position:absolute;left:45;top:526;height:11;width:85;v-text-anchor:middle;" fillcolor="#D9D9D9" filled="t" stroked="f" coordsize="21600,21600" o:gfxdata="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V1AVbsAAADc&#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033" o:spt="1" style="position:absolute;left:45;top:528;height:12;width:84;v-text-anchor:middle;" fillcolor="#AD002D" filled="t" stroked="t" coordsize="21600,21600" o:gfxdata="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vYazvQAA&#10;ANwAAAAPAAAAAAAAAAEAIAAAACIAAABkcnMvZG93bnJldi54bWxQSwECFAAUAAAACACHTuJAMy8F&#10;njsAAAA5AAAAEAAAAAAAAAABACAAAAAMAQAAZHJzL3NoYXBleG1sLnhtbFBLBQYAAAAABgAGAFsB&#10;AAC2Aw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pPr>
                      <w:jc w:val="center"/>
                    </w:pPr>
                  </w:p>
                </w:txbxContent>
              </v:textbox>
            </v:rect>
            <w10:anchorlock/>
          </v:group>
        </w:pic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62336"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6" cstate="print"/>
                    <a:stretch>
                      <a:fillRect/>
                    </a:stretch>
                  </pic:blipFill>
                  <pic:spPr>
                    <a:xfrm>
                      <a:off x="0" y="0"/>
                      <a:ext cx="7585710" cy="10727055"/>
                    </a:xfrm>
                    <a:prstGeom prst="rect">
                      <a:avLst/>
                    </a:prstGeom>
                  </pic:spPr>
                </pic:pic>
              </a:graphicData>
            </a:graphic>
          </wp:anchor>
        </w:drawing>
      </w:r>
      <w:r>
        <w:rPr>
          <w:sz w:val="72"/>
        </w:rPr>
        <w:pict>
          <v:shape id="_x0000_s1030" o:spid="_x0000_s1030" o:spt="202" type="#_x0000_t202" style="position:absolute;left:0pt;margin-left:-97.3pt;margin-top:259.1pt;height:81.7pt;width:613.65pt;z-index:251664384;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path/>
            <v:fill on="f" focussize="0,0"/>
            <v:stroke on="f" weight="0.5pt" joinstyle="miter"/>
            <v:imagedata o:title=""/>
            <o:lock v:ext="edit"/>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w:r>
    </w:p>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b w:val="0"/>
          <w:bCs w:val="0"/>
          <w:sz w:val="32"/>
          <w:szCs w:val="32"/>
        </w:rPr>
        <w:pict>
          <v:group id="_x0000_s1027" o:spid="_x0000_s1027" o:spt="203" style="position:absolute;left:0pt;margin-left:-80.8pt;margin-top:39.5pt;height:46.7pt;width:245.25pt;mso-position-vertical-relative:page;z-index:251663360;mso-width-relative:page;mso-height-relative:page;" coordorigin="45,526" coordsize="85,13982"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AgydQQ2wAAAAsBAAAPAAAAAAAAAAEA&#10;IAAAACIAAABkcnMvZG93bnJldi54bWxQSwECFAAUAAAACACHTuJAVhVF7ykDAADuCAAADgAAAAAA&#10;AAABACAAAAAqAQAAZHJzL2Uyb0RvYy54bWxQSwUGAAAAAAYABgBZAQAAxQYAAAAA&#10;">
            <o:lock v:ext="edit"/>
            <v:rect id="_x0000_s1028" o:spid="_x0000_s1028" o:spt="1" style="position:absolute;left:45;top:526;height:11;width:85;v-text-anchor:middle;" fillcolor="#D9D9D9" filled="t" stroked="f" coordsize="21600,21600"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v:path/>
              <v:fill on="t" focussize="0,0"/>
              <v:stroke on="f" weight="2pt"/>
              <v:imagedata o:title=""/>
              <o:lock v:ext="edit"/>
            </v:rect>
            <v:rect id="_x0000_s1029" o:spid="_x0000_s1029" o:spt="1" style="position:absolute;left:45;top:528;height:12;width:84;v-text-anchor:middle;" fillcolor="#AD002D" filled="t" stroked="t" coordsize="21600,21600" o:gfxdata="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e9h6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pPr>
                      <w:jc w:val="center"/>
                    </w:pPr>
                  </w:p>
                </w:txbxContent>
              </v:textbox>
            </v:rect>
            <w10:anchorlock/>
          </v:group>
        </w:pict>
      </w:r>
      <w:r>
        <w:rPr>
          <w:rFonts w:hint="eastAsia" w:ascii="黑体" w:eastAsia="黑体" w:cs="黑体" w:hAnsiTheme="minorHAnsi"/>
          <w:b w:val="0"/>
          <w:bCs w:val="0"/>
          <w:kern w:val="0"/>
          <w:sz w:val="32"/>
          <w:szCs w:val="32"/>
        </w:rPr>
        <w:t>一、部门职责</w:t>
      </w:r>
    </w:p>
    <w:p>
      <w:pPr>
        <w:adjustRightInd w:val="0"/>
        <w:snapToGrid w:val="0"/>
        <w:spacing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(一)研究提出全区信访工作思路，贯彻落实关于信访稳定工作的法律法规和规章。</w:t>
      </w:r>
    </w:p>
    <w:p>
      <w:pPr>
        <w:adjustRightInd w:val="0"/>
        <w:snapToGrid w:val="0"/>
        <w:spacing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(二)办理人民群众来信，接待群众来访，受理群众网上投诉，查办信访案件，负责人民群众建议征集工作。</w:t>
      </w:r>
    </w:p>
    <w:p>
      <w:pPr>
        <w:adjustRightInd w:val="0"/>
        <w:snapToGrid w:val="0"/>
        <w:spacing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(三)调查研究和综合分析全区信访形势及信访工作状况，总结推广各乡镇、石家庄经济技术开发区、藁城经济开发区和区直各部门信访工作经验，提出改进和加强信访工作的意见和建议。</w:t>
      </w:r>
    </w:p>
    <w:p>
      <w:pPr>
        <w:adjustRightInd w:val="0"/>
        <w:snapToGrid w:val="0"/>
        <w:spacing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(四)参与组织、协调、指导全区社会治安综合治理和维护社会政治稳定工作，协助保障国家、省、市、区重大政治活动顺利进行，参与处理影响社会政治稳定的突发性、群体性事件。</w:t>
      </w:r>
    </w:p>
    <w:p>
      <w:pPr>
        <w:adjustRightInd w:val="0"/>
        <w:snapToGrid w:val="0"/>
        <w:spacing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 xml:space="preserve">(五)督促检查和指导全区各级党委、政府和区直有关部门的信访工作。对各乡镇、石家庄经济技术开发区、藁城经济开发区和区直各部门信访工作年度责任目标进行考核，对全区社会治安综合治理和维护社会政治稳定年度责任目标中有关信访工作进行考核。        </w:t>
      </w:r>
    </w:p>
    <w:p>
      <w:pPr>
        <w:adjustRightInd w:val="0"/>
        <w:snapToGrid w:val="0"/>
        <w:spacing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(六)协助上级处理藁城区群众进京上访工作，综合协调处理跨地区、跨部门、跨行业的重要信访问题，协助公安机关维护区委、区政府机关正常工作秩序。</w:t>
      </w:r>
    </w:p>
    <w:p>
      <w:pPr>
        <w:adjustRightInd w:val="0"/>
        <w:snapToGrid w:val="0"/>
        <w:spacing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(七)负责省、市、区领导及省直、市直部门领导公开接访和包联案件的组织协调工作。</w:t>
      </w:r>
    </w:p>
    <w:p>
      <w:pPr>
        <w:adjustRightInd w:val="0"/>
        <w:snapToGrid w:val="0"/>
        <w:spacing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(八)承担藁城区信访工作联席会议的日常工作，督促落实联席会议决定的事项。</w:t>
      </w:r>
    </w:p>
    <w:p>
      <w:pPr>
        <w:adjustRightInd w:val="0"/>
        <w:snapToGrid w:val="0"/>
        <w:spacing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(九)完成区委、区政府以及上级交办的其他任务。</w:t>
      </w:r>
    </w:p>
    <w:p>
      <w:pPr>
        <w:pStyle w:val="2"/>
        <w:spacing w:before="0" w:after="0" w:line="600" w:lineRule="exact"/>
        <w:jc w:val="left"/>
        <w:rPr>
          <w:rFonts w:ascii="黑体" w:eastAsia="黑体" w:cs="黑体" w:hAnsiTheme="minorHAnsi"/>
          <w:b w:val="0"/>
          <w:bCs w:val="0"/>
          <w:kern w:val="0"/>
          <w:sz w:val="32"/>
          <w:szCs w:val="32"/>
        </w:rPr>
      </w:pP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 1个，具体情况如下：</w:t>
      </w:r>
    </w:p>
    <w:tbl>
      <w:tblPr>
        <w:tblStyle w:val="10"/>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石家庄市藁城区信访局</w:t>
            </w:r>
          </w:p>
        </w:tc>
        <w:tc>
          <w:tcPr>
            <w:tcW w:w="2445" w:type="dxa"/>
          </w:tcPr>
          <w:p>
            <w:pPr>
              <w:tabs>
                <w:tab w:val="left" w:pos="630"/>
              </w:tabs>
              <w:spacing w:after="0" w:line="560" w:lineRule="exact"/>
              <w:rPr>
                <w:rFonts w:ascii="仿宋_GB2312" w:eastAsia="仿宋_GB2312" w:cs="ArialUnicodeMS" w:hAnsiTheme="minorHAnsi"/>
                <w:kern w:val="0"/>
                <w:sz w:val="28"/>
                <w:szCs w:val="28"/>
              </w:rPr>
            </w:pPr>
            <w:r>
              <w:rPr>
                <w:rFonts w:ascii="仿宋_GB2312" w:eastAsia="仿宋_GB2312" w:cs="ArialUnicodeMS" w:hAnsiTheme="minorHAnsi"/>
                <w:kern w:val="0"/>
                <w:sz w:val="28"/>
                <w:szCs w:val="28"/>
              </w:rPr>
              <w:tab/>
            </w:r>
            <w:r>
              <w:rPr>
                <w:rFonts w:hint="eastAsia" w:ascii="仿宋_GB2312" w:eastAsia="仿宋_GB2312" w:cs="ArialUnicodeMS" w:hAnsiTheme="minorHAnsi"/>
                <w:kern w:val="0"/>
                <w:sz w:val="28"/>
                <w:szCs w:val="28"/>
              </w:rPr>
              <w:t>行政</w:t>
            </w:r>
          </w:p>
        </w:tc>
        <w:tc>
          <w:tcPr>
            <w:tcW w:w="2665" w:type="dxa"/>
          </w:tcPr>
          <w:p>
            <w:pPr>
              <w:spacing w:after="0" w:line="560" w:lineRule="exact"/>
              <w:jc w:val="center"/>
              <w:rPr>
                <w:rFonts w:hint="eastAsia" w:ascii="仿宋_GB2312" w:eastAsia="仿宋_GB2312" w:cs="ArialUnicodeMS" w:hAnsiTheme="minorHAnsi"/>
                <w:kern w:val="0"/>
                <w:sz w:val="28"/>
                <w:szCs w:val="28"/>
                <w:lang w:eastAsia="zh-CN"/>
              </w:rPr>
            </w:pPr>
            <w:r>
              <w:rPr>
                <w:rFonts w:hint="eastAsia" w:ascii="仿宋_GB2312" w:eastAsia="仿宋_GB2312" w:cs="ArialUnicodeMS" w:hAnsiTheme="minorHAnsi"/>
                <w:kern w:val="0"/>
                <w:sz w:val="28"/>
                <w:szCs w:val="2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ind w:firstLine="560" w:firstLineChars="200"/>
              <w:jc w:val="left"/>
              <w:rPr>
                <w:rFonts w:ascii="仿宋_GB2312" w:eastAsia="仿宋_GB2312" w:cs="ArialUnicodeMS" w:hAnsiTheme="minorHAnsi"/>
                <w:kern w:val="0"/>
                <w:sz w:val="28"/>
                <w:szCs w:val="28"/>
              </w:rPr>
            </w:pPr>
          </w:p>
        </w:tc>
      </w:tr>
    </w:tbl>
    <w:p>
      <w:pPr>
        <w:spacing w:after="0" w:line="560" w:lineRule="exact"/>
        <w:rPr>
          <w:rFonts w:ascii="仿宋_GB2312" w:eastAsia="仿宋_GB2312" w:cs="ArialUnicodeMS" w:hAnsiTheme="minorHAnsi"/>
          <w:kern w:val="0"/>
          <w:sz w:val="32"/>
          <w:szCs w:val="3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9504" behindDoc="1" locked="0" layoutInCell="1" allowOverlap="1">
            <wp:simplePos x="0" y="0"/>
            <wp:positionH relativeFrom="column">
              <wp:posOffset>-1023620</wp:posOffset>
            </wp:positionH>
            <wp:positionV relativeFrom="paragraph">
              <wp:posOffset>-1327150</wp:posOffset>
            </wp:positionV>
            <wp:extent cx="7571105" cy="10680065"/>
            <wp:effectExtent l="19050" t="0" r="0" b="0"/>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6" cstate="print"/>
                    <a:stretch>
                      <a:fillRect/>
                    </a:stretch>
                  </pic:blipFill>
                  <pic:spPr>
                    <a:xfrm>
                      <a:off x="0" y="0"/>
                      <a:ext cx="7571105" cy="10680065"/>
                    </a:xfrm>
                    <a:prstGeom prst="rect">
                      <a:avLst/>
                    </a:prstGeom>
                  </pic:spPr>
                </pic:pic>
              </a:graphicData>
            </a:graphic>
          </wp:anchor>
        </w:drawing>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w:pict>
          <v:shape id="_x0000_s1037" o:spid="_x0000_s1037" o:spt="202" type="#_x0000_t202" style="position:absolute;left:0pt;margin-left:-74.2pt;margin-top:120.3pt;height:159.1pt;width:596.2pt;z-index:251668480;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ascii="仿宋_GB2312" w:eastAsia="仿宋_GB2312" w:cs="ArialUnicodeMS" w:hAnsiTheme="minorHAnsi"/>
          <w:b/>
          <w:kern w:val="0"/>
          <w:sz w:val="32"/>
          <w:szCs w:val="32"/>
        </w:rPr>
        <w:t>（详见附表）</w:t>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71552"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6"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4" descr="2"/>
                    <pic:cNvPicPr>
                      <a:picLocks noChangeAspect="1"/>
                    </pic:cNvPicPr>
                  </pic:nvPicPr>
                  <pic:blipFill>
                    <a:blip r:embed="rId6" cstate="print"/>
                    <a:stretch>
                      <a:fillRect/>
                    </a:stretch>
                  </pic:blipFill>
                  <pic:spPr>
                    <a:xfrm>
                      <a:off x="0" y="0"/>
                      <a:ext cx="7550150" cy="10680065"/>
                    </a:xfrm>
                    <a:prstGeom prst="rect">
                      <a:avLst/>
                    </a:prstGeom>
                  </pic:spPr>
                </pic:pic>
              </a:graphicData>
            </a:graphic>
          </wp:anchor>
        </w:drawing>
      </w:r>
      <w:r>
        <w:rPr>
          <w:sz w:val="72"/>
        </w:rPr>
        <w:pict>
          <v:shape id="_x0000_s1038" o:spid="_x0000_s1038" o:spt="202" type="#_x0000_t202" style="position:absolute;left:0pt;margin-left:-78.7pt;margin-top:232.8pt;height:159.1pt;width:596.2pt;z-index:251670528;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w:t>
      </w:r>
      <w:r>
        <w:rPr>
          <w:sz w:val="44"/>
        </w:rPr>
        <w:pict>
          <v:group id="_x0000_s1039" o:spid="_x0000_s1039" o:spt="203" style="position:absolute;left:0pt;margin-left:-0.55pt;margin-top:29.3pt;height:43.95pt;width:301.85pt;mso-position-horizontal-relative:page;mso-position-vertical-relative:page;z-index:251672576;mso-width-relative:page;mso-height-relative:page;" coordorigin="45,526" coordsize="85,13982"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FWgPwonAwAA7ggAAA4AAAAAAAAA&#10;AQAgAAAAKgEAAGRycy9lMm9Eb2MueG1sUEsFBgAAAAAGAAYAWQEAAMMGAAAAAA==&#10;">
            <o:lock v:ext="edit"/>
            <v:rect id="矩形 13" o:spid="_x0000_s1040" o:spt="1" style="position:absolute;left:45;top:526;height:11;width:85;v-text-anchor:middle;" fillcolor="#D9D9D9"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041" o:spt="1" style="position:absolute;left:45;top:528;height:12;width:8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黑体" w:eastAsia="黑体" w:cs="黑体" w:hAnsiTheme="minorHAnsi"/>
          <w:b w:val="0"/>
          <w:bCs w:val="0"/>
          <w:kern w:val="0"/>
        </w:rPr>
        <w:t>出</w:t>
      </w:r>
      <w:r>
        <w:rPr>
          <w:rFonts w:hint="eastAsia" w:ascii="黑体" w:eastAsia="黑体"/>
          <w:b w:val="0"/>
          <w:bCs w:val="0"/>
        </w:rPr>
        <w:t>决算总体情况说明</w:t>
      </w:r>
    </w:p>
    <w:p>
      <w:pPr>
        <w:rPr>
          <w:rFonts w:hint="eastAsia" w:ascii="仿宋_GB2312" w:eastAsia="仿宋_GB2312" w:cs="DengXian-Regular"/>
          <w:sz w:val="32"/>
          <w:szCs w:val="32"/>
        </w:rPr>
      </w:pPr>
      <w:r>
        <w:rPr>
          <w:rFonts w:hint="eastAsia" w:ascii="仿宋_GB2312" w:eastAsia="仿宋_GB2312" w:cs="DengXian-Regular"/>
          <w:sz w:val="32"/>
          <w:szCs w:val="32"/>
        </w:rPr>
        <w:t>本部门2018年度收入总计（含结转和结余）</w:t>
      </w:r>
      <w:r>
        <w:rPr>
          <w:rFonts w:hint="eastAsia" w:ascii="宋体" w:hAnsi="宋体" w:cs="宋体"/>
          <w:sz w:val="32"/>
          <w:szCs w:val="32"/>
        </w:rPr>
        <w:t>915.78</w:t>
      </w:r>
      <w:r>
        <w:rPr>
          <w:rFonts w:hint="eastAsia" w:ascii="仿宋_GB2312" w:eastAsia="仿宋_GB2312" w:cs="DengXian-Regular"/>
          <w:sz w:val="32"/>
          <w:szCs w:val="32"/>
        </w:rPr>
        <w:t>万元。支出总计806.23</w:t>
      </w:r>
      <w:r>
        <w:rPr>
          <w:rFonts w:hint="eastAsia" w:ascii="宋体" w:hAnsi="宋体" w:cs="宋体"/>
          <w:sz w:val="32"/>
          <w:szCs w:val="32"/>
        </w:rPr>
        <w:t>万元，</w:t>
      </w:r>
      <w:r>
        <w:rPr>
          <w:rFonts w:hint="eastAsia" w:ascii="仿宋_GB2312" w:eastAsia="仿宋_GB2312" w:cs="DengXian-Regular"/>
          <w:sz w:val="32"/>
          <w:szCs w:val="32"/>
        </w:rPr>
        <w:t>与2017年度决算相比，收入增加365.99</w:t>
      </w:r>
      <w:r>
        <w:rPr>
          <w:rFonts w:hint="eastAsia" w:ascii="宋体" w:hAnsi="宋体" w:cs="宋体"/>
          <w:sz w:val="32"/>
          <w:szCs w:val="32"/>
        </w:rPr>
        <w:t>万元，支出增加255.49万元，收入、支出分别</w:t>
      </w:r>
      <w:r>
        <w:rPr>
          <w:rFonts w:hint="eastAsia" w:ascii="仿宋_GB2312" w:eastAsia="仿宋_GB2312" w:cs="DengXian-Regular"/>
          <w:sz w:val="32"/>
          <w:szCs w:val="32"/>
        </w:rPr>
        <w:t>增长66.57%，46.39%，主要原因是工资及人员经费增加，项目经费增加。</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rPr>
          <w:rFonts w:hint="eastAsia" w:ascii="仿宋_GB2312" w:eastAsia="仿宋_GB2312" w:cs="DengXian-Regular"/>
          <w:sz w:val="32"/>
          <w:szCs w:val="32"/>
        </w:rPr>
      </w:pPr>
      <w:r>
        <w:rPr>
          <w:rFonts w:hint="eastAsia" w:ascii="仿宋_GB2312" w:eastAsia="仿宋_GB2312" w:cs="DengXian-Regular"/>
          <w:sz w:val="32"/>
          <w:szCs w:val="32"/>
        </w:rPr>
        <w:t>本部门2018年度本年收入合计</w:t>
      </w:r>
      <w:r>
        <w:rPr>
          <w:rFonts w:hint="eastAsia" w:ascii="宋体" w:hAnsi="宋体" w:cs="宋体"/>
          <w:sz w:val="32"/>
          <w:szCs w:val="32"/>
        </w:rPr>
        <w:t>915.78</w:t>
      </w:r>
      <w:r>
        <w:rPr>
          <w:rFonts w:hint="eastAsia" w:ascii="仿宋_GB2312" w:eastAsia="仿宋_GB2312" w:cs="DengXian-Regular"/>
          <w:sz w:val="32"/>
          <w:szCs w:val="32"/>
        </w:rPr>
        <w:t>万元，其中：财政拨款收入</w:t>
      </w:r>
      <w:r>
        <w:rPr>
          <w:rFonts w:hint="eastAsia" w:ascii="宋体" w:hAnsi="宋体" w:cs="宋体"/>
          <w:sz w:val="32"/>
          <w:szCs w:val="32"/>
        </w:rPr>
        <w:t>915.78</w:t>
      </w:r>
      <w:r>
        <w:rPr>
          <w:rFonts w:hint="eastAsia" w:ascii="仿宋_GB2312" w:eastAsia="仿宋_GB2312" w:cs="DengXian-Regular"/>
          <w:sz w:val="32"/>
          <w:szCs w:val="32"/>
        </w:rPr>
        <w:t>万元，占100%；事业收入0万元，占0%；经营收入0万元，占0%；其他收入0万元，占0%。如图所示：</w:t>
      </w:r>
    </w:p>
    <w:p>
      <w:pPr>
        <w:rPr>
          <w:rFonts w:hint="eastAsia" w:ascii="仿宋_GB2312" w:eastAsia="仿宋_GB2312" w:cs="DengXian-Regular"/>
          <w:sz w:val="32"/>
          <w:szCs w:val="32"/>
        </w:rPr>
      </w:pPr>
    </w:p>
    <w:p>
      <w:pPr>
        <w:rPr>
          <w:rFonts w:hint="eastAsia" w:ascii="仿宋_GB2312" w:eastAsia="仿宋_GB2312" w:cs="DengXian-Regular"/>
          <w:sz w:val="32"/>
          <w:szCs w:val="32"/>
        </w:rPr>
      </w:pPr>
      <w:r>
        <w:rPr>
          <w:rFonts w:hint="eastAsia" w:ascii="仿宋_GB2312" w:eastAsia="仿宋_GB2312" w:cs="DengXian-Regular"/>
          <w:sz w:val="32"/>
          <w:szCs w:val="32"/>
        </w:rPr>
        <w:drawing>
          <wp:inline distT="0" distB="0" distL="0" distR="0">
            <wp:extent cx="5274310" cy="3076575"/>
            <wp:effectExtent l="19050" t="0" r="21590" b="0"/>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pPr>
        <w:rPr>
          <w:rFonts w:hint="eastAsia" w:ascii="仿宋_GB2312" w:eastAsia="仿宋_GB2312" w:cs="DengXian-Regular"/>
          <w:sz w:val="32"/>
          <w:szCs w:val="32"/>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rPr>
          <w:rFonts w:hint="eastAsia" w:ascii="仿宋_GB2312" w:eastAsia="仿宋_GB2312" w:cs="DengXian-Regular"/>
          <w:sz w:val="32"/>
          <w:szCs w:val="32"/>
        </w:rPr>
      </w:pPr>
      <w:r>
        <w:rPr>
          <w:rFonts w:hint="eastAsia" w:ascii="仿宋_GB2312" w:eastAsia="仿宋_GB2312" w:cs="DengXian-Regular"/>
          <w:sz w:val="32"/>
          <w:szCs w:val="32"/>
        </w:rPr>
        <w:t>本部门2018年度本年支出合计806.24万元，其中：基本支出806.24万元，占100%；项目支出0万元，占0%；经营支出0万元，占0%。如图所示：</w:t>
      </w:r>
    </w:p>
    <w:p>
      <w:pPr>
        <w:rPr>
          <w:rFonts w:hint="eastAsia" w:ascii="仿宋_GB2312" w:eastAsia="仿宋_GB2312" w:cs="DengXian-Regular"/>
          <w:sz w:val="32"/>
          <w:szCs w:val="32"/>
        </w:rPr>
      </w:pPr>
      <w:r>
        <w:rPr>
          <w:rFonts w:hint="eastAsia" w:ascii="仿宋_GB2312" w:eastAsia="仿宋_GB2312" w:cs="DengXian-Regular"/>
          <w:sz w:val="32"/>
          <w:szCs w:val="32"/>
        </w:rPr>
        <w:drawing>
          <wp:inline distT="0" distB="0" distL="0" distR="0">
            <wp:extent cx="5274310" cy="3076575"/>
            <wp:effectExtent l="19050" t="0" r="21590" b="0"/>
            <wp:docPr id="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 w:hAnsi="仿宋" w:eastAsia="仿宋" w:cs="DengXian-Regular"/>
          <w:sz w:val="32"/>
          <w:szCs w:val="32"/>
        </w:rPr>
        <w:t>本部门2018年度形成的财政拨款收支均为一般公共预算财政拨款，其中一般公共预算财政拨款本年收入</w:t>
      </w:r>
      <w:r>
        <w:rPr>
          <w:rFonts w:hint="eastAsia" w:ascii="仿宋" w:hAnsi="仿宋" w:eastAsia="仿宋" w:cs="宋体"/>
          <w:sz w:val="32"/>
          <w:szCs w:val="32"/>
        </w:rPr>
        <w:t>915.78</w:t>
      </w:r>
      <w:r>
        <w:rPr>
          <w:rFonts w:hint="eastAsia" w:ascii="仿宋" w:hAnsi="仿宋" w:eastAsia="仿宋" w:cs="DengXian-Regular"/>
          <w:sz w:val="32"/>
          <w:szCs w:val="32"/>
        </w:rPr>
        <w:t>万元,比2017年度增加365.99万元，增长66.57%，主要是</w:t>
      </w:r>
      <w:r>
        <w:rPr>
          <w:rFonts w:hint="eastAsia" w:ascii="仿宋" w:hAnsi="仿宋" w:eastAsia="仿宋" w:cs="___WRD_EMBED_SUB_41"/>
          <w:sz w:val="32"/>
          <w:szCs w:val="32"/>
        </w:rPr>
        <w:t>人员工资及经费增加</w:t>
      </w:r>
      <w:r>
        <w:rPr>
          <w:rFonts w:hint="eastAsia" w:ascii="仿宋" w:hAnsi="仿宋" w:eastAsia="仿宋" w:cs="DengXian-Regular"/>
          <w:sz w:val="32"/>
          <w:szCs w:val="32"/>
        </w:rPr>
        <w:t>；本年支出806.24万元，增加255.49万元，增长46.39%，</w:t>
      </w:r>
      <w:r>
        <w:rPr>
          <w:rFonts w:hint="eastAsia" w:ascii="仿宋_GB2312" w:eastAsia="仿宋_GB2312" w:cs="DengXian-Regular"/>
          <w:sz w:val="32"/>
          <w:szCs w:val="32"/>
        </w:rPr>
        <w:t>主要原因是工资及人员经费增加，项目经费增加。</w:t>
      </w:r>
    </w:p>
    <w:p>
      <w:pPr>
        <w:rPr>
          <w:rFonts w:hint="eastAsia"/>
        </w:rPr>
      </w:pPr>
    </w:p>
    <w:p>
      <w:pPr>
        <w:rPr>
          <w:rFonts w:hint="eastAsia"/>
        </w:rPr>
      </w:pPr>
    </w:p>
    <w:p>
      <w:pPr>
        <w:rPr>
          <w:rFonts w:hint="eastAsia"/>
        </w:rPr>
      </w:pPr>
      <w:r>
        <w:drawing>
          <wp:inline distT="0" distB="0" distL="0" distR="0">
            <wp:extent cx="4219575" cy="2519045"/>
            <wp:effectExtent l="0" t="0" r="9525" b="14605"/>
            <wp:docPr id="1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pPr>
        <w:rPr>
          <w:rFonts w:hint="eastAsia"/>
        </w:rPr>
      </w:pP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hint="eastAsia" w:ascii="仿宋" w:hAnsi="仿宋" w:eastAsia="仿宋" w:cs="DengXian-Regular"/>
          <w:sz w:val="32"/>
          <w:szCs w:val="32"/>
        </w:rPr>
      </w:pPr>
      <w:r>
        <w:rPr>
          <w:rFonts w:hint="eastAsia" w:ascii="仿宋" w:hAnsi="仿宋" w:eastAsia="仿宋" w:cs="DengXian-Regular"/>
          <w:sz w:val="32"/>
          <w:szCs w:val="32"/>
        </w:rPr>
        <w:t>本部门2018年度一般公共预算财政拨款收入</w:t>
      </w:r>
      <w:r>
        <w:rPr>
          <w:rFonts w:hint="eastAsia" w:ascii="仿宋" w:hAnsi="仿宋" w:eastAsia="仿宋" w:cs="宋体"/>
          <w:sz w:val="32"/>
          <w:szCs w:val="32"/>
        </w:rPr>
        <w:t>915.78</w:t>
      </w:r>
      <w:r>
        <w:rPr>
          <w:rFonts w:hint="eastAsia" w:ascii="仿宋" w:hAnsi="仿宋" w:eastAsia="仿宋" w:cs="DengXian-Regular"/>
          <w:sz w:val="32"/>
          <w:szCs w:val="32"/>
        </w:rPr>
        <w:t>万元，完成年初预算的181.37%,比年初预算增加410.87万元，决算数大于预算数</w:t>
      </w:r>
      <w:r>
        <w:rPr>
          <w:rFonts w:hint="eastAsia" w:ascii="仿宋" w:hAnsi="仿宋" w:eastAsia="仿宋" w:cs="宋体"/>
          <w:sz w:val="32"/>
          <w:szCs w:val="32"/>
        </w:rPr>
        <w:t>，</w:t>
      </w:r>
      <w:r>
        <w:rPr>
          <w:rFonts w:hint="eastAsia" w:ascii="仿宋" w:hAnsi="仿宋" w:eastAsia="仿宋" w:cs="DengXian-Regular"/>
          <w:sz w:val="32"/>
          <w:szCs w:val="32"/>
        </w:rPr>
        <w:t>主要原因是</w:t>
      </w:r>
      <w:r>
        <w:rPr>
          <w:rFonts w:hint="eastAsia" w:ascii="仿宋" w:hAnsi="仿宋" w:eastAsia="仿宋" w:cs="___WRD_EMBED_SUB_41"/>
          <w:sz w:val="32"/>
          <w:szCs w:val="32"/>
        </w:rPr>
        <w:t>人员工资及经费增</w:t>
      </w:r>
      <w:r>
        <w:rPr>
          <w:rFonts w:hint="eastAsia" w:ascii="仿宋" w:hAnsi="仿宋" w:eastAsia="仿宋" w:cs="DengXian-Regular"/>
          <w:sz w:val="32"/>
          <w:szCs w:val="32"/>
        </w:rPr>
        <w:t>加。本年支出806.24万元，完成年初预算的159.68%,比年初预算增加301.33万元，决算数大于预算数，主要原因是</w:t>
      </w:r>
      <w:r>
        <w:rPr>
          <w:rFonts w:hint="eastAsia" w:ascii="仿宋" w:hAnsi="仿宋" w:eastAsia="仿宋" w:cs="___WRD_EMBED_SUB_41"/>
          <w:sz w:val="32"/>
          <w:szCs w:val="32"/>
        </w:rPr>
        <w:t>人员工资及经费增</w:t>
      </w:r>
      <w:r>
        <w:rPr>
          <w:rFonts w:hint="eastAsia" w:ascii="仿宋" w:hAnsi="仿宋" w:eastAsia="仿宋" w:cs="DengXian-Regular"/>
          <w:sz w:val="32"/>
          <w:szCs w:val="32"/>
        </w:rPr>
        <w:t>加。</w:t>
      </w:r>
    </w:p>
    <w:p>
      <w:pPr>
        <w:adjustRightInd w:val="0"/>
        <w:snapToGrid w:val="0"/>
        <w:spacing w:after="0" w:line="580" w:lineRule="exact"/>
        <w:ind w:firstLine="640" w:firstLineChars="200"/>
        <w:rPr>
          <w:rFonts w:hint="eastAsia" w:ascii="仿宋" w:hAnsi="仿宋" w:eastAsia="仿宋" w:cs="DengXian-Regular"/>
          <w:sz w:val="32"/>
          <w:szCs w:val="32"/>
        </w:rPr>
      </w:pPr>
    </w:p>
    <w:p>
      <w:pPr>
        <w:rPr>
          <w:rFonts w:hint="eastAsia"/>
        </w:rPr>
      </w:pPr>
    </w:p>
    <w:p>
      <w:pPr>
        <w:rPr>
          <w:rFonts w:hint="eastAsia"/>
        </w:rPr>
      </w:pPr>
    </w:p>
    <w:p>
      <w:pPr>
        <w:rPr>
          <w:rFonts w:hint="eastAsia"/>
        </w:rPr>
      </w:pPr>
      <w:r>
        <w:drawing>
          <wp:inline distT="0" distB="0" distL="0" distR="0">
            <wp:extent cx="4572000" cy="2743200"/>
            <wp:effectExtent l="0" t="0" r="19050" b="19050"/>
            <wp:docPr id="13"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pPr>
        <w:rPr>
          <w:rFonts w:hint="eastAsia"/>
        </w:rPr>
      </w:pPr>
    </w:p>
    <w:p>
      <w:pPr>
        <w:adjustRightInd w:val="0"/>
        <w:snapToGrid w:val="0"/>
        <w:spacing w:after="0" w:line="580" w:lineRule="exact"/>
        <w:ind w:firstLine="640" w:firstLineChars="200"/>
        <w:rPr>
          <w:rFonts w:hint="eastAsia" w:ascii="仿宋" w:hAnsi="仿宋" w:eastAsia="仿宋" w:cs="DengXian-Regular"/>
          <w:sz w:val="32"/>
          <w:szCs w:val="32"/>
        </w:rPr>
      </w:pPr>
    </w:p>
    <w:p>
      <w:pPr>
        <w:adjustRightInd w:val="0"/>
        <w:snapToGrid w:val="0"/>
        <w:spacing w:after="0" w:line="580" w:lineRule="exact"/>
        <w:ind w:firstLine="640" w:firstLineChars="200"/>
        <w:rPr>
          <w:rFonts w:hint="eastAsia" w:ascii="仿宋" w:hAnsi="仿宋" w:eastAsia="仿宋" w:cs="DengXian-Regular"/>
          <w:sz w:val="32"/>
          <w:szCs w:val="32"/>
        </w:rPr>
      </w:pPr>
    </w:p>
    <w:p>
      <w:pPr>
        <w:adjustRightInd w:val="0"/>
        <w:snapToGrid w:val="0"/>
        <w:spacing w:after="0" w:line="580" w:lineRule="exact"/>
        <w:ind w:firstLine="640" w:firstLineChars="200"/>
        <w:rPr>
          <w:rFonts w:hint="eastAsia" w:ascii="仿宋" w:hAnsi="仿宋" w:eastAsia="仿宋" w:cs="DengXian-Regular"/>
          <w:sz w:val="32"/>
          <w:szCs w:val="32"/>
        </w:rPr>
      </w:pPr>
    </w:p>
    <w:p>
      <w:pPr>
        <w:adjustRightInd w:val="0"/>
        <w:snapToGrid w:val="0"/>
        <w:spacing w:after="0" w:line="580" w:lineRule="exact"/>
        <w:ind w:firstLine="640" w:firstLineChars="200"/>
        <w:rPr>
          <w:rFonts w:ascii="仿宋" w:hAnsi="仿宋" w:eastAsia="仿宋" w:cs="DengXian-Regular"/>
          <w:sz w:val="32"/>
          <w:szCs w:val="32"/>
        </w:rPr>
      </w:pPr>
    </w:p>
    <w:p>
      <w:pPr>
        <w:numPr>
          <w:ilvl w:val="0"/>
          <w:numId w:val="2"/>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rPr>
          <w:rFonts w:hint="eastAsia"/>
        </w:rPr>
      </w:pPr>
      <w:r>
        <w:rPr>
          <w:rFonts w:hint="eastAsia" w:ascii="仿宋_GB2312" w:eastAsia="仿宋_GB2312" w:cs="DengXian-Regular"/>
          <w:sz w:val="32"/>
          <w:szCs w:val="32"/>
        </w:rPr>
        <w:t>2018 年度财政拨款支出806.24万元，主要用于以下方面：一般公共服务支出806.24万元，占100%；</w:t>
      </w:r>
    </w:p>
    <w:p>
      <w:pPr>
        <w:rPr>
          <w:rFonts w:hint="eastAsia"/>
        </w:rPr>
      </w:pPr>
    </w:p>
    <w:p>
      <w:pPr>
        <w:rPr>
          <w:rFonts w:hint="eastAsia"/>
        </w:rPr>
      </w:pPr>
      <w:r>
        <w:rPr>
          <w:rFonts w:hint="eastAsia"/>
        </w:rPr>
        <w:drawing>
          <wp:inline distT="0" distB="0" distL="0" distR="0">
            <wp:extent cx="5486400" cy="3200400"/>
            <wp:effectExtent l="19050" t="0" r="19050" b="0"/>
            <wp:docPr id="14" name="图表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pPr>
        <w:rPr>
          <w:rFonts w:hint="eastAsia"/>
        </w:rPr>
      </w:pPr>
    </w:p>
    <w:p>
      <w:pPr>
        <w:rPr>
          <w:rFonts w:hint="eastAsia"/>
        </w:rPr>
      </w:pPr>
    </w:p>
    <w:p>
      <w:pPr>
        <w:rPr>
          <w:rFonts w:hint="eastAsia"/>
        </w:rPr>
      </w:pPr>
    </w:p>
    <w:p>
      <w:pPr>
        <w:rPr>
          <w:rFonts w:hint="eastAsia"/>
        </w:rPr>
      </w:pPr>
    </w:p>
    <w:p>
      <w:pPr>
        <w:adjustRightInd w:val="0"/>
        <w:snapToGrid w:val="0"/>
        <w:spacing w:after="0" w:line="580" w:lineRule="exact"/>
        <w:ind w:left="420" w:firstLine="643" w:firstLineChars="200"/>
        <w:rPr>
          <w:rFonts w:ascii="仿宋_GB2312" w:eastAsia="仿宋_GB2312" w:cs="DengXian-Regular"/>
          <w:b/>
          <w:sz w:val="32"/>
          <w:szCs w:val="32"/>
        </w:rPr>
      </w:pPr>
      <w:r>
        <w:rPr>
          <w:rFonts w:hint="eastAsia" w:ascii="仿宋_GB2312" w:eastAsia="仿宋_GB2312" w:cs="DengXian-Regular"/>
          <w:b/>
          <w:sz w:val="32"/>
          <w:szCs w:val="32"/>
        </w:rPr>
        <w:t>（四）一般公共预算财政拨款基本支出决算情况说明</w:t>
      </w:r>
    </w:p>
    <w:p>
      <w:pPr>
        <w:rPr>
          <w:rFonts w:hint="eastAsia"/>
        </w:rPr>
      </w:pPr>
      <w:r>
        <w:rPr>
          <w:rFonts w:hint="eastAsia" w:ascii="仿宋_GB2312" w:eastAsia="仿宋_GB2312" w:cs="DengXian-Regular"/>
          <w:sz w:val="32"/>
          <w:szCs w:val="32"/>
        </w:rPr>
        <w:t>2018 年度一般公共预算财政拨款基本支出806.24万元，其中：人员经费 586.37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219.86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b/>
          <w:bCs/>
          <w:sz w:val="32"/>
          <w:szCs w:val="32"/>
        </w:rPr>
      </w:pPr>
      <w:r>
        <w:rPr>
          <w:rFonts w:hint="eastAsia" w:ascii="仿宋_GB2312" w:eastAsia="仿宋_GB2312" w:cs="DengXian-Regular"/>
          <w:sz w:val="32"/>
          <w:szCs w:val="32"/>
        </w:rPr>
        <w:t>本部门2018年度 “三公”经费支出共计0万元，较年初预算增加0万元，增长0%，与上年相比无增减变化。</w:t>
      </w:r>
    </w:p>
    <w:p>
      <w:pPr>
        <w:adjustRightInd w:val="0"/>
        <w:snapToGrid w:val="0"/>
        <w:spacing w:after="0" w:line="580" w:lineRule="exact"/>
        <w:ind w:firstLine="643" w:firstLineChars="200"/>
        <w:rPr>
          <w:rFonts w:ascii="仿宋_GB2312" w:eastAsia="仿宋_GB2312" w:cs="DengXian-Regular"/>
          <w:b/>
          <w:bCs/>
          <w:sz w:val="32"/>
          <w:szCs w:val="32"/>
        </w:rPr>
      </w:pPr>
      <w:r>
        <w:rPr>
          <w:rFonts w:hint="eastAsia" w:ascii="楷体_GB2312" w:eastAsia="楷体_GB2312" w:cs="DengXian-Bold"/>
          <w:b/>
          <w:bCs/>
          <w:sz w:val="32"/>
          <w:szCs w:val="32"/>
        </w:rPr>
        <w:t>（</w:t>
      </w:r>
      <w:r>
        <w:rPr>
          <w:sz w:val="44"/>
        </w:rPr>
        <w:pict>
          <v:group id="_x0000_s1042" o:spid="_x0000_s1042" o:spt="203" style="position:absolute;left:0pt;margin-left:-0.55pt;margin-top:29.3pt;height:43.95pt;width:301.85pt;mso-position-horizontal-relative:page;mso-position-vertical-relative:page;z-index:251674624;mso-width-relative:page;mso-height-relative:page;" coordorigin="45,526" coordsize="85,13982"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ov8VsSY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">
            <o:lock v:ext="edit"/>
            <v:rect id="矩形 13" o:spid="_x0000_s1043" o:spt="1" style="position:absolute;left:45;top:526;height:11;width:85;v-text-anchor:middle;" fillcolor="#D9D9D9" filled="t" stroked="f" coordsize="21600,21600" o:gfxdata="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ZS/2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44" o:spt="1" style="position:absolute;left:45;top:528;height:12;width:84;v-text-anchor:middle;" fillcolor="#AD002D" filled="t" stroked="t" coordsize="21600,21600" o:gfxdata="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9Rjmb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本部门2018年度因公出国（境）团组0个、共0人/参加其他单位组织的因公出国（境）团组0个、共0人/无本单位组织的出国（境）团组。因公出国（境）费支出较年初预算增加0万元，增长0%,与上年相比无增减变化。</w:t>
      </w:r>
    </w:p>
    <w:p>
      <w:pPr>
        <w:adjustRightInd w:val="0"/>
        <w:snapToGrid w:val="0"/>
        <w:spacing w:after="0" w:line="580" w:lineRule="exact"/>
        <w:ind w:firstLine="643" w:firstLineChars="200"/>
        <w:rPr>
          <w:rFonts w:ascii="仿宋" w:hAnsi="仿宋" w:eastAsia="仿宋" w:cs="DengXian-Regular"/>
          <w:sz w:val="32"/>
          <w:szCs w:val="32"/>
        </w:rPr>
      </w:pPr>
      <w:r>
        <w:rPr>
          <w:rFonts w:hint="eastAsia" w:ascii="楷体_GB2312" w:eastAsia="楷体_GB2312" w:cs="DengXian-Bold"/>
          <w:b/>
          <w:bCs/>
          <w:sz w:val="32"/>
          <w:szCs w:val="32"/>
        </w:rPr>
        <w:t>（二）公务用车购置及运行维护费支出0万元。</w:t>
      </w:r>
      <w:r>
        <w:rPr>
          <w:rFonts w:hint="eastAsia" w:ascii="仿宋" w:hAnsi="仿宋" w:eastAsia="仿宋" w:cs="DengXian-Bold"/>
          <w:bCs/>
          <w:sz w:val="32"/>
          <w:szCs w:val="32"/>
        </w:rPr>
        <w:t>本年度我</w:t>
      </w:r>
      <w:r>
        <w:rPr>
          <w:rFonts w:hint="eastAsia" w:ascii="仿宋" w:hAnsi="仿宋" w:eastAsia="仿宋" w:cs="DengXian-Regular"/>
          <w:sz w:val="32"/>
          <w:szCs w:val="32"/>
        </w:rPr>
        <w:t>部门无公务用车购置，未发生公务用车运行维护费。</w:t>
      </w:r>
    </w:p>
    <w:p>
      <w:pPr>
        <w:adjustRightInd w:val="0"/>
        <w:snapToGrid w:val="0"/>
        <w:spacing w:after="0" w:line="580" w:lineRule="exact"/>
        <w:ind w:firstLine="643" w:firstLineChars="200"/>
        <w:rPr>
          <w:rFonts w:ascii="仿宋_GB2312" w:eastAsia="仿宋_GB2312" w:cs="DengXian-Regular"/>
          <w:b/>
          <w:bCs/>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本部门2018年度公务用车购置量0辆，发生“公务用车购置”经费支出0万元。公务用车购置费支出较年初预算增加0万元，增长0%,与上年相比无增减变化。</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本部门2018年度单位公务用车保有量0辆。公车运行维护费支出较年初预算增加0万元，增长0%,与上年相比无增减变化。</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sz w:val="44"/>
        </w:rPr>
        <w:pict>
          <v:group id="_x0000_s1045" o:spid="_x0000_s1045" o:spt="203" style="position:absolute;left:0pt;margin-left:-0.55pt;margin-top:29.3pt;height:43.95pt;width:301.85pt;mso-position-horizontal-relative:page;mso-position-vertical-relative:page;z-index:251675648;mso-width-relative:page;mso-height-relative:page;" coordorigin="45,526" coordsize="85,13982"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CosVcQnAwAA7ggAAA4AAAAAAAAA&#10;AQAgAAAAKgEAAGRycy9lMm9Eb2MueG1sUEsFBgAAAAAGAAYAWQEAAMMGAAAAAA==&#10;">
            <o:lock v:ext="edit"/>
            <v:rect id="矩形 13" o:spid="_x0000_s1046" o:spt="1" style="position:absolute;left:45;top:526;height:11;width:85;v-text-anchor:middle;" fillcolor="#D9D9D9" filled="t" stroked="f" coordsize="21600,21600" o:gfxdata="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eMcQ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47" o:spt="1" style="position:absolute;left:45;top:528;height:12;width:84;v-text-anchor:middle;" fillcolor="#AD002D" filled="t" stroked="t" coordsize="21600,21600" o:gfxdata="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MG/e6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仿宋_GB2312" w:eastAsia="仿宋_GB2312" w:cs="DengXian-Regular"/>
          <w:sz w:val="32"/>
          <w:szCs w:val="32"/>
        </w:rPr>
        <w:t>本部门2018年度公务接待共0批次、0人次。公务接待费支出较年初预算增加0万元，增长0%,与上年相比无增减变化。</w:t>
      </w:r>
    </w:p>
    <w:p>
      <w:pPr>
        <w:adjustRightInd w:val="0"/>
        <w:snapToGrid w:val="0"/>
        <w:spacing w:after="0" w:line="580" w:lineRule="exact"/>
        <w:ind w:firstLine="422" w:firstLineChars="200"/>
        <w:rPr>
          <w:rFonts w:ascii="仿宋" w:hAnsi="仿宋" w:eastAsia="仿宋" w:cs="仿宋"/>
          <w:sz w:val="32"/>
          <w:szCs w:val="32"/>
        </w:rPr>
      </w:pPr>
      <w:r>
        <w:rPr>
          <w:rFonts w:hint="eastAsia" w:ascii="楷体" w:hAnsi="楷体" w:eastAsia="楷体"/>
          <w:b/>
          <w:szCs w:val="40"/>
        </w:rPr>
        <w:t>六、</w:t>
      </w:r>
      <w:r>
        <w:rPr>
          <w:rFonts w:hint="eastAsia" w:ascii="楷体" w:hAnsi="楷体" w:eastAsia="楷体" w:cs="仿宋"/>
          <w:b/>
          <w:sz w:val="32"/>
          <w:szCs w:val="32"/>
        </w:rPr>
        <w:t xml:space="preserve"> 绩效管理工作开展情况。</w:t>
      </w:r>
      <w:r>
        <w:rPr>
          <w:rFonts w:hint="eastAsia" w:ascii="仿宋" w:hAnsi="仿宋" w:eastAsia="仿宋" w:cs="仿宋"/>
          <w:sz w:val="32"/>
          <w:szCs w:val="32"/>
        </w:rPr>
        <w:t>根据《关于开展2018年度财政专项资金部门绩效自评价工作的通知》（石财绩[2019]1号），本单位认真开展了预算绩效管理改革开展情况自查，对部门全面规范绩效预算编制、严格预算执行管理、推进绩效评价工作、推进预决算信息公开等方面进行了自评，考核结果为良好</w:t>
      </w:r>
    </w:p>
    <w:p>
      <w:pPr>
        <w:ind w:firstLine="420" w:firstLineChars="200"/>
        <w:rPr>
          <w:rFonts w:ascii="仿宋" w:hAnsi="仿宋" w:eastAsia="仿宋" w:cs="仿宋"/>
          <w:sz w:val="32"/>
          <w:szCs w:val="32"/>
        </w:rPr>
      </w:pPr>
      <w:r>
        <w:rPr>
          <w:rFonts w:hint="eastAsia"/>
        </w:rPr>
        <w:t>（二）</w:t>
      </w:r>
      <w:r>
        <w:rPr>
          <w:rFonts w:hint="eastAsia" w:ascii="楷体" w:hAnsi="楷体" w:eastAsia="楷体" w:cs="仿宋"/>
          <w:b/>
          <w:sz w:val="32"/>
          <w:szCs w:val="32"/>
        </w:rPr>
        <w:t>预算项目绩效评价开展情况</w:t>
      </w:r>
    </w:p>
    <w:p>
      <w:pPr>
        <w:adjustRightInd w:val="0"/>
        <w:snapToGrid w:val="0"/>
        <w:spacing w:after="0" w:line="500" w:lineRule="exact"/>
        <w:ind w:firstLine="640" w:firstLineChars="200"/>
        <w:rPr>
          <w:rFonts w:ascii="仿宋" w:hAnsi="仿宋" w:eastAsia="仿宋"/>
          <w:sz w:val="32"/>
          <w:szCs w:val="32"/>
        </w:rPr>
      </w:pPr>
      <w:r>
        <w:rPr>
          <w:rFonts w:hint="eastAsia" w:ascii="仿宋" w:hAnsi="仿宋" w:eastAsia="仿宋"/>
          <w:sz w:val="32"/>
          <w:szCs w:val="32"/>
        </w:rPr>
        <w:t>预算项目绩效评价开展情况根据预算绩效管理要求，本单位组织对2018年度一般公共预算项目支出全面开展绩效自评，涉及信访工作经费、“双百日攻坚”经费、综合办公楼运行经费、信访保障工作经费等4个项目，涉及资金180万元。从评价情况看，评价结果为优秀的项目有4个，良好的项目有0个，一般的项目有0个。</w:t>
      </w:r>
    </w:p>
    <w:p>
      <w:pPr>
        <w:ind w:firstLine="482" w:firstLineChars="150"/>
        <w:rPr>
          <w:rFonts w:ascii="楷体" w:hAnsi="楷体" w:eastAsia="楷体"/>
          <w:b/>
          <w:sz w:val="32"/>
          <w:szCs w:val="32"/>
        </w:rPr>
      </w:pPr>
      <w:r>
        <w:rPr>
          <w:rFonts w:hint="eastAsia" w:ascii="楷体" w:hAnsi="楷体" w:eastAsia="楷体"/>
          <w:b/>
          <w:sz w:val="32"/>
          <w:szCs w:val="32"/>
        </w:rPr>
        <w:t>（三）预算项目绩效自评</w:t>
      </w:r>
    </w:p>
    <w:p>
      <w:pPr>
        <w:ind w:firstLine="640" w:firstLineChars="200"/>
        <w:rPr>
          <w:rFonts w:ascii="仿宋" w:hAnsi="仿宋" w:eastAsia="仿宋"/>
          <w:sz w:val="32"/>
          <w:szCs w:val="32"/>
        </w:rPr>
      </w:pPr>
      <w:r>
        <w:rPr>
          <w:rFonts w:hint="eastAsia" w:ascii="仿宋" w:hAnsi="仿宋" w:eastAsia="仿宋"/>
          <w:sz w:val="32"/>
          <w:szCs w:val="32"/>
        </w:rPr>
        <w:t>本单位无民生项目和重点支出项目。</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本部门2018年度机关运行经费支出21</w:t>
      </w:r>
      <w:r>
        <w:rPr>
          <w:rFonts w:hint="eastAsia" w:ascii="仿宋" w:hAnsi="仿宋" w:eastAsia="仿宋" w:cs="宋体"/>
          <w:sz w:val="32"/>
          <w:szCs w:val="32"/>
        </w:rPr>
        <w:t>9.86</w:t>
      </w:r>
      <w:r>
        <w:rPr>
          <w:rFonts w:hint="eastAsia" w:ascii="仿宋" w:hAnsi="仿宋" w:eastAsia="仿宋" w:cs="DengXian-Regular"/>
          <w:sz w:val="32"/>
          <w:szCs w:val="32"/>
        </w:rPr>
        <w:t>万元，</w:t>
      </w:r>
      <w:r>
        <w:rPr>
          <w:rFonts w:hint="eastAsia" w:ascii="仿宋" w:hAnsi="仿宋" w:eastAsia="仿宋" w:cs="宋体"/>
          <w:sz w:val="32"/>
          <w:szCs w:val="32"/>
        </w:rPr>
        <w:t>与年初预算持平。</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本部门2018年度政府采购支出总额0万元，从采购类型来看，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 万元、政府采购工程支出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r>
        <w:rPr>
          <w:rFonts w:hint="eastAsia" w:ascii="仿宋_GB2312" w:eastAsia="仿宋_GB2312" w:cs="DengXian-Regular"/>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0辆，比上年增加0辆，与上年相比无增减变化。其中，副部（省）级及以上领导用车0辆，主要领导干部用车0辆，机要通信用车0辆，应急保障用车0辆，执法执勤用车0辆，特种专业技术用车0辆，离退休干部用车0辆，其他用车0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万元以上通用设备0台（套），比上年增加0套，单位价值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万元以上专用设备0台（套）比上年增加0套,</w:t>
      </w:r>
      <w:r>
        <w:rPr>
          <w:rFonts w:ascii="仿宋_GB2312" w:eastAsia="仿宋_GB2312" w:cs="DengXian-Regular"/>
          <w:sz w:val="32"/>
          <w:szCs w:val="32"/>
        </w:rPr>
        <w:t xml:space="preserve"> </w:t>
      </w:r>
      <w:r>
        <w:rPr>
          <w:rFonts w:hint="eastAsia" w:ascii="仿宋_GB2312" w:eastAsia="仿宋_GB2312" w:cs="DengXian-Regular"/>
          <w:sz w:val="32"/>
          <w:szCs w:val="32"/>
        </w:rPr>
        <w:t>与上年相比无增减变化。</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1、本部门2018年度无收支及结转结余情况，故三公”经费支出决算表、政府性基金预算财政拨款收入支出决算表、国有资本经营预算财政拨款支出决算表、政府采购情况表以空表列示。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w:t>
      </w:r>
      <w:r>
        <w:rPr>
          <w:sz w:val="44"/>
        </w:rPr>
        <w:pict>
          <v:group id="_x0000_s1048" o:spid="_x0000_s1048" o:spt="203" style="position:absolute;left:0pt;margin-left:-0.55pt;margin-top:29.3pt;height:43.95pt;width:301.85pt;mso-position-horizontal-relative:page;mso-position-vertical-relative:page;z-index:251676672;mso-width-relative:page;mso-height-relative:page;" coordorigin="45,526" coordsize="85,13982"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9pbQOSQ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">
            <o:lock v:ext="edit"/>
            <v:rect id="矩形 13" o:spid="_x0000_s1049" o:spt="1" style="position:absolute;left:45;top:526;height:11;width:85;v-text-anchor:middle;" fillcolor="#D9D9D9" filled="t" stroked="f" coordsize="21600,21600" o:gfxdata="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wGMnb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50" o:spt="1" style="position:absolute;left:45;top:528;height:12;width:84;v-text-anchor:middle;" fillcolor="#AD002D" filled="t" stroked="t" coordsize="21600,21600" o:gfxdata="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55G0wvQAA&#10;ANsAAAAPAAAAAAAAAAEAIAAAACIAAABkcnMvZG93bnJldi54bWxQSwECFAAUAAAACACHTuJAMy8F&#10;njsAAAA5AAAAEAAAAAAAAAABACAAAAAMAQAAZHJzL3NoYXBleG1sLnhtbFBLBQYAAAAABgAGAFsB&#10;AAC2Aw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仿宋_GB2312" w:eastAsia="仿宋_GB2312" w:cs="DengXian-Regular"/>
          <w:sz w:val="32"/>
          <w:szCs w:val="32"/>
        </w:rPr>
        <w:t>果，个别数据合计项与分项之和存在小数点后差额，特此说明。</w:t>
      </w:r>
    </w:p>
    <w:p>
      <w:pPr>
        <w:rPr>
          <w:rFonts w:hint="eastAsia"/>
        </w:rPr>
      </w:pP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footerReference r:id="rId3" w:type="default"/>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79744"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6" cstate="print"/>
                    <a:stretch>
                      <a:fillRect/>
                    </a:stretch>
                  </pic:blipFill>
                  <pic:spPr>
                    <a:xfrm>
                      <a:off x="0" y="0"/>
                      <a:ext cx="7550150" cy="10680065"/>
                    </a:xfrm>
                    <a:prstGeom prst="rect">
                      <a:avLst/>
                    </a:prstGeom>
                  </pic:spPr>
                </pic:pic>
              </a:graphicData>
            </a:graphic>
          </wp:anchor>
        </w:drawing>
      </w:r>
      <w:r>
        <w:rPr>
          <w:sz w:val="72"/>
        </w:rPr>
        <w:pict>
          <v:shape id="_x0000_s1051" o:spid="_x0000_s1051" o:spt="202" type="#_x0000_t202" style="position:absolute;left:0pt;margin-left:-78.7pt;margin-top:232.8pt;height:159.1pt;width:596.2pt;z-index:251678720;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w:t>
      </w:r>
      <w:r>
        <w:rPr>
          <w:rFonts w:ascii="仿宋_GB2312" w:eastAsia="仿宋_GB2312" w:hAnsiTheme="majorEastAsia"/>
          <w:b/>
          <w:bCs/>
          <w:color w:val="000000"/>
          <w:kern w:val="0"/>
          <w:sz w:val="32"/>
          <w:szCs w:val="32"/>
        </w:rPr>
        <w:pict>
          <v:group id="_x0000_s1052" o:spid="_x0000_s1052" o:spt="203" style="position:absolute;left:0pt;margin-left:-81.05pt;margin-top:39.65pt;height:43.95pt;width:264.85pt;mso-position-vertical-relative:page;z-index:251680768;mso-width-relative:page;mso-height-relative:page;" coordorigin="45,526" coordsize="85,13982"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Xj0xGigDAADy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IWM/JvbAAAACwEAAA8AAAAAAAAAAQAg&#10;AAAAIgAAAGRycy9kb3ducmV2LnhtbFBLAQIUABQAAAAIAIdO4kBePTEaKAMAAPIIAAAOAAAAAAAA&#10;AAEAIAAAACoBAABkcnMvZTJvRG9jLnhtbFBLBQYAAAAABgAGAFkBAADEBgAAAAA=&#10;">
            <o:lock v:ext="edit"/>
            <v:rect id="矩形 13" o:spid="_x0000_s1053" o:spt="1" style="position:absolute;left:45;top:526;height:11;width:85;v-text-anchor:middle;" fillcolor="#D9D9D9"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054" o:spt="1" style="position:absolute;left:45;top:528;height:12;width:84;v-text-anchor:middle;" fillcolor="#AD002D" filled="t" stroked="t" coordsize="21600,21600"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b/>
          <w:bCs/>
          <w:color w:val="000000"/>
          <w:kern w:val="0"/>
          <w:sz w:val="32"/>
          <w:szCs w:val="32"/>
        </w:rPr>
        <w:t>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ascii="仿宋_GB2312" w:eastAsia="仿宋_GB2312" w:hAnsiTheme="majorEastAsia"/>
          <w:b/>
          <w:bCs/>
          <w:color w:val="000000"/>
          <w:kern w:val="0"/>
          <w:sz w:val="32"/>
          <w:szCs w:val="32"/>
        </w:rPr>
        <w:pict>
          <v:group id="_x0000_s1055" o:spid="_x0000_s1055" o:spt="203" style="position:absolute;left:0pt;margin-left:-81.05pt;margin-top:39.65pt;height:43.95pt;width:264.85pt;mso-position-vertical-relative:page;z-index:251681792;mso-width-relative:page;mso-height-relative:page;" coordorigin="45,526" coordsize="85,13982"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Yz8m9sAAAALAQAADwAAAAAAAAAB&#10;ACAAAAAiAAAAZHJzL2Rvd25yZXYueG1sUEsBAhQAFAAAAAgAh07iQCVSPPoqAwAA7ggAAA4AAAAA&#10;AAAAAQAgAAAAKgEAAGRycy9lMm9Eb2MueG1sUEsFBgAAAAAGAAYAWQEAAMYGAAAAAA==&#10;">
            <o:lock v:ext="edit"/>
            <v:rect id="矩形 13" o:spid="_x0000_s1056" o:spt="1" style="position:absolute;left:45;top:526;height:11;width:85;v-text-anchor:middle;" fillcolor="#D9D9D9" filled="t" stroked="f" coordsize="21600,21600" o:gfxdata="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6BTp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57" o:spt="1" style="position:absolute;left:45;top:528;height:12;width:84;v-text-anchor:middle;" fillcolor="#AD002D" filled="t" stroked="t" coordsize="21600,21600" o:gfxdata="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ZPOqL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color w:val="000000"/>
          <w:kern w:val="0"/>
          <w:sz w:val="32"/>
          <w:szCs w:val="32"/>
        </w:rPr>
        <w:t>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w:t>
      </w:r>
      <w:r>
        <w:rPr>
          <w:rFonts w:ascii="仿宋_GB2312" w:eastAsia="仿宋_GB2312" w:hAnsiTheme="majorEastAsia"/>
          <w:b/>
          <w:bCs/>
          <w:color w:val="000000"/>
          <w:kern w:val="0"/>
          <w:sz w:val="32"/>
          <w:szCs w:val="32"/>
        </w:rPr>
        <w:pict>
          <v:group id="_x0000_s1058" o:spid="_x0000_s1058" o:spt="203" style="position:absolute;left:0pt;margin-left:-81.05pt;margin-top:39.65pt;height:43.95pt;width:264.85pt;mso-position-vertical-relative:page;z-index:251682816;mso-width-relative:page;mso-height-relative:page;" coordorigin="45,526" coordsize="85,13982"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hYz8m9sAAAALAQAADwAAAAAAAAABACAA&#10;AAAiAAAAZHJzL2Rvd25yZXYueG1sUEsBAhQAFAAAAAgAh07iQOLTqwMnAwAA7ggAAA4AAAAAAAAA&#10;AQAgAAAAKgEAAGRycy9lMm9Eb2MueG1sUEsFBgAAAAAGAAYAWQEAAMMGAAAAAA==&#10;">
            <o:lock v:ext="edit"/>
            <v:rect id="矩形 13" o:spid="_x0000_s1059" o:spt="1" style="position:absolute;left:45;top:526;height:11;width:85;v-text-anchor:middle;" fillcolor="#D9D9D9" filled="t" stroked="f" coordsize="21600,21600" o:gfxdata="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6bt3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60" o:spt="1" style="position:absolute;left:45;top:528;height:12;width:84;v-text-anchor:middle;" fillcolor="#AD002D" filled="t" stroked="t" coordsize="21600,21600" o:gfxdata="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Axa2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b/>
          <w:bCs/>
          <w:color w:val="000000"/>
          <w:kern w:val="0"/>
          <w:sz w:val="32"/>
          <w:szCs w:val="32"/>
        </w:rPr>
        <w:t>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rPr>
          <w:rFonts w:hint="eastAsia"/>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MS-UIGothic,Bold">
    <w:altName w:val="Malgun Gothic"/>
    <w:panose1 w:val="00000000000000000000"/>
    <w:charset w:val="81"/>
    <w:family w:val="auto"/>
    <w:pitch w:val="default"/>
    <w:sig w:usb0="00000000" w:usb1="00000000" w:usb2="00000010" w:usb3="00000000" w:csb0="00080000"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仿宋">
    <w:panose1 w:val="02010609060101010101"/>
    <w:charset w:val="86"/>
    <w:family w:val="modern"/>
    <w:pitch w:val="default"/>
    <w:sig w:usb0="800002BF" w:usb1="38CF7CFA" w:usb2="00000016" w:usb3="00000000" w:csb0="00040001" w:csb1="00000000"/>
  </w:font>
  <w:font w:name="___WRD_EMBED_SUB_41">
    <w:altName w:val="宋体"/>
    <w:panose1 w:val="02010609030101010101"/>
    <w:charset w:val="86"/>
    <w:family w:val="modern"/>
    <w:pitch w:val="default"/>
    <w:sig w:usb0="00000000" w:usb1="00000000" w:usb2="00000010" w:usb3="00000000" w:csb0="00040000" w:csb1="00000000"/>
  </w:font>
  <w:font w:name="TimesNewRomanPSMT">
    <w:altName w:val="Arial"/>
    <w:panose1 w:val="00000000000000000000"/>
    <w:charset w:val="00"/>
    <w:family w:val="swiss"/>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A2D7F12"/>
    <w:multiLevelType w:val="multilevel"/>
    <w:tmpl w:val="3A2D7F12"/>
    <w:lvl w:ilvl="0" w:tentative="0">
      <w:start w:val="1"/>
      <w:numFmt w:val="japaneseCounting"/>
      <w:lvlText w:val="%1、"/>
      <w:lvlJc w:val="left"/>
      <w:pPr>
        <w:ind w:left="1994" w:hanging="720"/>
      </w:pPr>
      <w:rPr>
        <w:rFonts w:hint="default"/>
      </w:rPr>
    </w:lvl>
    <w:lvl w:ilvl="1" w:tentative="0">
      <w:start w:val="1"/>
      <w:numFmt w:val="lowerLetter"/>
      <w:lvlText w:val="%2)"/>
      <w:lvlJc w:val="left"/>
      <w:pPr>
        <w:ind w:left="2114" w:hanging="420"/>
      </w:pPr>
    </w:lvl>
    <w:lvl w:ilvl="2" w:tentative="0">
      <w:start w:val="1"/>
      <w:numFmt w:val="lowerRoman"/>
      <w:lvlText w:val="%3."/>
      <w:lvlJc w:val="right"/>
      <w:pPr>
        <w:ind w:left="2534" w:hanging="420"/>
      </w:pPr>
    </w:lvl>
    <w:lvl w:ilvl="3" w:tentative="0">
      <w:start w:val="1"/>
      <w:numFmt w:val="decimal"/>
      <w:lvlText w:val="%4."/>
      <w:lvlJc w:val="left"/>
      <w:pPr>
        <w:ind w:left="2954" w:hanging="420"/>
      </w:pPr>
    </w:lvl>
    <w:lvl w:ilvl="4" w:tentative="0">
      <w:start w:val="1"/>
      <w:numFmt w:val="lowerLetter"/>
      <w:lvlText w:val="%5)"/>
      <w:lvlJc w:val="left"/>
      <w:pPr>
        <w:ind w:left="3374" w:hanging="420"/>
      </w:pPr>
    </w:lvl>
    <w:lvl w:ilvl="5" w:tentative="0">
      <w:start w:val="1"/>
      <w:numFmt w:val="lowerRoman"/>
      <w:lvlText w:val="%6."/>
      <w:lvlJc w:val="right"/>
      <w:pPr>
        <w:ind w:left="3794" w:hanging="420"/>
      </w:pPr>
    </w:lvl>
    <w:lvl w:ilvl="6" w:tentative="0">
      <w:start w:val="1"/>
      <w:numFmt w:val="decimal"/>
      <w:lvlText w:val="%7."/>
      <w:lvlJc w:val="left"/>
      <w:pPr>
        <w:ind w:left="4214" w:hanging="420"/>
      </w:pPr>
    </w:lvl>
    <w:lvl w:ilvl="7" w:tentative="0">
      <w:start w:val="1"/>
      <w:numFmt w:val="lowerLetter"/>
      <w:lvlText w:val="%8)"/>
      <w:lvlJc w:val="left"/>
      <w:pPr>
        <w:ind w:left="4634" w:hanging="420"/>
      </w:pPr>
    </w:lvl>
    <w:lvl w:ilvl="8" w:tentative="0">
      <w:start w:val="1"/>
      <w:numFmt w:val="lowerRoman"/>
      <w:lvlText w:val="%9."/>
      <w:lvlJc w:val="right"/>
      <w:pPr>
        <w:ind w:left="5054" w:hanging="420"/>
      </w:p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4D4248"/>
    <w:rsid w:val="002F5CB0"/>
    <w:rsid w:val="0042358B"/>
    <w:rsid w:val="004672C0"/>
    <w:rsid w:val="004D4248"/>
    <w:rsid w:val="00524E38"/>
    <w:rsid w:val="006676CE"/>
    <w:rsid w:val="008C1612"/>
    <w:rsid w:val="00BE1E8D"/>
    <w:rsid w:val="00E94975"/>
    <w:rsid w:val="00F77A6A"/>
    <w:rsid w:val="00FC2738"/>
    <w:rsid w:val="00FC6800"/>
    <w:rsid w:val="119867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2"/>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14"/>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16"/>
    <w:unhideWhenUsed/>
    <w:qFormat/>
    <w:uiPriority w:val="9"/>
    <w:pPr>
      <w:keepNext/>
      <w:keepLines/>
      <w:spacing w:before="260" w:after="260" w:line="416" w:lineRule="auto"/>
      <w:outlineLvl w:val="2"/>
    </w:pPr>
    <w:rPr>
      <w:b/>
      <w:bCs/>
      <w:sz w:val="32"/>
      <w:szCs w:val="32"/>
    </w:rPr>
  </w:style>
  <w:style w:type="character" w:default="1" w:styleId="11">
    <w:name w:val="Default Paragraph Font"/>
    <w:semiHidden/>
    <w:unhideWhenUsed/>
    <w:uiPriority w:val="1"/>
  </w:style>
  <w:style w:type="table" w:default="1" w:styleId="9">
    <w:name w:val="Normal Table"/>
    <w:semiHidden/>
    <w:unhideWhenUsed/>
    <w:qFormat/>
    <w:uiPriority w:val="99"/>
    <w:tblPr>
      <w:tblLayout w:type="fixed"/>
      <w:tblCellMar>
        <w:top w:w="0" w:type="dxa"/>
        <w:left w:w="108" w:type="dxa"/>
        <w:bottom w:w="0" w:type="dxa"/>
        <w:right w:w="108" w:type="dxa"/>
      </w:tblCellMar>
    </w:tblPr>
  </w:style>
  <w:style w:type="paragraph" w:styleId="5">
    <w:name w:val="Balloon Text"/>
    <w:basedOn w:val="1"/>
    <w:link w:val="15"/>
    <w:semiHidden/>
    <w:unhideWhenUsed/>
    <w:uiPriority w:val="99"/>
    <w:pPr>
      <w:spacing w:after="0" w:line="240" w:lineRule="auto"/>
    </w:pPr>
    <w:rPr>
      <w:sz w:val="18"/>
      <w:szCs w:val="18"/>
    </w:rPr>
  </w:style>
  <w:style w:type="paragraph" w:styleId="6">
    <w:name w:val="footer"/>
    <w:basedOn w:val="1"/>
    <w:link w:val="18"/>
    <w:semiHidden/>
    <w:unhideWhenUsed/>
    <w:qFormat/>
    <w:uiPriority w:val="99"/>
    <w:pPr>
      <w:tabs>
        <w:tab w:val="center" w:pos="4153"/>
        <w:tab w:val="right" w:pos="8306"/>
      </w:tabs>
      <w:snapToGrid w:val="0"/>
      <w:spacing w:line="240" w:lineRule="auto"/>
      <w:jc w:val="left"/>
    </w:pPr>
    <w:rPr>
      <w:sz w:val="18"/>
      <w:szCs w:val="18"/>
    </w:rPr>
  </w:style>
  <w:style w:type="paragraph" w:styleId="7">
    <w:name w:val="header"/>
    <w:basedOn w:val="1"/>
    <w:link w:val="17"/>
    <w:semiHidden/>
    <w:unhideWhenUsed/>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8">
    <w:name w:val="Normal (Web)"/>
    <w:basedOn w:val="1"/>
    <w:unhideWhenUsed/>
    <w:qFormat/>
    <w:uiPriority w:val="99"/>
    <w:pPr>
      <w:spacing w:before="100" w:beforeAutospacing="1" w:after="100" w:afterAutospacing="1"/>
    </w:pPr>
    <w:rPr>
      <w:rFonts w:ascii="宋体" w:hAnsi="宋体" w:cs="宋体"/>
      <w:sz w:val="24"/>
    </w:rPr>
  </w:style>
  <w:style w:type="table" w:styleId="10">
    <w:name w:val="Table Grid"/>
    <w:basedOn w:val="9"/>
    <w:qFormat/>
    <w:uiPriority w:val="1"/>
    <w:rPr>
      <w:kern w:val="0"/>
      <w:sz w:val="22"/>
      <w:szCs w:val="20"/>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style>
  <w:style w:type="character" w:customStyle="1" w:styleId="12">
    <w:name w:val="标题 1 Char"/>
    <w:basedOn w:val="11"/>
    <w:link w:val="2"/>
    <w:qFormat/>
    <w:uiPriority w:val="9"/>
    <w:rPr>
      <w:rFonts w:ascii="Times New Roman" w:hAnsi="Times New Roman" w:eastAsia="宋体" w:cs="Times New Roman"/>
      <w:b/>
      <w:bCs/>
      <w:kern w:val="44"/>
      <w:sz w:val="44"/>
      <w:szCs w:val="44"/>
    </w:rPr>
  </w:style>
  <w:style w:type="paragraph" w:styleId="13">
    <w:name w:val="List Paragraph"/>
    <w:basedOn w:val="1"/>
    <w:unhideWhenUsed/>
    <w:qFormat/>
    <w:uiPriority w:val="99"/>
    <w:pPr>
      <w:ind w:firstLine="420" w:firstLineChars="200"/>
    </w:pPr>
  </w:style>
  <w:style w:type="character" w:customStyle="1" w:styleId="14">
    <w:name w:val="标题 2 Char"/>
    <w:basedOn w:val="11"/>
    <w:link w:val="3"/>
    <w:qFormat/>
    <w:uiPriority w:val="9"/>
    <w:rPr>
      <w:rFonts w:asciiTheme="majorHAnsi" w:hAnsiTheme="majorHAnsi" w:eastAsiaTheme="majorEastAsia" w:cstheme="majorBidi"/>
      <w:b/>
      <w:bCs/>
      <w:sz w:val="32"/>
      <w:szCs w:val="32"/>
    </w:rPr>
  </w:style>
  <w:style w:type="character" w:customStyle="1" w:styleId="15">
    <w:name w:val="批注框文本 Char"/>
    <w:basedOn w:val="11"/>
    <w:link w:val="5"/>
    <w:semiHidden/>
    <w:uiPriority w:val="99"/>
    <w:rPr>
      <w:rFonts w:ascii="Times New Roman" w:hAnsi="Times New Roman" w:eastAsia="宋体" w:cs="Times New Roman"/>
      <w:sz w:val="18"/>
      <w:szCs w:val="18"/>
    </w:rPr>
  </w:style>
  <w:style w:type="character" w:customStyle="1" w:styleId="16">
    <w:name w:val="标题 3 Char"/>
    <w:basedOn w:val="11"/>
    <w:link w:val="4"/>
    <w:qFormat/>
    <w:uiPriority w:val="9"/>
    <w:rPr>
      <w:rFonts w:ascii="Times New Roman" w:hAnsi="Times New Roman" w:eastAsia="宋体" w:cs="Times New Roman"/>
      <w:b/>
      <w:bCs/>
      <w:sz w:val="32"/>
      <w:szCs w:val="32"/>
    </w:rPr>
  </w:style>
  <w:style w:type="character" w:customStyle="1" w:styleId="17">
    <w:name w:val="页眉 Char"/>
    <w:basedOn w:val="11"/>
    <w:link w:val="7"/>
    <w:semiHidden/>
    <w:uiPriority w:val="99"/>
    <w:rPr>
      <w:rFonts w:ascii="Times New Roman" w:hAnsi="Times New Roman" w:eastAsia="宋体" w:cs="Times New Roman"/>
      <w:sz w:val="18"/>
      <w:szCs w:val="18"/>
    </w:rPr>
  </w:style>
  <w:style w:type="character" w:customStyle="1" w:styleId="18">
    <w:name w:val="页脚 Char"/>
    <w:basedOn w:val="11"/>
    <w:link w:val="6"/>
    <w:semiHidden/>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9" Type="http://schemas.openxmlformats.org/officeDocument/2006/relationships/chart" Target="charts/chart3.xml"/><Relationship Id="rId8" Type="http://schemas.openxmlformats.org/officeDocument/2006/relationships/chart" Target="charts/chart2.xml"/><Relationship Id="rId7" Type="http://schemas.openxmlformats.org/officeDocument/2006/relationships/chart" Target="charts/chart1.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chart" Target="charts/chart5.xml"/><Relationship Id="rId10" Type="http://schemas.openxmlformats.org/officeDocument/2006/relationships/chart" Target="charts/chart4.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1" Type="http://schemas.openxmlformats.org/officeDocument/2006/relationships/oleObject" Target="../embeddings/oleObject1.bin"/></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p>
      </c:txPr>
    </c:title>
    <c:autoTitleDeleted val="0"/>
    <c:plotArea>
      <c:layout/>
      <c:pieChart>
        <c:varyColors val="1"/>
        <c:ser>
          <c:idx val="0"/>
          <c:order val="0"/>
          <c:tx>
            <c:strRef>
              <c:f>Sheet1!$B$1</c:f>
              <c:strCache>
                <c:ptCount val="1"/>
                <c:pt idx="0">
                  <c:v>收入</c:v>
                </c:pt>
              </c:strCache>
            </c:strRef>
          </c:tx>
          <c:explosion val="0"/>
          <c:dPt>
            <c:idx val="0"/>
            <c:bubble3D val="0"/>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ext>
            </c:extLst>
          </c:dLbls>
          <c:cat>
            <c:strRef>
              <c:f>Sheet1!$A$2</c:f>
              <c:strCache>
                <c:ptCount val="1"/>
                <c:pt idx="0">
                  <c:v>财政拨款收入</c:v>
                </c:pt>
              </c:strCache>
            </c:strRef>
          </c:cat>
          <c:val>
            <c:numRef>
              <c:f>Sheet1!$B$2</c:f>
              <c:numCache>
                <c:formatCode>General</c:formatCode>
                <c:ptCount val="1"/>
                <c:pt idx="0">
                  <c:v>915.78</c:v>
                </c:pt>
              </c:numCache>
            </c:numRef>
          </c:val>
        </c:ser>
        <c:dLbls>
          <c:showLegendKey val="0"/>
          <c:showVal val="1"/>
          <c:showCatName val="0"/>
          <c:showSerName val="0"/>
          <c:showPercent val="0"/>
          <c:showBubbleSize val="0"/>
          <c:showLeaderLines val="1"/>
        </c:dLbls>
        <c:firstSliceAng val="0"/>
      </c:pieChart>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p>
      </c:txPr>
    </c:title>
    <c:autoTitleDeleted val="0"/>
    <c:plotArea>
      <c:layout/>
      <c:pieChart>
        <c:varyColors val="1"/>
        <c:ser>
          <c:idx val="0"/>
          <c:order val="0"/>
          <c:tx>
            <c:strRef>
              <c:f>Sheet1!$B$1</c:f>
              <c:strCache>
                <c:ptCount val="1"/>
                <c:pt idx="0">
                  <c:v>支出</c:v>
                </c:pt>
              </c:strCache>
            </c:strRef>
          </c:tx>
          <c:explosion val="0"/>
          <c:dPt>
            <c:idx val="0"/>
            <c:bubble3D val="0"/>
          </c:dPt>
          <c:dPt>
            <c:idx val="1"/>
            <c:bubble3D val="0"/>
          </c:dPt>
          <c:dLbls>
            <c:dLbl>
              <c:idx val="0"/>
              <c:layout/>
              <c:dLblPos val="bestFit"/>
              <c:showLegendKey val="0"/>
              <c:showVal val="1"/>
              <c:showCatName val="0"/>
              <c:showSerName val="0"/>
              <c:showPercent val="0"/>
              <c:showBubbleSize val="0"/>
              <c:extLst>
                <c:ext xmlns:c15="http://schemas.microsoft.com/office/drawing/2012/chart" uri="{CE6537A1-D6FC-4f65-9D91-7224C49458BB}"/>
              </c:extLst>
            </c:dLbl>
            <c:dLbl>
              <c:idx val="1"/>
              <c:delete val="1"/>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0"/>
            <c:showSerName val="0"/>
            <c:showPercent val="0"/>
            <c:showBubbleSize val="0"/>
            <c:showLeaderLines val="1"/>
            <c:extLst>
              <c:ext xmlns:c15="http://schemas.microsoft.com/office/drawing/2012/chart" uri="{CE6537A1-D6FC-4f65-9D91-7224C49458BB}">
                <c15:layout/>
                <c15:showLeaderLines val="1"/>
                <c15:leaderLines/>
              </c:ext>
            </c:extLst>
          </c:dLbls>
          <c:cat>
            <c:strRef>
              <c:f>Sheet1!$A$2:$A$3</c:f>
              <c:strCache>
                <c:ptCount val="2"/>
                <c:pt idx="0">
                  <c:v>基本支出</c:v>
                </c:pt>
                <c:pt idx="1">
                  <c:v>项目支出</c:v>
                </c:pt>
              </c:strCache>
            </c:strRef>
          </c:cat>
          <c:val>
            <c:numRef>
              <c:f>Sheet1!$B$2:$B$3</c:f>
              <c:numCache>
                <c:formatCode>General</c:formatCode>
                <c:ptCount val="2"/>
                <c:pt idx="0">
                  <c:v>806.24</c:v>
                </c:pt>
                <c:pt idx="1">
                  <c:v>0</c:v>
                </c:pt>
              </c:numCache>
            </c:numRef>
          </c:val>
        </c:ser>
        <c:dLbls>
          <c:showLegendKey val="0"/>
          <c:showVal val="0"/>
          <c:showCatName val="0"/>
          <c:showSerName val="0"/>
          <c:showPercent val="0"/>
          <c:showBubbleSize val="0"/>
          <c:showLeaderLines val="1"/>
        </c:dLbls>
        <c:firstSliceAng val="0"/>
      </c:pieChart>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Sheet1!$I$6</c:f>
              <c:strCache>
                <c:ptCount val="1"/>
                <c:pt idx="0">
                  <c:v>2017</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Sheet1!$J$5:$K$5</c:f>
              <c:strCache>
                <c:ptCount val="2"/>
                <c:pt idx="0">
                  <c:v>收入</c:v>
                </c:pt>
                <c:pt idx="1">
                  <c:v>支出</c:v>
                </c:pt>
              </c:strCache>
            </c:strRef>
          </c:cat>
          <c:val>
            <c:numRef>
              <c:f>Sheet1!$J$6:$K$6</c:f>
              <c:numCache>
                <c:formatCode>General</c:formatCode>
                <c:ptCount val="2"/>
                <c:pt idx="0">
                  <c:v>549.790000000001</c:v>
                </c:pt>
                <c:pt idx="1">
                  <c:v>550.75</c:v>
                </c:pt>
              </c:numCache>
            </c:numRef>
          </c:val>
        </c:ser>
        <c:ser>
          <c:idx val="1"/>
          <c:order val="1"/>
          <c:tx>
            <c:strRef>
              <c:f>Sheet1!$I$7</c:f>
              <c:strCache>
                <c:ptCount val="1"/>
                <c:pt idx="0">
                  <c:v>2018</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Sheet1!$J$5:$K$5</c:f>
              <c:strCache>
                <c:ptCount val="2"/>
                <c:pt idx="0">
                  <c:v>收入</c:v>
                </c:pt>
                <c:pt idx="1">
                  <c:v>支出</c:v>
                </c:pt>
              </c:strCache>
            </c:strRef>
          </c:cat>
          <c:val>
            <c:numRef>
              <c:f>Sheet1!$J$7:$K$7</c:f>
              <c:numCache>
                <c:formatCode>General</c:formatCode>
                <c:ptCount val="2"/>
                <c:pt idx="0">
                  <c:v>915.780000000001</c:v>
                </c:pt>
                <c:pt idx="1">
                  <c:v>806.24</c:v>
                </c:pt>
              </c:numCache>
            </c:numRef>
          </c:val>
        </c:ser>
        <c:dLbls>
          <c:showLegendKey val="0"/>
          <c:showVal val="1"/>
          <c:showCatName val="0"/>
          <c:showSerName val="0"/>
          <c:showPercent val="0"/>
          <c:showBubbleSize val="0"/>
        </c:dLbls>
        <c:gapWidth val="150"/>
        <c:axId val="191249792"/>
        <c:axId val="193863680"/>
      </c:barChart>
      <c:catAx>
        <c:axId val="191249792"/>
        <c:scaling>
          <c:orientation val="minMax"/>
        </c:scaling>
        <c:delete val="0"/>
        <c:axPos val="b"/>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93863680"/>
        <c:crosses val="autoZero"/>
        <c:auto val="1"/>
        <c:lblAlgn val="ctr"/>
        <c:lblOffset val="100"/>
        <c:noMultiLvlLbl val="0"/>
      </c:catAx>
      <c:valAx>
        <c:axId val="193863680"/>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91249792"/>
        <c:crosses val="autoZero"/>
        <c:crossBetween val="between"/>
      </c:valAx>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'Sheet1'!$P$7</c:f>
              <c:strCache>
                <c:ptCount val="1"/>
                <c:pt idx="0">
                  <c:v>预算数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'Sheet1'!$Q$6:$R$6</c:f>
              <c:strCache>
                <c:ptCount val="2"/>
                <c:pt idx="0">
                  <c:v>收入</c:v>
                </c:pt>
                <c:pt idx="1">
                  <c:v>支出</c:v>
                </c:pt>
              </c:strCache>
            </c:strRef>
          </c:cat>
          <c:val>
            <c:numRef>
              <c:f>'Sheet1'!$Q$7:$R$7</c:f>
              <c:numCache>
                <c:formatCode>General</c:formatCode>
                <c:ptCount val="2"/>
                <c:pt idx="0">
                  <c:v>504.91</c:v>
                </c:pt>
                <c:pt idx="1">
                  <c:v>504.91</c:v>
                </c:pt>
              </c:numCache>
            </c:numRef>
          </c:val>
        </c:ser>
        <c:ser>
          <c:idx val="1"/>
          <c:order val="1"/>
          <c:tx>
            <c:strRef>
              <c:f>'Sheet1'!$P$8</c:f>
              <c:strCache>
                <c:ptCount val="1"/>
                <c:pt idx="0">
                  <c:v>决算数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'Sheet1'!$Q$6:$R$6</c:f>
              <c:strCache>
                <c:ptCount val="2"/>
                <c:pt idx="0">
                  <c:v>收入</c:v>
                </c:pt>
                <c:pt idx="1">
                  <c:v>支出</c:v>
                </c:pt>
              </c:strCache>
            </c:strRef>
          </c:cat>
          <c:val>
            <c:numRef>
              <c:f>'Sheet1'!$Q$8:$R$8</c:f>
              <c:numCache>
                <c:formatCode>General</c:formatCode>
                <c:ptCount val="2"/>
                <c:pt idx="0">
                  <c:v>915.780000000001</c:v>
                </c:pt>
                <c:pt idx="1">
                  <c:v>806.24</c:v>
                </c:pt>
              </c:numCache>
            </c:numRef>
          </c:val>
        </c:ser>
        <c:dLbls>
          <c:showLegendKey val="0"/>
          <c:showVal val="1"/>
          <c:showCatName val="0"/>
          <c:showSerName val="0"/>
          <c:showPercent val="0"/>
          <c:showBubbleSize val="0"/>
        </c:dLbls>
        <c:gapWidth val="150"/>
        <c:axId val="200696960"/>
        <c:axId val="201062272"/>
      </c:barChart>
      <c:catAx>
        <c:axId val="200696960"/>
        <c:scaling>
          <c:orientation val="minMax"/>
        </c:scaling>
        <c:delete val="0"/>
        <c:axPos val="b"/>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01062272"/>
        <c:crosses val="autoZero"/>
        <c:auto val="1"/>
        <c:lblAlgn val="ctr"/>
        <c:lblOffset val="100"/>
        <c:noMultiLvlLbl val="0"/>
      </c:catAx>
      <c:valAx>
        <c:axId val="201062272"/>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00696960"/>
        <c:crosses val="autoZero"/>
        <c:crossBetween val="between"/>
      </c:valAx>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p>
      </c:txPr>
    </c:title>
    <c:autoTitleDeleted val="0"/>
    <c:plotArea>
      <c:layout/>
      <c:pieChart>
        <c:varyColors val="1"/>
        <c:ser>
          <c:idx val="0"/>
          <c:order val="0"/>
          <c:tx>
            <c:strRef>
              <c:f>Sheet1!$B$1</c:f>
              <c:strCache>
                <c:ptCount val="1"/>
                <c:pt idx="0">
                  <c:v>支出</c:v>
                </c:pt>
              </c:strCache>
            </c:strRef>
          </c:tx>
          <c:explosion val="0"/>
          <c:dPt>
            <c:idx val="0"/>
            <c:bubble3D val="0"/>
          </c:dPt>
          <c:dPt>
            <c:idx val="1"/>
            <c:bubble3D val="0"/>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ext>
            </c:extLst>
          </c:dLbls>
          <c:cat>
            <c:strRef>
              <c:f>Sheet1!$A$2:$A$3</c:f>
              <c:strCache>
                <c:ptCount val="2"/>
                <c:pt idx="0">
                  <c:v>基本支出</c:v>
                </c:pt>
                <c:pt idx="1">
                  <c:v>项目支出</c:v>
                </c:pt>
              </c:strCache>
            </c:strRef>
          </c:cat>
          <c:val>
            <c:numRef>
              <c:f>Sheet1!$B$2:$B$3</c:f>
              <c:numCache>
                <c:formatCode>General</c:formatCode>
                <c:ptCount val="2"/>
                <c:pt idx="0">
                  <c:v>806.24</c:v>
                </c:pt>
                <c:pt idx="1">
                  <c:v>0</c:v>
                </c:pt>
              </c:numCache>
            </c:numRef>
          </c:val>
        </c:ser>
        <c:dLbls>
          <c:showLegendKey val="0"/>
          <c:showVal val="1"/>
          <c:showCatName val="0"/>
          <c:showSerName val="0"/>
          <c:showPercent val="0"/>
          <c:showBubbleSize val="0"/>
          <c:showLeaderLines val="1"/>
        </c:dLbls>
        <c:firstSliceAng val="0"/>
      </c:pieChart>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customShpInfo spid="_x0000_s1035"/>
    <customShpInfo spid="_x0000_s1036"/>
    <customShpInfo spid="_x0000_s1034"/>
    <customShpInfo spid="_x0000_s1032"/>
    <customShpInfo spid="_x0000_s1033"/>
    <customShpInfo spid="_x0000_s1031"/>
    <customShpInfo spid="_x0000_s1030"/>
    <customShpInfo spid="_x0000_s1028"/>
    <customShpInfo spid="_x0000_s1029"/>
    <customShpInfo spid="_x0000_s1027"/>
    <customShpInfo spid="_x0000_s1037"/>
    <customShpInfo spid="_x0000_s1038"/>
    <customShpInfo spid="_x0000_s1040"/>
    <customShpInfo spid="_x0000_s1041"/>
    <customShpInfo spid="_x0000_s1039"/>
    <customShpInfo spid="_x0000_s1043"/>
    <customShpInfo spid="_x0000_s1044"/>
    <customShpInfo spid="_x0000_s1042"/>
    <customShpInfo spid="_x0000_s1046"/>
    <customShpInfo spid="_x0000_s1047"/>
    <customShpInfo spid="_x0000_s1045"/>
    <customShpInfo spid="_x0000_s1049"/>
    <customShpInfo spid="_x0000_s1050"/>
    <customShpInfo spid="_x0000_s1048"/>
    <customShpInfo spid="_x0000_s1051"/>
    <customShpInfo spid="_x0000_s1053"/>
    <customShpInfo spid="_x0000_s1054"/>
    <customShpInfo spid="_x0000_s1052"/>
    <customShpInfo spid="_x0000_s1056"/>
    <customShpInfo spid="_x0000_s1057"/>
    <customShpInfo spid="_x0000_s1055"/>
    <customShpInfo spid="_x0000_s1059"/>
    <customShpInfo spid="_x0000_s1060"/>
    <customShpInfo spid="_x0000_s1058"/>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23</Pages>
  <Words>724</Words>
  <Characters>4128</Characters>
  <Lines>34</Lines>
  <Paragraphs>9</Paragraphs>
  <TotalTime>33</TotalTime>
  <ScaleCrop>false</ScaleCrop>
  <LinksUpToDate>false</LinksUpToDate>
  <CharactersWithSpaces>4843</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2019-10-31T09:52:00Z</dcterms:created>
  <dc:creator>Windows 用户</dc:creator>
  <cp:lastModifiedBy>windows</cp:lastModifiedBy>
  <dcterms:modified xsi:type="dcterms:W3CDTF">2021-09-24T07:33:18Z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