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rPr>
          <w:rFonts w:ascii="Times New Roman"/>
          <w:sz w:val="20"/>
        </w:rPr>
      </w:pPr>
    </w:p>
    <w:p>
      <w:pPr>
        <w:spacing w:before="217"/>
        <w:ind w:left="476" w:right="0" w:firstLine="0"/>
        <w:jc w:val="center"/>
        <w:rPr>
          <w:rFonts w:hint="eastAsia" w:ascii="黑体" w:eastAsia="黑体"/>
          <w:b/>
          <w:sz w:val="44"/>
        </w:rPr>
      </w:pPr>
      <w:r>
        <w:rPr>
          <w:rFonts w:hint="eastAsia" w:ascii="黑体" w:eastAsia="黑体"/>
          <w:b/>
          <w:sz w:val="44"/>
          <w:lang w:eastAsia="zh-CN"/>
        </w:rPr>
        <w:t>中国共产党石家庄市藁城区委员会政法委员会</w:t>
      </w:r>
      <w:r>
        <w:rPr>
          <w:rFonts w:hint="eastAsia" w:ascii="黑体" w:eastAsia="黑体"/>
          <w:b/>
          <w:sz w:val="44"/>
        </w:rPr>
        <w:t>部门年度绩效自评工作报告</w:t>
      </w:r>
    </w:p>
    <w:p>
      <w:pPr>
        <w:pStyle w:val="3"/>
        <w:bidi w:val="0"/>
        <w:rPr>
          <w:rFonts w:hint="eastAsia"/>
        </w:rPr>
      </w:pPr>
      <w:r>
        <w:rPr>
          <w:rFonts w:hint="eastAsia"/>
        </w:rPr>
        <w:t>一、</w:t>
      </w:r>
      <w:r>
        <w:rPr>
          <w:rFonts w:hint="eastAsia"/>
          <w:sz w:val="32"/>
          <w:szCs w:val="32"/>
        </w:rPr>
        <w:t>绩效自评工作组织开展情况</w:t>
      </w:r>
    </w:p>
    <w:p>
      <w:pPr>
        <w:pStyle w:val="4"/>
        <w:spacing w:before="212" w:line="360" w:lineRule="auto"/>
        <w:ind w:left="131" w:right="263" w:firstLine="640"/>
        <w:jc w:val="both"/>
        <w:rPr>
          <w:rFonts w:hint="eastAsia" w:ascii="仿宋_GB2312" w:hAnsi="仿宋_GB2312" w:eastAsia="仿宋_GB2312" w:cs="仿宋_GB2312"/>
          <w:spacing w:val="-7"/>
          <w:w w:val="95"/>
        </w:rPr>
      </w:pPr>
      <w:r>
        <w:rPr>
          <w:rFonts w:hint="eastAsia" w:ascii="仿宋_GB2312" w:hAnsi="仿宋_GB2312" w:eastAsia="仿宋_GB2312" w:cs="仿宋_GB2312"/>
          <w:spacing w:val="-7"/>
          <w:w w:val="95"/>
        </w:rPr>
        <w:t>按照《石家庄市财政局关于印发&lt;石家庄市实际部门项目绩效</w:t>
      </w:r>
      <w:r>
        <w:rPr>
          <w:rFonts w:hint="eastAsia" w:ascii="仿宋_GB2312" w:hAnsi="仿宋_GB2312" w:eastAsia="仿宋_GB2312" w:cs="仿宋_GB2312"/>
          <w:spacing w:val="-6"/>
        </w:rPr>
        <w:t>自评管理办法&gt;的通知》</w:t>
      </w:r>
      <w:r>
        <w:rPr>
          <w:rFonts w:hint="eastAsia" w:ascii="仿宋_GB2312" w:hAnsi="仿宋_GB2312" w:eastAsia="仿宋_GB2312" w:cs="仿宋_GB2312"/>
        </w:rPr>
        <w:t>（</w:t>
      </w:r>
      <w:r>
        <w:rPr>
          <w:rFonts w:hint="eastAsia" w:ascii="仿宋_GB2312" w:hAnsi="仿宋_GB2312" w:eastAsia="仿宋_GB2312" w:cs="仿宋_GB2312"/>
          <w:spacing w:val="-7"/>
          <w:w w:val="95"/>
        </w:rPr>
        <w:t>石财绩〔2020〕5 号）部署要求，我</w:t>
      </w:r>
      <w:r>
        <w:rPr>
          <w:rFonts w:hint="eastAsia" w:ascii="仿宋_GB2312" w:hAnsi="仿宋_GB2312" w:eastAsia="仿宋_GB2312" w:cs="仿宋_GB2312"/>
          <w:spacing w:val="-7"/>
          <w:w w:val="95"/>
          <w:lang w:eastAsia="zh-CN"/>
        </w:rPr>
        <w:t>委</w:t>
      </w:r>
      <w:r>
        <w:rPr>
          <w:rFonts w:hint="eastAsia" w:ascii="仿宋_GB2312" w:hAnsi="仿宋_GB2312" w:eastAsia="仿宋_GB2312" w:cs="仿宋_GB2312"/>
          <w:spacing w:val="-7"/>
          <w:w w:val="95"/>
        </w:rPr>
        <w:t>各相关部门召开会议，认真组织研究20</w:t>
      </w:r>
      <w:r>
        <w:rPr>
          <w:rFonts w:hint="eastAsia" w:ascii="仿宋_GB2312" w:hAnsi="仿宋_GB2312" w:eastAsia="仿宋_GB2312" w:cs="仿宋_GB2312"/>
          <w:spacing w:val="-7"/>
          <w:w w:val="95"/>
          <w:lang w:val="en-US" w:eastAsia="zh-CN"/>
        </w:rPr>
        <w:t>20</w:t>
      </w:r>
      <w:r>
        <w:rPr>
          <w:rFonts w:hint="eastAsia" w:ascii="仿宋_GB2312" w:hAnsi="仿宋_GB2312" w:eastAsia="仿宋_GB2312" w:cs="仿宋_GB2312"/>
          <w:spacing w:val="-7"/>
          <w:w w:val="95"/>
        </w:rPr>
        <w:t xml:space="preserve"> 年年度预算项目支出绩效评价的工作。此次自评工作，我</w:t>
      </w:r>
      <w:r>
        <w:rPr>
          <w:rFonts w:hint="eastAsia" w:ascii="仿宋_GB2312" w:hAnsi="仿宋_GB2312" w:eastAsia="仿宋_GB2312" w:cs="仿宋_GB2312"/>
          <w:spacing w:val="-7"/>
          <w:w w:val="95"/>
          <w:lang w:eastAsia="zh-CN"/>
        </w:rPr>
        <w:t>委</w:t>
      </w:r>
      <w:r>
        <w:rPr>
          <w:rFonts w:hint="eastAsia" w:ascii="仿宋_GB2312" w:hAnsi="仿宋_GB2312" w:eastAsia="仿宋_GB2312" w:cs="仿宋_GB2312"/>
          <w:spacing w:val="-7"/>
          <w:w w:val="95"/>
        </w:rPr>
        <w:t>成立了绩效自评工作组。自评工作中，每位自评组成员严格按照年初设立的项目绩效目标</w:t>
      </w:r>
      <w:r>
        <w:rPr>
          <w:rFonts w:hint="eastAsia" w:ascii="仿宋_GB2312" w:hAnsi="仿宋_GB2312" w:eastAsia="仿宋_GB2312" w:cs="仿宋_GB2312"/>
          <w:spacing w:val="-7"/>
          <w:w w:val="95"/>
          <w:lang w:eastAsia="zh-CN"/>
        </w:rPr>
        <w:t>和</w:t>
      </w:r>
      <w:r>
        <w:rPr>
          <w:rFonts w:hint="eastAsia" w:ascii="仿宋_GB2312" w:hAnsi="仿宋_GB2312" w:eastAsia="仿宋_GB2312" w:cs="仿宋_GB2312"/>
          <w:spacing w:val="-7"/>
          <w:w w:val="95"/>
        </w:rPr>
        <w:t>指标，对包括</w:t>
      </w:r>
      <w:r>
        <w:rPr>
          <w:rFonts w:hint="eastAsia" w:ascii="仿宋_GB2312" w:hAnsi="仿宋_GB2312" w:eastAsia="仿宋_GB2312" w:cs="仿宋_GB2312"/>
          <w:spacing w:val="-7"/>
          <w:w w:val="95"/>
          <w:lang w:val="en-US" w:eastAsia="zh-CN"/>
        </w:rPr>
        <w:t>政法四级网扩容升级项目</w:t>
      </w:r>
      <w:r>
        <w:rPr>
          <w:rFonts w:hint="eastAsia" w:ascii="仿宋_GB2312" w:hAnsi="仿宋_GB2312" w:eastAsia="仿宋_GB2312" w:cs="仿宋_GB2312"/>
          <w:spacing w:val="-7"/>
          <w:w w:val="95"/>
        </w:rPr>
        <w:t>经费在内的年初预算项目逐个项目逐项指标进行分析研究，得出此次自评结果。并按照通知要求，对我</w:t>
      </w:r>
      <w:r>
        <w:rPr>
          <w:rFonts w:hint="eastAsia" w:ascii="仿宋_GB2312" w:hAnsi="仿宋_GB2312" w:eastAsia="仿宋_GB2312" w:cs="仿宋_GB2312"/>
          <w:spacing w:val="-7"/>
          <w:w w:val="95"/>
          <w:lang w:eastAsia="zh-CN"/>
        </w:rPr>
        <w:t>委</w:t>
      </w:r>
      <w:r>
        <w:rPr>
          <w:rFonts w:hint="eastAsia" w:ascii="仿宋_GB2312" w:hAnsi="仿宋_GB2312" w:eastAsia="仿宋_GB2312" w:cs="仿宋_GB2312"/>
          <w:spacing w:val="-7"/>
          <w:w w:val="95"/>
        </w:rPr>
        <w:t>重点考核项目“</w:t>
      </w:r>
      <w:r>
        <w:rPr>
          <w:rFonts w:hint="eastAsia" w:ascii="仿宋_GB2312" w:hAnsi="仿宋_GB2312" w:eastAsia="仿宋_GB2312" w:cs="仿宋_GB2312"/>
          <w:spacing w:val="-7"/>
          <w:w w:val="95"/>
          <w:lang w:val="en-US" w:eastAsia="zh-CN"/>
        </w:rPr>
        <w:t>政法四级网扩容升级项目</w:t>
      </w:r>
      <w:r>
        <w:rPr>
          <w:rFonts w:hint="eastAsia" w:ascii="仿宋_GB2312" w:hAnsi="仿宋_GB2312" w:eastAsia="仿宋_GB2312" w:cs="仿宋_GB2312"/>
          <w:spacing w:val="-7"/>
          <w:w w:val="95"/>
        </w:rPr>
        <w:t>经费（金额2</w:t>
      </w:r>
      <w:r>
        <w:rPr>
          <w:rFonts w:hint="eastAsia" w:ascii="仿宋_GB2312" w:hAnsi="仿宋_GB2312" w:eastAsia="仿宋_GB2312" w:cs="仿宋_GB2312"/>
          <w:spacing w:val="-7"/>
          <w:w w:val="95"/>
          <w:lang w:val="en-US" w:eastAsia="zh-CN"/>
        </w:rPr>
        <w:t>94.07</w:t>
      </w:r>
      <w:r>
        <w:rPr>
          <w:rFonts w:hint="eastAsia" w:ascii="仿宋_GB2312" w:hAnsi="仿宋_GB2312" w:eastAsia="仿宋_GB2312" w:cs="仿宋_GB2312"/>
          <w:spacing w:val="-7"/>
          <w:w w:val="95"/>
        </w:rPr>
        <w:t>万元）”进行重点核查，并撰写自评报告。</w:t>
      </w:r>
    </w:p>
    <w:p>
      <w:pPr>
        <w:pStyle w:val="4"/>
        <w:spacing w:line="360" w:lineRule="auto"/>
        <w:ind w:left="771"/>
        <w:rPr>
          <w:rFonts w:hint="eastAsia" w:ascii="黑体" w:eastAsia="黑体"/>
        </w:rPr>
      </w:pPr>
      <w:r>
        <w:rPr>
          <w:rFonts w:hint="eastAsia" w:ascii="黑体" w:eastAsia="黑体"/>
        </w:rPr>
        <w:t>二、绩效目标实现情况</w:t>
      </w:r>
    </w:p>
    <w:p>
      <w:pPr>
        <w:pStyle w:val="4"/>
        <w:spacing w:before="212" w:line="360" w:lineRule="auto"/>
        <w:ind w:left="771"/>
        <w:rPr>
          <w:rFonts w:hint="eastAsia" w:ascii="仿宋_GB2312" w:hAnsi="仿宋_GB2312" w:eastAsia="仿宋_GB2312" w:cs="仿宋_GB2312"/>
          <w:b/>
          <w:bCs/>
        </w:rPr>
      </w:pPr>
      <w:r>
        <w:rPr>
          <w:rFonts w:hint="eastAsia" w:ascii="仿宋_GB2312" w:hAnsi="仿宋_GB2312" w:eastAsia="仿宋_GB2312" w:cs="仿宋_GB2312"/>
          <w:b/>
          <w:bCs/>
        </w:rPr>
        <w:t>1、整体绩效情况</w:t>
      </w:r>
    </w:p>
    <w:p>
      <w:pPr>
        <w:pStyle w:val="4"/>
        <w:spacing w:before="211" w:line="360" w:lineRule="auto"/>
        <w:ind w:left="131" w:right="102" w:firstLine="640"/>
        <w:rPr>
          <w:rFonts w:hint="eastAsia" w:ascii="仿宋_GB2312" w:hAnsi="仿宋_GB2312" w:eastAsia="仿宋_GB2312" w:cs="仿宋_GB2312"/>
          <w:lang w:eastAsia="zh-CN"/>
        </w:rPr>
      </w:pPr>
      <w:r>
        <w:rPr>
          <w:rFonts w:hint="eastAsia" w:ascii="仿宋_GB2312" w:hAnsi="仿宋_GB2312" w:eastAsia="仿宋_GB2312" w:cs="仿宋_GB2312"/>
          <w:spacing w:val="4"/>
        </w:rPr>
        <w:t>我部门项目绩效目标完成情况优秀，</w:t>
      </w:r>
      <w:r>
        <w:rPr>
          <w:rFonts w:hint="eastAsia" w:ascii="仿宋_GB2312" w:hAnsi="仿宋_GB2312" w:eastAsia="仿宋_GB2312" w:cs="仿宋_GB2312"/>
          <w:spacing w:val="4"/>
          <w:lang w:eastAsia="zh-CN"/>
        </w:rPr>
        <w:t>共计有综治经费、维稳经费、扫黑除恶经费、</w:t>
      </w:r>
      <w:r>
        <w:rPr>
          <w:rFonts w:hint="eastAsia" w:ascii="仿宋_GB2312" w:hAnsi="仿宋_GB2312" w:eastAsia="仿宋_GB2312" w:cs="仿宋_GB2312"/>
          <w:spacing w:val="4"/>
          <w:w w:val="95"/>
          <w:lang w:val="en-US" w:eastAsia="zh-CN"/>
        </w:rPr>
        <w:t>政法四级网扩容升级项目、铁路沿线视频监控系统建设等</w:t>
      </w:r>
      <w:r>
        <w:rPr>
          <w:rFonts w:hint="eastAsia" w:ascii="仿宋_GB2312" w:hAnsi="仿宋_GB2312" w:eastAsia="仿宋_GB2312" w:cs="仿宋_GB2312"/>
          <w:spacing w:val="4"/>
          <w:w w:val="95"/>
          <w:highlight w:val="none"/>
          <w:lang w:val="en-US" w:eastAsia="zh-CN"/>
        </w:rPr>
        <w:t>21</w:t>
      </w:r>
      <w:r>
        <w:rPr>
          <w:rFonts w:hint="eastAsia" w:ascii="仿宋_GB2312" w:hAnsi="仿宋_GB2312" w:eastAsia="仿宋_GB2312" w:cs="仿宋_GB2312"/>
          <w:spacing w:val="4"/>
          <w:highlight w:val="none"/>
          <w:lang w:val="en-US" w:eastAsia="zh-CN"/>
        </w:rPr>
        <w:t>个</w:t>
      </w:r>
      <w:r>
        <w:rPr>
          <w:rFonts w:hint="eastAsia" w:ascii="仿宋_GB2312" w:hAnsi="仿宋_GB2312" w:eastAsia="仿宋_GB2312" w:cs="仿宋_GB2312"/>
          <w:spacing w:val="4"/>
          <w:lang w:val="en-US" w:eastAsia="zh-CN"/>
        </w:rPr>
        <w:t>单个项目（包括2019年结转的市级国家司法救助资金95.2万元），其中</w:t>
      </w:r>
      <w:r>
        <w:rPr>
          <w:rFonts w:hint="eastAsia" w:ascii="仿宋_GB2312" w:hAnsi="仿宋_GB2312" w:eastAsia="仿宋_GB2312" w:cs="仿宋_GB2312"/>
          <w:spacing w:val="4"/>
        </w:rPr>
        <w:t>单个项目绩效自评得分</w:t>
      </w:r>
      <w:r>
        <w:rPr>
          <w:rFonts w:hint="eastAsia" w:ascii="仿宋_GB2312" w:hAnsi="仿宋_GB2312" w:eastAsia="仿宋_GB2312" w:cs="仿宋_GB2312"/>
          <w:spacing w:val="55"/>
        </w:rPr>
        <w:t>在</w:t>
      </w:r>
      <w:r>
        <w:rPr>
          <w:rFonts w:hint="eastAsia" w:ascii="仿宋_GB2312" w:hAnsi="仿宋_GB2312" w:eastAsia="仿宋_GB2312" w:cs="仿宋_GB2312"/>
        </w:rPr>
        <w:t>90</w:t>
      </w:r>
      <w:r>
        <w:rPr>
          <w:rFonts w:hint="eastAsia" w:ascii="仿宋_GB2312" w:hAnsi="仿宋_GB2312" w:eastAsia="仿宋_GB2312" w:cs="仿宋_GB2312"/>
          <w:spacing w:val="-11"/>
        </w:rPr>
        <w:t xml:space="preserve"> 分以上的有</w:t>
      </w:r>
      <w:r>
        <w:rPr>
          <w:rFonts w:hint="eastAsia" w:ascii="仿宋_GB2312" w:hAnsi="仿宋_GB2312" w:eastAsia="仿宋_GB2312" w:cs="仿宋_GB2312"/>
          <w:spacing w:val="-11"/>
          <w:highlight w:val="none"/>
          <w:lang w:val="en-US" w:eastAsia="zh-CN"/>
        </w:rPr>
        <w:t>21</w:t>
      </w:r>
      <w:r>
        <w:rPr>
          <w:rFonts w:hint="eastAsia" w:ascii="仿宋_GB2312" w:hAnsi="仿宋_GB2312" w:eastAsia="仿宋_GB2312" w:cs="仿宋_GB2312"/>
          <w:spacing w:val="-17"/>
        </w:rPr>
        <w:t>个，</w:t>
      </w:r>
      <w:r>
        <w:rPr>
          <w:rFonts w:hint="eastAsia" w:ascii="仿宋_GB2312" w:hAnsi="仿宋_GB2312" w:eastAsia="仿宋_GB2312" w:cs="仿宋_GB2312"/>
          <w:spacing w:val="-17"/>
          <w:lang w:eastAsia="zh-CN"/>
        </w:rPr>
        <w:t>绩效</w:t>
      </w:r>
      <w:r>
        <w:rPr>
          <w:rFonts w:hint="eastAsia" w:ascii="仿宋_GB2312" w:hAnsi="仿宋_GB2312" w:eastAsia="仿宋_GB2312" w:cs="仿宋_GB2312"/>
          <w:spacing w:val="-17"/>
        </w:rPr>
        <w:t>占所有参加绩效自评项目总数的</w:t>
      </w:r>
      <w:r>
        <w:rPr>
          <w:rFonts w:hint="eastAsia" w:ascii="仿宋_GB2312" w:hAnsi="仿宋_GB2312" w:eastAsia="仿宋_GB2312" w:cs="仿宋_GB2312"/>
          <w:spacing w:val="-17"/>
          <w:lang w:val="en-US" w:eastAsia="zh-CN"/>
        </w:rPr>
        <w:t>100</w:t>
      </w:r>
      <w:r>
        <w:rPr>
          <w:rFonts w:hint="eastAsia" w:ascii="仿宋_GB2312" w:hAnsi="仿宋_GB2312" w:eastAsia="仿宋_GB2312" w:cs="仿宋_GB2312"/>
        </w:rPr>
        <w:t>%。从整体看，我</w:t>
      </w:r>
      <w:r>
        <w:rPr>
          <w:rFonts w:hint="eastAsia" w:ascii="仿宋_GB2312" w:hAnsi="仿宋_GB2312" w:eastAsia="仿宋_GB2312" w:cs="仿宋_GB2312"/>
          <w:lang w:eastAsia="zh-CN"/>
        </w:rPr>
        <w:t>委</w:t>
      </w:r>
      <w:r>
        <w:rPr>
          <w:rFonts w:hint="eastAsia" w:ascii="仿宋_GB2312" w:hAnsi="仿宋_GB2312" w:eastAsia="仿宋_GB2312" w:cs="仿宋_GB2312"/>
        </w:rPr>
        <w:t>各部门项目工作开展情况良好。</w:t>
      </w:r>
      <w:r>
        <w:rPr>
          <w:rFonts w:hint="eastAsia" w:ascii="仿宋_GB2312" w:hAnsi="仿宋_GB2312" w:eastAsia="仿宋_GB2312" w:cs="仿宋_GB2312"/>
          <w:lang w:eastAsia="zh-CN"/>
        </w:rPr>
        <w:t>保障了我委各项工作的正常开展。很好地完成了年初设定的工作目标。具体实现情况如下：</w:t>
      </w:r>
    </w:p>
    <w:p>
      <w:pPr>
        <w:pStyle w:val="4"/>
        <w:spacing w:before="211" w:line="360" w:lineRule="auto"/>
        <w:ind w:left="131" w:right="102" w:firstLine="640"/>
        <w:rPr>
          <w:rFonts w:hint="eastAsia" w:ascii="仿宋_GB2312" w:hAnsi="仿宋_GB2312" w:eastAsia="仿宋_GB2312" w:cs="仿宋_GB2312"/>
          <w:spacing w:val="4"/>
          <w:sz w:val="32"/>
          <w:szCs w:val="32"/>
          <w:lang w:val="zh-CN" w:eastAsia="zh-CN" w:bidi="zh-CN"/>
        </w:rPr>
      </w:pPr>
      <w:r>
        <w:rPr>
          <w:rFonts w:hint="eastAsia" w:ascii="仿宋_GB2312" w:hAnsi="仿宋_GB2312" w:eastAsia="仿宋_GB2312" w:cs="仿宋_GB2312"/>
          <w:spacing w:val="4"/>
          <w:sz w:val="32"/>
          <w:szCs w:val="32"/>
          <w:lang w:val="zh-CN" w:eastAsia="zh-CN" w:bidi="zh-CN"/>
        </w:rPr>
        <w:t>（一）</w:t>
      </w:r>
      <w:r>
        <w:rPr>
          <w:rFonts w:hint="eastAsia" w:ascii="楷体_GB2312" w:hAnsi="楷体_GB2312" w:eastAsia="楷体_GB2312" w:cs="楷体_GB2312"/>
          <w:sz w:val="32"/>
          <w:szCs w:val="32"/>
          <w:lang w:val="en-US" w:eastAsia="zh-CN"/>
        </w:rPr>
        <w:t>坚持党对政法工作绝对领导</w:t>
      </w:r>
    </w:p>
    <w:p>
      <w:pPr>
        <w:pStyle w:val="11"/>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spacing w:val="4"/>
          <w:sz w:val="32"/>
          <w:szCs w:val="32"/>
          <w:lang w:val="zh-CN" w:eastAsia="zh-CN" w:bidi="zh-CN"/>
        </w:rPr>
      </w:pPr>
      <w:r>
        <w:rPr>
          <w:rFonts w:hint="eastAsia" w:ascii="仿宋" w:hAnsi="仿宋" w:eastAsia="仿宋" w:cs="仿宋_GB2312"/>
          <w:b/>
          <w:bCs/>
          <w:sz w:val="32"/>
          <w:szCs w:val="32"/>
          <w:lang w:eastAsia="zh-CN"/>
        </w:rPr>
        <w:t>一是</w:t>
      </w:r>
      <w:r>
        <w:rPr>
          <w:rFonts w:hint="eastAsia" w:ascii="仿宋_GB2312" w:hAnsi="仿宋_GB2312" w:eastAsia="仿宋_GB2312" w:cs="仿宋_GB2312"/>
          <w:sz w:val="32"/>
          <w:szCs w:val="32"/>
        </w:rPr>
        <w:t>旗帜鲜明讲政治，确保政法工作始终保持正确方向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lang w:val="en-US" w:eastAsia="zh-CN"/>
        </w:rPr>
        <w:t>二是</w:t>
      </w:r>
      <w:r>
        <w:rPr>
          <w:rFonts w:hint="eastAsia" w:ascii="仿宋_GB2312" w:hAnsi="仿宋" w:eastAsia="仿宋_GB2312"/>
          <w:sz w:val="32"/>
          <w:szCs w:val="32"/>
          <w:lang w:eastAsia="zh-CN"/>
        </w:rPr>
        <w:t>制定</w:t>
      </w:r>
      <w:r>
        <w:rPr>
          <w:rFonts w:hint="eastAsia" w:ascii="仿宋_GB2312" w:hAnsi="仿宋" w:eastAsia="仿宋_GB2312"/>
          <w:sz w:val="32"/>
          <w:szCs w:val="32"/>
        </w:rPr>
        <w:t>《关于在全</w:t>
      </w:r>
      <w:r>
        <w:rPr>
          <w:rFonts w:hint="eastAsia" w:ascii="仿宋_GB2312" w:hAnsi="仿宋" w:eastAsia="仿宋_GB2312"/>
          <w:sz w:val="32"/>
          <w:szCs w:val="32"/>
          <w:lang w:eastAsia="zh-CN"/>
        </w:rPr>
        <w:t>区</w:t>
      </w:r>
      <w:r>
        <w:rPr>
          <w:rFonts w:hint="eastAsia" w:ascii="仿宋_GB2312" w:hAnsi="仿宋" w:eastAsia="仿宋_GB2312"/>
          <w:sz w:val="32"/>
          <w:szCs w:val="32"/>
        </w:rPr>
        <w:t>政法系统开展“抓党建、带队建</w:t>
      </w:r>
      <w:r>
        <w:rPr>
          <w:rFonts w:hint="eastAsia" w:ascii="仿宋_GB2312" w:hAnsi="仿宋" w:eastAsia="仿宋_GB2312"/>
          <w:sz w:val="32"/>
          <w:szCs w:val="32"/>
          <w:lang w:eastAsia="zh-CN"/>
        </w:rPr>
        <w:t>，</w:t>
      </w:r>
      <w:r>
        <w:rPr>
          <w:rFonts w:hint="eastAsia" w:ascii="仿宋_GB2312" w:hAnsi="仿宋" w:eastAsia="仿宋_GB2312"/>
          <w:sz w:val="32"/>
          <w:szCs w:val="32"/>
        </w:rPr>
        <w:t>保平安</w:t>
      </w:r>
      <w:r>
        <w:rPr>
          <w:rFonts w:hint="eastAsia" w:ascii="仿宋_GB2312" w:hAnsi="仿宋" w:eastAsia="仿宋_GB2312"/>
          <w:sz w:val="32"/>
          <w:szCs w:val="32"/>
          <w:lang w:eastAsia="zh-CN"/>
        </w:rPr>
        <w:t>、促发展</w:t>
      </w:r>
      <w:r>
        <w:rPr>
          <w:rFonts w:hint="eastAsia" w:ascii="仿宋_GB2312" w:hAnsi="仿宋" w:eastAsia="仿宋_GB2312"/>
          <w:sz w:val="32"/>
          <w:szCs w:val="32"/>
        </w:rPr>
        <w:t>”活动的实施方案》</w:t>
      </w:r>
      <w:r>
        <w:rPr>
          <w:rFonts w:hint="eastAsia" w:ascii="仿宋_GB2312" w:hAnsi="仿宋" w:eastAsia="仿宋_GB2312"/>
          <w:sz w:val="32"/>
          <w:szCs w:val="32"/>
          <w:lang w:eastAsia="zh-CN"/>
        </w:rPr>
        <w:t>，</w:t>
      </w:r>
      <w:r>
        <w:rPr>
          <w:rFonts w:hint="eastAsia" w:ascii="仿宋_GB2312" w:hAnsi="仿宋_GB2312" w:eastAsia="仿宋_GB2312" w:cs="仿宋_GB2312"/>
          <w:b w:val="0"/>
          <w:bCs w:val="0"/>
          <w:sz w:val="32"/>
          <w:szCs w:val="32"/>
          <w:lang w:val="en-US" w:eastAsia="zh-CN"/>
        </w:rPr>
        <w:t>积极向上问计</w:t>
      </w:r>
      <w:r>
        <w:rPr>
          <w:rFonts w:hint="eastAsia" w:ascii="仿宋_GB2312" w:hAnsi="仿宋_GB2312" w:eastAsia="仿宋_GB2312" w:cs="仿宋_GB2312"/>
          <w:sz w:val="32"/>
          <w:szCs w:val="32"/>
          <w:lang w:val="en-US" w:eastAsia="zh-CN"/>
        </w:rPr>
        <w:t>。</w:t>
      </w:r>
      <w:r>
        <w:rPr>
          <w:rFonts w:hint="eastAsia" w:ascii="仿宋_GB2312" w:hAnsi="仿宋" w:eastAsia="仿宋_GB2312"/>
          <w:b/>
          <w:bCs/>
          <w:sz w:val="32"/>
          <w:szCs w:val="32"/>
          <w:lang w:eastAsia="zh-CN"/>
        </w:rPr>
        <w:t>三是</w:t>
      </w:r>
      <w:r>
        <w:rPr>
          <w:rFonts w:hint="eastAsia" w:ascii="仿宋_GB2312" w:hAnsi="仿宋" w:eastAsia="仿宋_GB2312"/>
          <w:b w:val="0"/>
          <w:bCs w:val="0"/>
          <w:sz w:val="32"/>
          <w:szCs w:val="32"/>
          <w:lang w:eastAsia="zh-CN"/>
        </w:rPr>
        <w:t>认真组织“</w:t>
      </w:r>
      <w:r>
        <w:rPr>
          <w:rFonts w:hint="eastAsia" w:ascii="仿宋_GB2312" w:hAnsi="仿宋_GB2312" w:eastAsia="仿宋_GB2312" w:cs="仿宋_GB2312"/>
          <w:bCs/>
          <w:snapToGrid w:val="0"/>
          <w:kern w:val="0"/>
          <w:sz w:val="32"/>
          <w:szCs w:val="32"/>
          <w:shd w:val="clear" w:color="auto" w:fill="FFFFFF"/>
          <w:lang w:eastAsia="zh-CN"/>
        </w:rPr>
        <w:t>亮出成绩单，大家来评判</w:t>
      </w:r>
      <w:r>
        <w:rPr>
          <w:rFonts w:hint="eastAsia" w:ascii="仿宋_GB2312" w:hAnsi="仿宋" w:eastAsia="仿宋_GB2312"/>
          <w:b w:val="0"/>
          <w:bCs w:val="0"/>
          <w:sz w:val="32"/>
          <w:szCs w:val="32"/>
          <w:lang w:eastAsia="zh-CN"/>
        </w:rPr>
        <w:t>”活动，</w:t>
      </w:r>
      <w:r>
        <w:rPr>
          <w:rFonts w:hint="eastAsia" w:ascii="仿宋_GB2312" w:eastAsia="仿宋_GB2312"/>
          <w:bCs/>
          <w:snapToGrid w:val="0"/>
          <w:spacing w:val="6"/>
          <w:kern w:val="0"/>
          <w:sz w:val="32"/>
          <w:szCs w:val="32"/>
          <w:shd w:val="clear" w:color="auto" w:fill="FFFFFF"/>
        </w:rPr>
        <w:t>努力打造</w:t>
      </w:r>
      <w:r>
        <w:rPr>
          <w:rFonts w:hint="eastAsia" w:ascii="仿宋_GB2312" w:eastAsia="仿宋_GB2312"/>
          <w:bCs/>
          <w:snapToGrid w:val="0"/>
          <w:spacing w:val="6"/>
          <w:kern w:val="0"/>
          <w:sz w:val="32"/>
          <w:szCs w:val="32"/>
          <w:shd w:val="clear" w:color="auto" w:fill="FFFFFF"/>
          <w:lang w:eastAsia="zh-CN"/>
        </w:rPr>
        <w:t>一支</w:t>
      </w:r>
      <w:r>
        <w:rPr>
          <w:rFonts w:hint="eastAsia" w:ascii="仿宋_GB2312" w:eastAsia="仿宋_GB2312"/>
          <w:bCs/>
          <w:snapToGrid w:val="0"/>
          <w:spacing w:val="6"/>
          <w:kern w:val="0"/>
          <w:sz w:val="32"/>
          <w:szCs w:val="32"/>
          <w:shd w:val="clear" w:color="auto" w:fill="FFFFFF"/>
        </w:rPr>
        <w:t>敢打必胜、善作善成的高素质干部队伍</w:t>
      </w:r>
      <w:r>
        <w:rPr>
          <w:rFonts w:hint="eastAsia" w:ascii="仿宋_GB2312" w:hAnsi="仿宋" w:eastAsia="仿宋_GB2312"/>
          <w:sz w:val="32"/>
          <w:szCs w:val="32"/>
          <w:lang w:eastAsia="zh-CN"/>
        </w:rPr>
        <w:t>。</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b w:val="0"/>
          <w:bCs w:val="0"/>
          <w:sz w:val="32"/>
          <w:szCs w:val="32"/>
          <w:lang w:val="en-US" w:eastAsia="zh-CN"/>
        </w:rPr>
        <w:t>为了弘扬正义，引导社会正能量，同时保护见义勇为权益</w:t>
      </w:r>
      <w:r>
        <w:rPr>
          <w:rFonts w:hint="eastAsia" w:ascii="仿宋_GB2312" w:hAnsi="仿宋_GB2312" w:eastAsia="仿宋_GB2312" w:cs="仿宋_GB2312"/>
          <w:b w:val="0"/>
          <w:bCs w:val="0"/>
          <w:spacing w:val="4"/>
          <w:sz w:val="32"/>
          <w:szCs w:val="32"/>
          <w:lang w:val="zh-CN" w:eastAsia="zh-CN" w:bidi="zh-CN"/>
        </w:rPr>
        <w:t>成</w:t>
      </w:r>
      <w:r>
        <w:rPr>
          <w:rFonts w:hint="eastAsia" w:ascii="仿宋_GB2312" w:hAnsi="仿宋_GB2312" w:eastAsia="仿宋_GB2312" w:cs="仿宋_GB2312"/>
          <w:spacing w:val="4"/>
          <w:sz w:val="32"/>
          <w:szCs w:val="32"/>
          <w:lang w:val="zh-CN" w:eastAsia="zh-CN" w:bidi="zh-CN"/>
        </w:rPr>
        <w:t>立了石家庄市藁城区见义勇为工作协会，为</w:t>
      </w:r>
      <w:r>
        <w:rPr>
          <w:rFonts w:hint="eastAsia" w:ascii="仿宋_GB2312" w:hAnsi="仿宋_GB2312" w:eastAsia="仿宋_GB2312" w:cs="仿宋_GB2312"/>
          <w:spacing w:val="4"/>
          <w:sz w:val="32"/>
          <w:szCs w:val="32"/>
          <w:lang w:val="en-US" w:eastAsia="zh-CN" w:bidi="zh-CN"/>
        </w:rPr>
        <w:t>2020年4月因见义勇为死亡人员周长江申报了见义勇为死亡人员一次性死亡救助金共计116.498万元，按照政策区级财政补助救助金额的20%共计23.3万元。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656" w:firstLineChars="200"/>
        <w:jc w:val="both"/>
        <w:textAlignment w:val="auto"/>
        <w:outlineLvl w:val="9"/>
        <w:rPr>
          <w:rFonts w:hint="eastAsia" w:ascii="仿宋_GB2312" w:hAnsi="仿宋_GB2312" w:eastAsia="仿宋_GB2312" w:cs="仿宋_GB2312"/>
          <w:spacing w:val="4"/>
          <w:sz w:val="32"/>
          <w:szCs w:val="32"/>
          <w:lang w:val="zh-CN" w:eastAsia="zh-CN" w:bidi="zh-CN"/>
        </w:rPr>
      </w:pPr>
      <w:r>
        <w:rPr>
          <w:rFonts w:hint="eastAsia" w:ascii="仿宋_GB2312" w:hAnsi="仿宋_GB2312" w:eastAsia="仿宋_GB2312" w:cs="仿宋_GB2312"/>
          <w:spacing w:val="4"/>
          <w:sz w:val="32"/>
          <w:szCs w:val="32"/>
          <w:lang w:val="zh-CN" w:eastAsia="zh-CN" w:bidi="zh-CN"/>
        </w:rPr>
        <w:t>（二）是全面做好社会稳定工作。</w:t>
      </w:r>
    </w:p>
    <w:p>
      <w:pPr>
        <w:spacing w:line="560" w:lineRule="exact"/>
        <w:ind w:firstLine="656" w:firstLineChars="200"/>
        <w:rPr>
          <w:rFonts w:hint="eastAsia" w:ascii="仿宋_GB2312" w:hAnsi="仿宋_GB2312" w:eastAsia="仿宋_GB2312" w:cs="仿宋_GB2312"/>
          <w:spacing w:val="4"/>
          <w:sz w:val="32"/>
          <w:szCs w:val="32"/>
          <w:lang w:val="zh-CN" w:eastAsia="zh-CN" w:bidi="zh-CN"/>
        </w:rPr>
      </w:pPr>
      <w:r>
        <w:rPr>
          <w:rFonts w:hint="eastAsia" w:ascii="仿宋_GB2312" w:hAnsi="仿宋_GB2312" w:eastAsia="仿宋_GB2312" w:cs="仿宋_GB2312"/>
          <w:spacing w:val="4"/>
          <w:sz w:val="32"/>
          <w:szCs w:val="32"/>
          <w:lang w:val="en-US" w:eastAsia="zh-CN" w:bidi="zh-CN"/>
        </w:rPr>
        <w:t>一、</w:t>
      </w:r>
      <w:r>
        <w:rPr>
          <w:rFonts w:hint="eastAsia" w:ascii="仿宋_GB2312" w:hAnsi="仿宋_GB2312" w:eastAsia="仿宋_GB2312" w:cs="仿宋_GB2312"/>
          <w:spacing w:val="4"/>
          <w:sz w:val="32"/>
          <w:szCs w:val="32"/>
          <w:lang w:val="zh-CN" w:eastAsia="zh-CN" w:bidi="zh-CN"/>
        </w:rPr>
        <w:t>对全区各类重点防控对象逐一落实人防、技防措施，把责任落实到具体单位和具体人，对重点管控对象早晚见面。</w:t>
      </w:r>
      <w:r>
        <w:rPr>
          <w:rFonts w:hint="eastAsia" w:ascii="仿宋_GB2312" w:hAnsi="仿宋_GB2312" w:eastAsia="仿宋_GB2312" w:cs="仿宋_GB2312"/>
          <w:spacing w:val="4"/>
          <w:sz w:val="32"/>
          <w:szCs w:val="32"/>
          <w:lang w:val="en-US" w:eastAsia="zh-CN" w:bidi="zh-CN"/>
        </w:rPr>
        <w:t>二、</w:t>
      </w:r>
      <w:r>
        <w:rPr>
          <w:rFonts w:hint="eastAsia" w:ascii="仿宋_GB2312" w:hAnsi="仿宋_GB2312" w:eastAsia="仿宋_GB2312" w:cs="仿宋_GB2312"/>
          <w:spacing w:val="4"/>
          <w:sz w:val="32"/>
          <w:szCs w:val="32"/>
          <w:lang w:val="zh-CN" w:eastAsia="zh-CN" w:bidi="zh-CN"/>
        </w:rPr>
        <w:t>对有进京意向的，要求包联单位耐心做好劝阻工作，确保稳控在当地。春节、全国“两会”、十九届五中全会、</w:t>
      </w:r>
      <w:r>
        <w:rPr>
          <w:rFonts w:hint="eastAsia" w:ascii="仿宋_GB2312" w:hAnsi="仿宋_GB2312" w:eastAsia="仿宋_GB2312" w:cs="仿宋_GB2312"/>
          <w:spacing w:val="4"/>
          <w:sz w:val="32"/>
          <w:szCs w:val="32"/>
          <w:highlight w:val="none"/>
          <w:lang w:val="zh-CN" w:eastAsia="zh-CN" w:bidi="zh-CN"/>
        </w:rPr>
        <w:t>国庆</w:t>
      </w:r>
      <w:r>
        <w:rPr>
          <w:rFonts w:hint="eastAsia" w:ascii="仿宋_GB2312" w:hAnsi="仿宋_GB2312" w:eastAsia="仿宋_GB2312" w:cs="仿宋_GB2312"/>
          <w:spacing w:val="4"/>
          <w:sz w:val="32"/>
          <w:szCs w:val="32"/>
          <w:lang w:val="zh-CN" w:eastAsia="zh-CN" w:bidi="zh-CN"/>
        </w:rPr>
        <w:t>等重大时间节点，没有出现重大问题，实现了“六个确保”的工作目标。</w:t>
      </w:r>
      <w:r>
        <w:rPr>
          <w:rFonts w:hint="eastAsia" w:ascii="仿宋_GB2312" w:hAnsi="仿宋_GB2312" w:eastAsia="仿宋_GB2312" w:cs="仿宋_GB2312"/>
          <w:spacing w:val="4"/>
          <w:sz w:val="32"/>
          <w:szCs w:val="32"/>
          <w:lang w:val="en-US" w:eastAsia="zh-CN" w:bidi="zh-CN"/>
        </w:rPr>
        <w:t>三、</w:t>
      </w:r>
      <w:r>
        <w:rPr>
          <w:rFonts w:hint="eastAsia" w:ascii="仿宋_GB2312" w:hAnsi="仿宋_GB2312" w:eastAsia="仿宋_GB2312" w:cs="仿宋_GB2312"/>
          <w:sz w:val="32"/>
          <w:szCs w:val="32"/>
        </w:rPr>
        <w:t>牵头成立</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疫情防控社会维稳组,统筹协调</w:t>
      </w:r>
      <w:r>
        <w:rPr>
          <w:rFonts w:hint="eastAsia" w:ascii="仿宋_GB2312" w:hAnsi="仿宋_GB2312" w:eastAsia="仿宋_GB2312" w:cs="仿宋_GB2312"/>
          <w:b w:val="0"/>
          <w:bCs w:val="0"/>
          <w:sz w:val="32"/>
          <w:szCs w:val="32"/>
          <w:lang w:val="en-US" w:eastAsia="zh-CN"/>
        </w:rPr>
        <w:t>疫情防控维稳工作。四、</w:t>
      </w:r>
      <w:r>
        <w:rPr>
          <w:rFonts w:hint="eastAsia" w:ascii="仿宋_GB2312" w:hAnsi="仿宋_GB2312" w:eastAsia="仿宋_GB2312" w:cs="仿宋_GB2312"/>
          <w:sz w:val="32"/>
          <w:szCs w:val="32"/>
          <w:lang w:eastAsia="zh-CN"/>
        </w:rPr>
        <w:t>做好</w:t>
      </w:r>
      <w:r>
        <w:rPr>
          <w:rFonts w:hint="eastAsia" w:ascii="仿宋_GB2312" w:hAnsi="仿宋_GB2312" w:eastAsia="仿宋_GB2312" w:cs="仿宋_GB2312"/>
          <w:bCs/>
          <w:color w:val="auto"/>
          <w:sz w:val="32"/>
          <w:szCs w:val="32"/>
          <w:lang w:eastAsia="zh-CN"/>
        </w:rPr>
        <w:t>社会治安稳定形势分析研判工作。</w:t>
      </w:r>
      <w:r>
        <w:rPr>
          <w:rFonts w:hint="eastAsia" w:ascii="仿宋_GB2312" w:hAnsi="仿宋_GB2312" w:eastAsia="仿宋_GB2312" w:cs="仿宋_GB2312"/>
          <w:bCs/>
          <w:color w:val="auto"/>
          <w:sz w:val="32"/>
          <w:szCs w:val="32"/>
          <w:lang w:val="en-US" w:eastAsia="zh-CN"/>
        </w:rPr>
        <w:t>五、维护了政治安全。</w:t>
      </w:r>
    </w:p>
    <w:p>
      <w:pPr>
        <w:pStyle w:val="4"/>
        <w:spacing w:before="211" w:line="360" w:lineRule="auto"/>
        <w:ind w:left="131" w:right="102" w:firstLine="640"/>
        <w:rPr>
          <w:rFonts w:hint="eastAsia" w:ascii="仿宋_GB2312" w:hAnsi="仿宋_GB2312" w:eastAsia="仿宋_GB2312" w:cs="仿宋_GB2312"/>
          <w:spacing w:val="4"/>
          <w:sz w:val="32"/>
          <w:szCs w:val="32"/>
          <w:lang w:val="zh-CN" w:eastAsia="zh-CN" w:bidi="zh-CN"/>
        </w:rPr>
      </w:pPr>
      <w:r>
        <w:rPr>
          <w:rFonts w:hint="eastAsia" w:ascii="仿宋_GB2312" w:hAnsi="仿宋_GB2312" w:eastAsia="仿宋_GB2312" w:cs="仿宋_GB2312"/>
          <w:spacing w:val="4"/>
          <w:sz w:val="32"/>
          <w:szCs w:val="32"/>
          <w:lang w:val="zh-CN" w:eastAsia="zh-CN" w:bidi="zh-CN"/>
        </w:rPr>
        <w:t>（三）是持续巩固社会治安综合治理水平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pacing w:val="4"/>
          <w:sz w:val="32"/>
          <w:szCs w:val="32"/>
          <w:highlight w:val="none"/>
          <w:lang w:val="zh-CN" w:eastAsia="zh-CN" w:bidi="zh-CN"/>
        </w:rPr>
      </w:pP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坚持和发展新时代“枫桥经验”，“三调联动”指挥中心建设初步建成，</w:t>
      </w:r>
      <w:r>
        <w:rPr>
          <w:rFonts w:hint="eastAsia" w:ascii="仿宋_GB2312" w:hAnsi="仿宋_GB2312" w:eastAsia="仿宋_GB2312" w:cs="仿宋_GB2312"/>
          <w:bCs/>
          <w:sz w:val="32"/>
          <w:szCs w:val="32"/>
        </w:rPr>
        <w:t>矛盾纠纷化解常态工作模式</w:t>
      </w:r>
      <w:r>
        <w:rPr>
          <w:rFonts w:hint="eastAsia" w:ascii="仿宋_GB2312" w:hAnsi="仿宋_GB2312" w:eastAsia="仿宋_GB2312" w:cs="仿宋_GB2312"/>
          <w:bCs/>
          <w:sz w:val="32"/>
          <w:szCs w:val="32"/>
          <w:lang w:eastAsia="zh-CN"/>
        </w:rPr>
        <w:t>日趋成熟。</w:t>
      </w:r>
      <w:r>
        <w:rPr>
          <w:rFonts w:hint="eastAsia" w:ascii="仿宋_GB2312" w:hAnsi="仿宋_GB2312" w:eastAsia="仿宋_GB2312" w:cs="仿宋_GB2312"/>
          <w:b w:val="0"/>
          <w:bCs w:val="0"/>
          <w:sz w:val="32"/>
          <w:szCs w:val="32"/>
          <w:lang w:eastAsia="zh-CN"/>
        </w:rPr>
        <w:t>截至目前，</w:t>
      </w:r>
      <w:r>
        <w:rPr>
          <w:rFonts w:hint="eastAsia" w:ascii="仿宋_GB2312" w:hAnsi="仿宋_GB2312" w:eastAsia="仿宋_GB2312" w:cs="仿宋_GB2312"/>
          <w:bCs/>
          <w:sz w:val="32"/>
          <w:szCs w:val="32"/>
          <w:lang w:eastAsia="zh-CN"/>
        </w:rPr>
        <w:t>共排查出</w:t>
      </w:r>
      <w:r>
        <w:rPr>
          <w:rFonts w:hint="eastAsia" w:ascii="仿宋_GB2312" w:hAnsi="仿宋_GB2312" w:eastAsia="仿宋_GB2312" w:cs="仿宋_GB2312"/>
          <w:bCs/>
          <w:sz w:val="32"/>
          <w:szCs w:val="32"/>
          <w:lang w:val="en-US" w:eastAsia="zh-CN"/>
        </w:rPr>
        <w:t>2221起，有效调处2188起，调处率为99%。二、为全区</w:t>
      </w:r>
      <w:r>
        <w:rPr>
          <w:rFonts w:hint="eastAsia" w:ascii="仿宋_GB2312" w:hAnsi="仿宋_GB2312" w:eastAsia="仿宋_GB2312" w:cs="仿宋_GB2312"/>
          <w:spacing w:val="4"/>
          <w:sz w:val="32"/>
          <w:szCs w:val="32"/>
          <w:highlight w:val="none"/>
          <w:lang w:val="en-US" w:eastAsia="zh-CN" w:bidi="zh-CN"/>
        </w:rPr>
        <w:t>784</w:t>
      </w:r>
      <w:r>
        <w:rPr>
          <w:rFonts w:hint="eastAsia" w:ascii="仿宋_GB2312" w:hAnsi="仿宋_GB2312" w:eastAsia="仿宋_GB2312" w:cs="仿宋_GB2312"/>
          <w:spacing w:val="4"/>
          <w:sz w:val="32"/>
          <w:szCs w:val="32"/>
          <w:highlight w:val="none"/>
          <w:lang w:val="zh-CN" w:eastAsia="zh-CN" w:bidi="zh-CN"/>
        </w:rPr>
        <w:t>名网格员配备手机终端服务费，</w:t>
      </w:r>
      <w:r>
        <w:rPr>
          <w:rFonts w:hint="eastAsia" w:ascii="仿宋_GB2312" w:hAnsi="仿宋_GB2312" w:eastAsia="仿宋_GB2312" w:cs="仿宋_GB2312"/>
          <w:b w:val="0"/>
          <w:bCs w:val="0"/>
          <w:sz w:val="32"/>
          <w:szCs w:val="32"/>
          <w:highlight w:val="none"/>
          <w:lang w:val="en-US" w:eastAsia="zh-CN"/>
        </w:rPr>
        <w:t>发</w:t>
      </w:r>
      <w:r>
        <w:rPr>
          <w:rFonts w:hint="eastAsia" w:ascii="仿宋_GB2312" w:hAnsi="仿宋_GB2312" w:eastAsia="仿宋_GB2312" w:cs="仿宋_GB2312"/>
          <w:b w:val="0"/>
          <w:bCs w:val="0"/>
          <w:sz w:val="32"/>
          <w:szCs w:val="32"/>
          <w:lang w:val="en-US" w:eastAsia="zh-CN"/>
        </w:rPr>
        <w:t>动网格员队伍参与社会治理，推进网格化服务管理建设</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sz w:val="32"/>
          <w:szCs w:val="32"/>
          <w:lang w:val="en-US" w:eastAsia="zh-CN"/>
        </w:rPr>
        <w:t>打造了一支784名在册网格员，4584名志愿者的信息采集队伍，实现全域覆盖无死角。</w:t>
      </w:r>
      <w:r>
        <w:rPr>
          <w:rFonts w:hint="eastAsia" w:ascii="仿宋_GB2312" w:hAnsi="仿宋_GB2312" w:eastAsia="仿宋_GB2312" w:cs="仿宋_GB2312"/>
          <w:b w:val="0"/>
          <w:bCs w:val="0"/>
          <w:color w:val="000000"/>
          <w:spacing w:val="0"/>
          <w:w w:val="100"/>
          <w:position w:val="0"/>
          <w:sz w:val="32"/>
          <w:szCs w:val="32"/>
          <w:lang w:eastAsia="zh-CN"/>
        </w:rPr>
        <w:t>截</w:t>
      </w:r>
      <w:r>
        <w:rPr>
          <w:rFonts w:hint="eastAsia" w:ascii="仿宋_GB2312" w:hAnsi="仿宋_GB2312" w:eastAsia="仿宋_GB2312" w:cs="仿宋_GB2312"/>
          <w:b w:val="0"/>
          <w:bCs w:val="0"/>
          <w:color w:val="000000"/>
          <w:spacing w:val="0"/>
          <w:w w:val="100"/>
          <w:position w:val="0"/>
          <w:sz w:val="32"/>
          <w:szCs w:val="32"/>
          <w:lang w:val="en-US" w:eastAsia="zh-CN"/>
        </w:rPr>
        <w:t>至</w:t>
      </w:r>
      <w:r>
        <w:rPr>
          <w:rFonts w:hint="eastAsia" w:ascii="仿宋_GB2312" w:hAnsi="仿宋_GB2312" w:eastAsia="仿宋_GB2312" w:cs="仿宋_GB2312"/>
          <w:b w:val="0"/>
          <w:bCs w:val="0"/>
          <w:color w:val="000000"/>
          <w:spacing w:val="0"/>
          <w:w w:val="100"/>
          <w:position w:val="0"/>
          <w:sz w:val="32"/>
          <w:szCs w:val="32"/>
          <w:lang w:eastAsia="zh-CN"/>
        </w:rPr>
        <w:t>目前，上报事件</w:t>
      </w:r>
      <w:r>
        <w:rPr>
          <w:rFonts w:hint="eastAsia" w:ascii="仿宋_GB2312" w:hAnsi="仿宋_GB2312" w:eastAsia="仿宋_GB2312" w:cs="仿宋_GB2312"/>
          <w:b w:val="0"/>
          <w:bCs w:val="0"/>
          <w:color w:val="000000"/>
          <w:spacing w:val="0"/>
          <w:w w:val="100"/>
          <w:position w:val="0"/>
          <w:sz w:val="32"/>
          <w:szCs w:val="32"/>
          <w:lang w:val="en-US" w:eastAsia="zh-CN"/>
        </w:rPr>
        <w:t>22000余件，全部得到有效回复和处置，三、</w:t>
      </w:r>
      <w:r>
        <w:rPr>
          <w:rFonts w:hint="eastAsia" w:ascii="仿宋_GB2312" w:hAnsi="仿宋_GB2312" w:eastAsia="仿宋_GB2312" w:cs="仿宋_GB2312"/>
          <w:b/>
          <w:bCs/>
          <w:sz w:val="32"/>
          <w:szCs w:val="32"/>
          <w:lang w:val="en-US" w:eastAsia="zh-CN"/>
        </w:rPr>
        <w:t>是</w:t>
      </w:r>
      <w:r>
        <w:rPr>
          <w:rFonts w:hint="eastAsia" w:ascii="仿宋_GB2312" w:hAnsi="仿宋_GB2312" w:eastAsia="仿宋_GB2312" w:cs="仿宋_GB2312"/>
          <w:b w:val="0"/>
          <w:bCs w:val="0"/>
          <w:sz w:val="32"/>
          <w:szCs w:val="32"/>
          <w:lang w:val="en-US" w:eastAsia="zh-CN"/>
        </w:rPr>
        <w:t>做好</w:t>
      </w:r>
      <w:r>
        <w:rPr>
          <w:rFonts w:hint="eastAsia" w:ascii="仿宋_GB2312" w:hAnsi="仿宋_GB2312" w:eastAsia="仿宋_GB2312" w:cs="仿宋_GB2312"/>
          <w:b w:val="0"/>
          <w:bCs w:val="0"/>
          <w:sz w:val="32"/>
          <w:szCs w:val="32"/>
          <w:lang w:eastAsia="zh-CN"/>
        </w:rPr>
        <w:t>精神障碍患者工作。</w:t>
      </w:r>
      <w:r>
        <w:rPr>
          <w:rFonts w:hint="eastAsia" w:ascii="仿宋_GB2312" w:hAnsi="仿宋_GB2312" w:eastAsia="仿宋_GB2312" w:cs="仿宋_GB2312"/>
          <w:sz w:val="32"/>
          <w:szCs w:val="32"/>
        </w:rPr>
        <w:t>我区</w:t>
      </w:r>
      <w:r>
        <w:rPr>
          <w:rFonts w:hint="eastAsia" w:ascii="仿宋_GB2312" w:hAnsi="仿宋_GB2312" w:eastAsia="仿宋_GB2312" w:cs="仿宋_GB2312"/>
          <w:sz w:val="32"/>
          <w:szCs w:val="32"/>
          <w:lang w:eastAsia="zh-CN"/>
        </w:rPr>
        <w:t>现有</w:t>
      </w:r>
      <w:r>
        <w:rPr>
          <w:rFonts w:hint="eastAsia" w:ascii="仿宋_GB2312" w:hAnsi="仿宋_GB2312" w:eastAsia="仿宋_GB2312" w:cs="仿宋_GB2312"/>
          <w:sz w:val="32"/>
          <w:szCs w:val="32"/>
        </w:rPr>
        <w:t>在册在管精神障碍患者3</w:t>
      </w:r>
      <w:r>
        <w:rPr>
          <w:rFonts w:hint="eastAsia" w:ascii="仿宋_GB2312" w:hAnsi="仿宋_GB2312" w:eastAsia="仿宋_GB2312" w:cs="仿宋_GB2312"/>
          <w:sz w:val="32"/>
          <w:szCs w:val="32"/>
          <w:lang w:val="en-US" w:eastAsia="zh-CN"/>
        </w:rPr>
        <w:t>686</w:t>
      </w:r>
      <w:r>
        <w:rPr>
          <w:rFonts w:hint="eastAsia" w:ascii="仿宋_GB2312" w:hAnsi="仿宋_GB2312" w:eastAsia="仿宋_GB2312" w:cs="仿宋_GB2312"/>
          <w:sz w:val="32"/>
          <w:szCs w:val="32"/>
        </w:rPr>
        <w:t>名，</w:t>
      </w:r>
      <w:r>
        <w:rPr>
          <w:rFonts w:hint="eastAsia" w:ascii="仿宋_GB2312" w:hAnsi="仿宋_GB2312" w:eastAsia="仿宋_GB2312" w:cs="仿宋_GB2312"/>
          <w:sz w:val="32"/>
          <w:szCs w:val="32"/>
          <w:lang w:val="en-US" w:eastAsia="zh-CN"/>
        </w:rPr>
        <w:t>已全部建立</w:t>
      </w:r>
      <w:r>
        <w:rPr>
          <w:rFonts w:hint="eastAsia" w:ascii="仿宋_GB2312" w:hAnsi="仿宋_GB2312" w:eastAsia="仿宋_GB2312" w:cs="仿宋_GB2312"/>
          <w:sz w:val="32"/>
          <w:szCs w:val="32"/>
        </w:rPr>
        <w:t>健康档案</w:t>
      </w:r>
      <w:r>
        <w:rPr>
          <w:rFonts w:hint="eastAsia" w:ascii="仿宋_GB2312" w:hAnsi="仿宋_GB2312" w:eastAsia="仿宋_GB2312" w:cs="仿宋_GB2312"/>
          <w:sz w:val="32"/>
          <w:szCs w:val="32"/>
          <w:lang w:val="en-US" w:eastAsia="zh-CN"/>
        </w:rPr>
        <w:t>并</w:t>
      </w:r>
      <w:r>
        <w:rPr>
          <w:rFonts w:hint="eastAsia" w:ascii="仿宋_GB2312" w:hAnsi="仿宋_GB2312" w:eastAsia="仿宋_GB2312" w:cs="仿宋_GB2312"/>
          <w:sz w:val="32"/>
          <w:szCs w:val="32"/>
        </w:rPr>
        <w:t>定期随访、准确评估、分类干预，</w:t>
      </w:r>
      <w:r>
        <w:rPr>
          <w:rFonts w:hint="eastAsia" w:ascii="仿宋_GB2312" w:hAnsi="仿宋_GB2312" w:eastAsia="仿宋_GB2312" w:cs="仿宋_GB2312"/>
          <w:sz w:val="32"/>
          <w:szCs w:val="32"/>
          <w:lang w:val="en-US" w:eastAsia="zh-CN"/>
        </w:rPr>
        <w:t>及时完成监护人责任险投保续保工作，并且对88名严重精神障碍患者落实“以奖代补”政策。今年以来，我区未发生精神障碍患者肇事肇祸案（事）件。四、</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spacing w:val="4"/>
          <w:sz w:val="32"/>
          <w:szCs w:val="32"/>
          <w:highlight w:val="none"/>
          <w:lang w:val="en-US" w:eastAsia="zh-CN" w:bidi="zh-CN"/>
        </w:rPr>
        <w:t>全面提升基层社会治理现代化水平。</w:t>
      </w:r>
      <w:r>
        <w:rPr>
          <w:rFonts w:hint="eastAsia" w:ascii="仿宋_GB2312" w:hAnsi="仿宋_GB2312" w:eastAsia="仿宋_GB2312" w:cs="仿宋_GB2312"/>
          <w:spacing w:val="4"/>
          <w:sz w:val="32"/>
          <w:szCs w:val="32"/>
          <w:highlight w:val="none"/>
          <w:lang w:val="zh-CN" w:eastAsia="zh-CN" w:bidi="zh-CN"/>
        </w:rPr>
        <w:t>政法四级网升级改造完成；铁路监控视频系统建设完成，同时</w:t>
      </w:r>
      <w:r>
        <w:rPr>
          <w:rFonts w:hint="eastAsia" w:ascii="仿宋_GB2312" w:hAnsi="仿宋_GB2312" w:eastAsia="仿宋_GB2312" w:cs="仿宋_GB2312"/>
          <w:b w:val="0"/>
          <w:bCs w:val="0"/>
          <w:color w:val="auto"/>
          <w:sz w:val="32"/>
          <w:szCs w:val="32"/>
          <w:highlight w:val="none"/>
          <w:lang w:val="en-US" w:eastAsia="zh-CN"/>
        </w:rPr>
        <w:t>推进乡镇综合指挥和信息化网络中心建设。</w:t>
      </w:r>
      <w:r>
        <w:rPr>
          <w:rFonts w:hint="eastAsia" w:ascii="仿宋_GB2312" w:hAnsi="仿宋_GB2312" w:eastAsia="仿宋_GB2312" w:cs="仿宋_GB2312"/>
          <w:color w:val="auto"/>
          <w:sz w:val="32"/>
          <w:szCs w:val="32"/>
          <w:highlight w:val="none"/>
          <w:lang w:eastAsia="zh-CN"/>
        </w:rPr>
        <w:t>各乡镇中心基础设施建设已完成，同时</w:t>
      </w:r>
      <w:r>
        <w:rPr>
          <w:rFonts w:hint="eastAsia" w:ascii="仿宋_GB2312" w:hAnsi="仿宋_GB2312" w:eastAsia="仿宋_GB2312" w:cs="仿宋_GB2312"/>
          <w:spacing w:val="4"/>
          <w:sz w:val="32"/>
          <w:szCs w:val="32"/>
          <w:highlight w:val="none"/>
          <w:lang w:val="zh-CN" w:eastAsia="zh-CN" w:bidi="zh-CN"/>
        </w:rPr>
        <w:t>在区财政大力支持下，综治视联网向村级铺设，目前全区</w:t>
      </w:r>
      <w:r>
        <w:rPr>
          <w:rFonts w:hint="eastAsia" w:ascii="仿宋_GB2312" w:hAnsi="仿宋_GB2312" w:eastAsia="仿宋_GB2312" w:cs="仿宋_GB2312"/>
          <w:b w:val="0"/>
          <w:bCs w:val="0"/>
          <w:color w:val="auto"/>
          <w:sz w:val="32"/>
          <w:szCs w:val="32"/>
          <w:highlight w:val="none"/>
          <w:lang w:val="en-US" w:eastAsia="zh-CN"/>
        </w:rPr>
        <w:t>226个村</w:t>
      </w:r>
      <w:r>
        <w:rPr>
          <w:rFonts w:hint="eastAsia" w:ascii="仿宋_GB2312" w:hAnsi="仿宋_GB2312" w:eastAsia="仿宋_GB2312" w:cs="仿宋_GB2312"/>
          <w:spacing w:val="4"/>
          <w:sz w:val="32"/>
          <w:szCs w:val="32"/>
          <w:highlight w:val="none"/>
          <w:lang w:val="zh-CN" w:eastAsia="zh-CN" w:bidi="zh-CN"/>
        </w:rPr>
        <w:t>投入使用</w:t>
      </w:r>
      <w:r>
        <w:rPr>
          <w:rFonts w:hint="eastAsia" w:ascii="仿宋_GB2312" w:hAnsi="仿宋_GB2312" w:eastAsia="仿宋_GB2312" w:cs="仿宋_GB2312"/>
          <w:b w:val="0"/>
          <w:bCs w:val="0"/>
          <w:color w:val="auto"/>
          <w:sz w:val="32"/>
          <w:szCs w:val="32"/>
          <w:highlight w:val="none"/>
          <w:lang w:val="en-US" w:eastAsia="zh-CN"/>
        </w:rPr>
        <w:t>、14个重点部门也安装视联网系统，实现了区、镇、村视联系统横向、纵向全覆盖。五、</w:t>
      </w:r>
      <w:r>
        <w:rPr>
          <w:rFonts w:hint="eastAsia" w:ascii="仿宋_GB2312" w:hAnsi="仿宋_GB2312" w:eastAsia="仿宋_GB2312" w:cs="仿宋_GB2312"/>
          <w:spacing w:val="4"/>
          <w:sz w:val="32"/>
          <w:szCs w:val="32"/>
          <w:highlight w:val="none"/>
          <w:lang w:val="zh-CN" w:eastAsia="zh-CN" w:bidi="zh-CN"/>
        </w:rPr>
        <w:t>是整治铁路沿线安全隐患，圆满完成全国两会、十九届五中全会、国庆等重要时间节点期间铁路护路任务。</w:t>
      </w:r>
    </w:p>
    <w:p>
      <w:pPr>
        <w:spacing w:line="560" w:lineRule="exact"/>
        <w:ind w:firstLine="656" w:firstLineChars="200"/>
        <w:rPr>
          <w:rFonts w:hint="eastAsia" w:ascii="仿宋_GB2312" w:hAnsi="仿宋_GB2312" w:eastAsia="仿宋_GB2312" w:cs="仿宋_GB2312"/>
          <w:spacing w:val="4"/>
          <w:sz w:val="32"/>
          <w:szCs w:val="32"/>
          <w:lang w:val="zh-CN" w:eastAsia="zh-CN" w:bidi="zh-CN"/>
        </w:rPr>
      </w:pPr>
      <w:r>
        <w:rPr>
          <w:rFonts w:hint="eastAsia" w:ascii="仿宋_GB2312" w:hAnsi="仿宋_GB2312" w:eastAsia="仿宋_GB2312" w:cs="仿宋_GB2312"/>
          <w:spacing w:val="4"/>
          <w:sz w:val="32"/>
          <w:szCs w:val="32"/>
          <w:lang w:val="zh-CN" w:eastAsia="zh-CN" w:bidi="zh-CN"/>
        </w:rPr>
        <w:t>（四）全力做好涉法涉诉工作。</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由政法委统一管理，组织政法各部门派员入驻涉法涉诉接访中心，加大接待窗口建设，开通了视频接访、电话接访、网上接访系统，引进了律师常驻中心参与信访案件办理。</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制定了《涉法涉诉信访存疑案件法律监督流程》，对政法单位主管领导及办案人员进行信访听证业务培训</w:t>
      </w:r>
      <w:r>
        <w:rPr>
          <w:rFonts w:hint="eastAsia" w:ascii="仿宋_GB2312" w:hAnsi="仿宋_GB2312" w:eastAsia="仿宋_GB2312" w:cs="仿宋_GB2312"/>
          <w:sz w:val="32"/>
          <w:szCs w:val="32"/>
          <w:lang w:val="en-US" w:eastAsia="zh-CN"/>
        </w:rPr>
        <w:t>。</w:t>
      </w:r>
    </w:p>
    <w:p>
      <w:pPr>
        <w:spacing w:line="560" w:lineRule="exact"/>
        <w:ind w:firstLine="656" w:firstLineChars="200"/>
        <w:rPr>
          <w:rFonts w:hint="eastAsia" w:ascii="仿宋_GB2312" w:hAnsi="仿宋_GB2312" w:eastAsia="仿宋_GB2312" w:cs="仿宋_GB2312"/>
          <w:spacing w:val="4"/>
          <w:sz w:val="32"/>
          <w:szCs w:val="32"/>
          <w:lang w:val="zh-CN" w:eastAsia="zh-CN" w:bidi="zh-CN"/>
        </w:rPr>
      </w:pPr>
      <w:r>
        <w:rPr>
          <w:rFonts w:hint="eastAsia" w:ascii="仿宋_GB2312" w:hAnsi="仿宋_GB2312" w:eastAsia="仿宋_GB2312" w:cs="仿宋_GB2312"/>
          <w:spacing w:val="4"/>
          <w:sz w:val="32"/>
          <w:szCs w:val="32"/>
          <w:lang w:val="zh-CN" w:eastAsia="zh-CN" w:bidi="zh-CN"/>
        </w:rPr>
        <w:t>精准地开展司法救助工作。认真落实《河北省建立完善国家司法救助制度实施办法（修订）》冀政法字【2019】17号文件精神，成立藁城区国家司法救助领导小组。司法救助工作的精准落实为涉法涉诉信访案件的处理起到了积极的推进作用。</w:t>
      </w:r>
    </w:p>
    <w:p>
      <w:pPr>
        <w:spacing w:line="560" w:lineRule="exact"/>
        <w:ind w:firstLine="656" w:firstLineChars="200"/>
        <w:rPr>
          <w:rFonts w:hint="eastAsia" w:ascii="仿宋_GB2312" w:hAnsi="仿宋_GB2312" w:eastAsia="仿宋_GB2312" w:cs="仿宋_GB2312"/>
          <w:spacing w:val="4"/>
          <w:sz w:val="32"/>
          <w:szCs w:val="32"/>
          <w:lang w:val="zh-CN" w:eastAsia="zh-CN" w:bidi="zh-CN"/>
        </w:rPr>
      </w:pPr>
      <w:r>
        <w:rPr>
          <w:rFonts w:hint="eastAsia" w:ascii="仿宋_GB2312" w:hAnsi="仿宋_GB2312" w:eastAsia="仿宋_GB2312" w:cs="仿宋_GB2312"/>
          <w:spacing w:val="4"/>
          <w:sz w:val="32"/>
          <w:szCs w:val="32"/>
          <w:lang w:val="zh-CN" w:eastAsia="zh-CN" w:bidi="zh-CN"/>
        </w:rPr>
        <w:t>（五）扫黑除恶专项斗争不断深入。我区始终坚持较高政治站位，精心谋划推进、广泛宣传发动、强化队伍建设、完善体制机制、依法严厉打击、扎实推进“无黑”城区平安藁城建设、认真落实整改“回头看”、开展专项整治、建立长效机制等一系列工作措施，有效打击了涉黑涉恶犯罪。</w:t>
      </w:r>
    </w:p>
    <w:p>
      <w:pPr>
        <w:pStyle w:val="4"/>
        <w:spacing w:line="360" w:lineRule="auto"/>
        <w:ind w:firstLine="640" w:firstLineChars="200"/>
        <w:rPr>
          <w:rFonts w:hint="eastAsia" w:ascii="仿宋_GB2312" w:hAnsi="仿宋_GB2312" w:eastAsia="仿宋_GB2312" w:cs="仿宋_GB2312"/>
        </w:rPr>
      </w:pPr>
      <w:r>
        <w:rPr>
          <w:rFonts w:hint="eastAsia" w:ascii="仿宋_GB2312" w:hAnsi="仿宋_GB2312" w:eastAsia="仿宋_GB2312" w:cs="仿宋_GB2312"/>
        </w:rPr>
        <w:t>2、重点项目情况</w:t>
      </w:r>
    </w:p>
    <w:p>
      <w:pPr>
        <w:pStyle w:val="4"/>
        <w:spacing w:line="360" w:lineRule="auto"/>
        <w:ind w:firstLine="624" w:firstLineChars="200"/>
      </w:pPr>
      <w:r>
        <w:rPr>
          <w:rFonts w:hint="eastAsia" w:ascii="仿宋_GB2312" w:hAnsi="仿宋_GB2312" w:eastAsia="仿宋_GB2312" w:cs="仿宋_GB2312"/>
          <w:spacing w:val="4"/>
          <w:w w:val="95"/>
        </w:rPr>
        <w:t>其中重点考核项目</w:t>
      </w:r>
      <w:r>
        <w:rPr>
          <w:rFonts w:hint="eastAsia" w:ascii="仿宋_GB2312" w:hAnsi="仿宋_GB2312" w:eastAsia="仿宋_GB2312" w:cs="仿宋_GB2312"/>
          <w:spacing w:val="4"/>
          <w:w w:val="95"/>
          <w:lang w:val="en-US" w:eastAsia="zh-CN"/>
        </w:rPr>
        <w:t>政法四级网扩容升级项目自评综述：根据年初设定的绩效目标，政法四级网扩容升级项目自评得分97分（绩效自评附后）</w:t>
      </w:r>
      <w:r>
        <w:rPr>
          <w:rFonts w:hint="eastAsia" w:ascii="仿宋_GB2312" w:hAnsi="仿宋_GB2312" w:eastAsia="仿宋_GB2312" w:cs="仿宋_GB2312"/>
          <w:spacing w:val="4"/>
          <w:w w:val="95"/>
        </w:rPr>
        <w:t>年初预算金额</w:t>
      </w:r>
      <w:r>
        <w:rPr>
          <w:rFonts w:hint="eastAsia" w:ascii="仿宋_GB2312" w:hAnsi="仿宋_GB2312" w:eastAsia="仿宋_GB2312" w:cs="仿宋_GB2312"/>
          <w:lang w:val="en-US" w:eastAsia="zh-CN"/>
        </w:rPr>
        <w:t>294.07</w:t>
      </w:r>
      <w:r>
        <w:rPr>
          <w:rFonts w:hint="eastAsia" w:ascii="仿宋_GB2312" w:hAnsi="仿宋_GB2312" w:eastAsia="仿宋_GB2312" w:cs="仿宋_GB2312"/>
          <w:spacing w:val="-29"/>
        </w:rPr>
        <w:t xml:space="preserve">万元，执行数 </w:t>
      </w:r>
      <w:r>
        <w:rPr>
          <w:rFonts w:hint="eastAsia" w:ascii="仿宋_GB2312" w:hAnsi="仿宋_GB2312" w:eastAsia="仿宋_GB2312" w:cs="仿宋_GB2312"/>
          <w:lang w:val="en-US" w:eastAsia="zh-CN"/>
        </w:rPr>
        <w:t>294.07</w:t>
      </w:r>
      <w:r>
        <w:rPr>
          <w:rFonts w:hint="eastAsia" w:ascii="仿宋_GB2312" w:hAnsi="仿宋_GB2312" w:eastAsia="仿宋_GB2312" w:cs="仿宋_GB2312"/>
          <w:spacing w:val="-28"/>
        </w:rPr>
        <w:t xml:space="preserve"> </w:t>
      </w:r>
      <w:r>
        <w:rPr>
          <w:rFonts w:hint="eastAsia" w:ascii="仿宋_GB2312" w:hAnsi="仿宋_GB2312" w:eastAsia="仿宋_GB2312" w:cs="仿宋_GB2312"/>
          <w:spacing w:val="-14"/>
        </w:rPr>
        <w:t>万元，</w:t>
      </w:r>
      <w:r>
        <w:rPr>
          <w:rFonts w:hint="eastAsia" w:ascii="仿宋_GB2312" w:hAnsi="仿宋_GB2312" w:eastAsia="仿宋_GB2312" w:cs="仿宋_GB2312"/>
          <w:spacing w:val="-14"/>
          <w:lang w:eastAsia="zh-CN"/>
        </w:rPr>
        <w:t>预算执行率</w:t>
      </w:r>
      <w:r>
        <w:rPr>
          <w:rFonts w:hint="eastAsia" w:ascii="仿宋_GB2312" w:hAnsi="仿宋_GB2312" w:eastAsia="仿宋_GB2312" w:cs="仿宋_GB2312"/>
          <w:spacing w:val="-14"/>
          <w:lang w:val="en-US" w:eastAsia="zh-CN"/>
        </w:rPr>
        <w:t>100%</w:t>
      </w:r>
      <w:r>
        <w:rPr>
          <w:rFonts w:hint="eastAsia" w:ascii="仿宋_GB2312" w:hAnsi="仿宋_GB2312" w:eastAsia="仿宋_GB2312" w:cs="仿宋_GB2312"/>
          <w:spacing w:val="4"/>
          <w:w w:val="95"/>
        </w:rPr>
        <w:t>。</w:t>
      </w:r>
      <w:r>
        <w:rPr>
          <w:rFonts w:hint="eastAsia" w:ascii="仿宋_GB2312" w:hAnsi="仿宋_GB2312" w:eastAsia="仿宋_GB2312" w:cs="仿宋_GB2312"/>
          <w:spacing w:val="4"/>
          <w:w w:val="95"/>
          <w:lang w:eastAsia="zh-CN"/>
        </w:rPr>
        <w:t>项目绩效目标完成情况：</w:t>
      </w:r>
      <w:r>
        <w:rPr>
          <w:rFonts w:hint="eastAsia" w:ascii="仿宋_GB2312" w:hAnsi="仿宋_GB2312" w:eastAsia="仿宋_GB2312" w:cs="仿宋_GB2312"/>
          <w:spacing w:val="4"/>
          <w:w w:val="95"/>
        </w:rPr>
        <w:t>我区四级网承载着县乡各政法单位之间的业务数据，横向覆盖藁城区政法部门四个单位，纵向连接各乡镇政法部门，</w:t>
      </w:r>
      <w:r>
        <w:rPr>
          <w:rFonts w:hint="eastAsia" w:ascii="仿宋_GB2312" w:hAnsi="仿宋_GB2312" w:eastAsia="仿宋_GB2312" w:cs="仿宋_GB2312"/>
          <w:spacing w:val="4"/>
          <w:w w:val="95"/>
          <w:lang w:val="en-US" w:eastAsia="zh-CN"/>
        </w:rPr>
        <w:t>2020年完成</w:t>
      </w:r>
      <w:r>
        <w:rPr>
          <w:rFonts w:hint="eastAsia" w:ascii="仿宋_GB2312" w:hAnsi="仿宋_GB2312" w:eastAsia="仿宋_GB2312" w:cs="仿宋_GB2312"/>
          <w:spacing w:val="4"/>
          <w:w w:val="95"/>
        </w:rPr>
        <w:t>公安、法院，司法，政法和乡镇综治办共66个节点</w:t>
      </w:r>
      <w:r>
        <w:rPr>
          <w:rFonts w:hint="eastAsia" w:ascii="仿宋_GB2312" w:hAnsi="仿宋_GB2312" w:eastAsia="仿宋_GB2312" w:cs="仿宋_GB2312"/>
          <w:spacing w:val="4"/>
          <w:w w:val="95"/>
          <w:lang w:eastAsia="zh-CN"/>
        </w:rPr>
        <w:t>的建设</w:t>
      </w:r>
      <w:r>
        <w:rPr>
          <w:rFonts w:hint="eastAsia" w:ascii="仿宋_GB2312" w:hAnsi="仿宋_GB2312" w:eastAsia="仿宋_GB2312" w:cs="仿宋_GB2312"/>
          <w:spacing w:val="4"/>
          <w:w w:val="95"/>
        </w:rPr>
        <w:t>，</w:t>
      </w:r>
      <w:r>
        <w:rPr>
          <w:rFonts w:hint="eastAsia" w:ascii="仿宋_GB2312" w:hAnsi="仿宋_GB2312" w:eastAsia="仿宋_GB2312" w:cs="仿宋_GB2312"/>
          <w:spacing w:val="4"/>
          <w:w w:val="95"/>
          <w:lang w:eastAsia="zh-CN"/>
        </w:rPr>
        <w:t>达到年初设定目标，工程完成率实现</w:t>
      </w:r>
      <w:r>
        <w:rPr>
          <w:rFonts w:hint="eastAsia" w:ascii="仿宋_GB2312" w:hAnsi="仿宋_GB2312" w:eastAsia="仿宋_GB2312" w:cs="仿宋_GB2312"/>
          <w:spacing w:val="4"/>
          <w:w w:val="95"/>
          <w:lang w:val="en-US" w:eastAsia="zh-CN"/>
        </w:rPr>
        <w:t>100%，配套设施完成率100%，</w:t>
      </w:r>
      <w:r>
        <w:rPr>
          <w:rFonts w:hint="eastAsia" w:ascii="仿宋_GB2312" w:hAnsi="仿宋_GB2312" w:eastAsia="仿宋_GB2312" w:cs="仿宋_GB2312"/>
          <w:spacing w:val="4"/>
          <w:w w:val="95"/>
          <w:lang w:eastAsia="zh-CN"/>
        </w:rPr>
        <w:t>基础设施完好率</w:t>
      </w:r>
      <w:r>
        <w:rPr>
          <w:rFonts w:hint="eastAsia" w:ascii="仿宋_GB2312" w:hAnsi="仿宋_GB2312" w:eastAsia="仿宋_GB2312" w:cs="仿宋_GB2312"/>
          <w:spacing w:val="4"/>
          <w:w w:val="95"/>
          <w:lang w:val="en-US" w:eastAsia="zh-CN"/>
        </w:rPr>
        <w:t>98%，设计功能实现率98%，使用单位满意度95%，</w:t>
      </w:r>
      <w:r>
        <w:rPr>
          <w:rFonts w:hint="eastAsia" w:ascii="仿宋_GB2312" w:hAnsi="仿宋_GB2312" w:eastAsia="仿宋_GB2312" w:cs="仿宋_GB2312"/>
          <w:spacing w:val="4"/>
          <w:w w:val="95"/>
          <w:lang w:eastAsia="zh-CN"/>
        </w:rPr>
        <w:t>实现</w:t>
      </w:r>
      <w:r>
        <w:rPr>
          <w:rFonts w:hint="eastAsia" w:ascii="仿宋_GB2312" w:hAnsi="仿宋_GB2312" w:eastAsia="仿宋_GB2312" w:cs="仿宋_GB2312"/>
          <w:spacing w:val="4"/>
          <w:w w:val="95"/>
        </w:rPr>
        <w:t>社会治理现代化</w:t>
      </w:r>
      <w:r>
        <w:rPr>
          <w:rFonts w:hint="eastAsia" w:ascii="仿宋_GB2312" w:hAnsi="仿宋_GB2312" w:eastAsia="仿宋_GB2312" w:cs="仿宋_GB2312"/>
          <w:spacing w:val="-9"/>
        </w:rPr>
        <w:t>，</w:t>
      </w:r>
      <w:r>
        <w:rPr>
          <w:rFonts w:hint="eastAsia" w:ascii="仿宋_GB2312" w:hAnsi="仿宋_GB2312" w:eastAsia="仿宋_GB2312" w:cs="仿宋_GB2312"/>
          <w:spacing w:val="-9"/>
          <w:lang w:eastAsia="zh-CN"/>
        </w:rPr>
        <w:t>提升群众安全感，获得感。</w:t>
      </w:r>
      <w:r>
        <w:rPr>
          <w:spacing w:val="-14"/>
          <w:w w:val="95"/>
        </w:rPr>
        <w:t xml:space="preserve">发现的主要问题及原因：一是部分节点光纤传输质量差。 </w:t>
      </w:r>
      <w:r>
        <w:rPr>
          <w:spacing w:val="-16"/>
        </w:rPr>
        <w:t>二是受距离等方面影响，导致光纤传输信号不稳定。下一步改进措施：督促光纤铺设单位进行改良与解决。</w:t>
      </w:r>
    </w:p>
    <w:p>
      <w:pPr>
        <w:pStyle w:val="4"/>
        <w:spacing w:line="360" w:lineRule="auto"/>
        <w:ind w:firstLine="604" w:firstLineChars="200"/>
        <w:rPr>
          <w:rFonts w:hint="default" w:ascii="仿宋_GB2312" w:hAnsi="仿宋_GB2312" w:eastAsia="仿宋_GB2312" w:cs="仿宋_GB2312"/>
          <w:spacing w:val="-9"/>
          <w:lang w:val="en-US" w:eastAsia="zh-CN"/>
        </w:rPr>
      </w:pPr>
    </w:p>
    <w:p>
      <w:pPr>
        <w:pStyle w:val="4"/>
        <w:spacing w:line="360" w:lineRule="auto"/>
        <w:ind w:firstLine="604" w:firstLineChars="200"/>
        <w:rPr>
          <w:rFonts w:hint="default" w:ascii="仿宋_GB2312" w:hAnsi="仿宋_GB2312" w:eastAsia="仿宋_GB2312" w:cs="仿宋_GB2312"/>
          <w:spacing w:val="-9"/>
          <w:lang w:val="en-US" w:eastAsia="zh-CN"/>
        </w:rPr>
      </w:pPr>
    </w:p>
    <w:p>
      <w:pPr>
        <w:pStyle w:val="4"/>
        <w:spacing w:line="360" w:lineRule="auto"/>
        <w:ind w:firstLine="604" w:firstLineChars="200"/>
        <w:rPr>
          <w:rFonts w:hint="default" w:ascii="仿宋_GB2312" w:hAnsi="仿宋_GB2312" w:eastAsia="仿宋_GB2312" w:cs="仿宋_GB2312"/>
          <w:spacing w:val="-9"/>
          <w:lang w:val="en-US" w:eastAsia="zh-CN"/>
        </w:rPr>
      </w:pPr>
    </w:p>
    <w:p>
      <w:pPr>
        <w:pStyle w:val="4"/>
        <w:spacing w:line="360" w:lineRule="auto"/>
        <w:ind w:firstLine="604" w:firstLineChars="200"/>
        <w:rPr>
          <w:rFonts w:hint="default" w:ascii="仿宋_GB2312" w:hAnsi="仿宋_GB2312" w:eastAsia="仿宋_GB2312" w:cs="仿宋_GB2312"/>
          <w:spacing w:val="-9"/>
          <w:lang w:val="en-US" w:eastAsia="zh-CN"/>
        </w:rPr>
      </w:pPr>
    </w:p>
    <w:p>
      <w:pPr>
        <w:pStyle w:val="4"/>
        <w:spacing w:line="360" w:lineRule="auto"/>
        <w:ind w:firstLine="604" w:firstLineChars="200"/>
        <w:rPr>
          <w:rFonts w:hint="default" w:ascii="仿宋_GB2312" w:hAnsi="仿宋_GB2312" w:eastAsia="仿宋_GB2312" w:cs="仿宋_GB2312"/>
          <w:spacing w:val="-9"/>
          <w:lang w:val="en-US" w:eastAsia="zh-CN"/>
        </w:rPr>
      </w:pPr>
    </w:p>
    <w:tbl>
      <w:tblPr>
        <w:tblStyle w:val="5"/>
        <w:tblpPr w:leftFromText="180" w:rightFromText="180" w:vertAnchor="text" w:horzAnchor="page" w:tblpX="1302" w:tblpY="285"/>
        <w:tblOverlap w:val="never"/>
        <w:tblW w:w="9390" w:type="dxa"/>
        <w:tblInd w:w="0" w:type="dxa"/>
        <w:shd w:val="clear" w:color="auto" w:fill="auto"/>
        <w:tblLayout w:type="fixed"/>
        <w:tblCellMar>
          <w:top w:w="0" w:type="dxa"/>
          <w:left w:w="108" w:type="dxa"/>
          <w:bottom w:w="0" w:type="dxa"/>
          <w:right w:w="108" w:type="dxa"/>
        </w:tblCellMar>
      </w:tblPr>
      <w:tblGrid>
        <w:gridCol w:w="510"/>
        <w:gridCol w:w="1683"/>
        <w:gridCol w:w="1857"/>
        <w:gridCol w:w="1440"/>
        <w:gridCol w:w="1215"/>
        <w:gridCol w:w="990"/>
        <w:gridCol w:w="660"/>
        <w:gridCol w:w="1035"/>
      </w:tblGrid>
      <w:tr>
        <w:tblPrEx>
          <w:shd w:val="clear" w:color="auto" w:fill="auto"/>
          <w:tblCellMar>
            <w:top w:w="0" w:type="dxa"/>
            <w:left w:w="108" w:type="dxa"/>
            <w:bottom w:w="0" w:type="dxa"/>
            <w:right w:w="108" w:type="dxa"/>
          </w:tblCellMar>
        </w:tblPrEx>
        <w:trPr>
          <w:trHeight w:val="270" w:hRule="atLeast"/>
        </w:trPr>
        <w:tc>
          <w:tcPr>
            <w:tcW w:w="2193"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附件4</w:t>
            </w:r>
          </w:p>
        </w:tc>
        <w:tc>
          <w:tcPr>
            <w:tcW w:w="1857"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44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21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99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66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03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840" w:hRule="atLeast"/>
        </w:trPr>
        <w:tc>
          <w:tcPr>
            <w:tcW w:w="939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部门绩效自评汇总表</w:t>
            </w:r>
          </w:p>
        </w:tc>
      </w:tr>
      <w:tr>
        <w:tblPrEx>
          <w:tblCellMar>
            <w:top w:w="0" w:type="dxa"/>
            <w:left w:w="108" w:type="dxa"/>
            <w:bottom w:w="0" w:type="dxa"/>
            <w:right w:w="108" w:type="dxa"/>
          </w:tblCellMar>
        </w:tblPrEx>
        <w:trPr>
          <w:trHeight w:val="215" w:hRule="atLeast"/>
        </w:trPr>
        <w:tc>
          <w:tcPr>
            <w:tcW w:w="51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44"/>
                <w:szCs w:val="44"/>
                <w:u w:val="none"/>
              </w:rPr>
            </w:pPr>
          </w:p>
        </w:tc>
        <w:tc>
          <w:tcPr>
            <w:tcW w:w="168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44"/>
                <w:szCs w:val="44"/>
                <w:u w:val="none"/>
              </w:rPr>
            </w:pPr>
          </w:p>
        </w:tc>
        <w:tc>
          <w:tcPr>
            <w:tcW w:w="1857"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44"/>
                <w:szCs w:val="44"/>
                <w:u w:val="none"/>
              </w:rPr>
            </w:pPr>
          </w:p>
        </w:tc>
        <w:tc>
          <w:tcPr>
            <w:tcW w:w="144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44"/>
                <w:szCs w:val="44"/>
                <w:u w:val="none"/>
              </w:rPr>
            </w:pPr>
          </w:p>
        </w:tc>
        <w:tc>
          <w:tcPr>
            <w:tcW w:w="121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44"/>
                <w:szCs w:val="44"/>
                <w:u w:val="none"/>
              </w:rPr>
            </w:pPr>
          </w:p>
        </w:tc>
        <w:tc>
          <w:tcPr>
            <w:tcW w:w="99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44"/>
                <w:szCs w:val="44"/>
                <w:u w:val="none"/>
              </w:rPr>
            </w:pPr>
          </w:p>
        </w:tc>
        <w:tc>
          <w:tcPr>
            <w:tcW w:w="66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44"/>
                <w:szCs w:val="44"/>
                <w:u w:val="none"/>
              </w:rPr>
            </w:pPr>
          </w:p>
        </w:tc>
        <w:tc>
          <w:tcPr>
            <w:tcW w:w="103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44"/>
                <w:szCs w:val="44"/>
                <w:u w:val="none"/>
              </w:rPr>
            </w:pPr>
          </w:p>
        </w:tc>
      </w:tr>
      <w:tr>
        <w:tblPrEx>
          <w:tblCellMar>
            <w:top w:w="0" w:type="dxa"/>
            <w:left w:w="108" w:type="dxa"/>
            <w:bottom w:w="0" w:type="dxa"/>
            <w:right w:w="108" w:type="dxa"/>
          </w:tblCellMar>
        </w:tblPrEx>
        <w:trPr>
          <w:trHeight w:val="520" w:hRule="atLeast"/>
        </w:trPr>
        <w:tc>
          <w:tcPr>
            <w:tcW w:w="4050" w:type="dxa"/>
            <w:gridSpan w:val="3"/>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主管部门：中国共产党石家庄市藁城区委员会政法委员会</w:t>
            </w:r>
          </w:p>
        </w:tc>
        <w:tc>
          <w:tcPr>
            <w:tcW w:w="5340" w:type="dxa"/>
            <w:gridSpan w:val="5"/>
            <w:tcBorders>
              <w:top w:val="nil"/>
              <w:left w:val="nil"/>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single"/>
              </w:rPr>
            </w:pPr>
            <w:r>
              <w:rPr>
                <w:rFonts w:hint="eastAsia" w:ascii="仿宋" w:hAnsi="仿宋" w:eastAsia="仿宋" w:cs="仿宋"/>
                <w:i w:val="0"/>
                <w:iCs w:val="0"/>
                <w:color w:val="000000"/>
                <w:kern w:val="0"/>
                <w:sz w:val="28"/>
                <w:szCs w:val="28"/>
                <w:u w:val="single"/>
                <w:lang w:val="en-US" w:eastAsia="zh-CN" w:bidi="ar"/>
              </w:rPr>
              <w:t xml:space="preserve">  2021年7月12日     单位：万元</w:t>
            </w:r>
          </w:p>
        </w:tc>
      </w:tr>
      <w:tr>
        <w:tblPrEx>
          <w:tblCellMar>
            <w:top w:w="0" w:type="dxa"/>
            <w:left w:w="108" w:type="dxa"/>
            <w:bottom w:w="0" w:type="dxa"/>
            <w:right w:w="108"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项目实施单位</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（调整后）</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（至2020年底）</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综治工作经费</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专职铁路护路队员工资</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28.22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13.45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14.77</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两会期间铁路护路雇佣人员补助</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9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铁路沿线视频监控系统建设</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234.03</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234.03</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调解服务经费</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精神障碍患者监护人责任保险</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36.81</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36.65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0.16</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严重精神障碍患者监护人以奖代补</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21.12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21.12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综治中心运行费</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政法网运行维护经费</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18.24</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16.8</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网格员手机APP</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48.92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48.92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政法四级网扩容升级项目</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294.07</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294.067</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0.003</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维护稳定工作经费</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涉法涉诉专项资金</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FF0000"/>
                <w:sz w:val="22"/>
                <w:szCs w:val="22"/>
                <w:u w:val="none"/>
              </w:rPr>
            </w:pPr>
            <w:r>
              <w:rPr>
                <w:rFonts w:hint="eastAsia" w:ascii="宋体" w:hAnsi="宋体" w:eastAsia="宋体" w:cs="宋体"/>
                <w:i w:val="0"/>
                <w:iCs w:val="0"/>
                <w:color w:val="auto"/>
                <w:kern w:val="0"/>
                <w:sz w:val="22"/>
                <w:szCs w:val="22"/>
                <w:u w:val="none"/>
                <w:lang w:val="en-US" w:eastAsia="zh-CN" w:bidi="ar"/>
              </w:rPr>
              <w:t>市级国家司法救助资金</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ind w:left="0" w:leftChars="0" w:right="0" w:rightChars="0"/>
              <w:jc w:val="right"/>
              <w:textAlignment w:val="center"/>
              <w:rPr>
                <w:rFonts w:hint="default" w:ascii="宋体" w:hAnsi="宋体" w:eastAsia="宋体" w:cs="宋体"/>
                <w:i w:val="0"/>
                <w:iCs w:val="0"/>
                <w:color w:val="0000FF"/>
                <w:sz w:val="24"/>
                <w:szCs w:val="24"/>
                <w:highlight w:val="none"/>
                <w:u w:val="none"/>
                <w:lang w:val="en-US" w:eastAsia="zh-CN"/>
              </w:rPr>
            </w:pPr>
            <w:r>
              <w:rPr>
                <w:rFonts w:hint="eastAsia" w:cs="宋体"/>
                <w:i w:val="0"/>
                <w:iCs w:val="0"/>
                <w:color w:val="0000FF"/>
                <w:sz w:val="24"/>
                <w:szCs w:val="24"/>
                <w:highlight w:val="none"/>
                <w:u w:val="none"/>
                <w:lang w:val="en-US" w:eastAsia="zh-CN"/>
              </w:rPr>
              <w:t>95.2</w:t>
            </w:r>
          </w:p>
        </w:tc>
        <w:tc>
          <w:tcPr>
            <w:tcW w:w="1215"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u w:val="none"/>
                <w:lang w:val="en-US" w:eastAsia="zh-CN" w:bidi="ar"/>
              </w:rPr>
              <w:t>95.2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035" w:type="dxa"/>
            <w:tcBorders>
              <w:top w:val="single" w:color="000000" w:sz="4" w:space="0"/>
              <w:left w:val="single" w:color="000000" w:sz="4" w:space="0"/>
              <w:bottom w:val="single" w:color="000000" w:sz="4" w:space="0"/>
              <w:right w:val="single" w:color="000000" w:sz="4" w:space="0"/>
            </w:tcBorders>
            <w:shd w:val="clear" w:color="auto" w:fill="FFFF0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（2019年转）</w:t>
            </w: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国家司法救助资金</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51</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bookmarkStart w:id="0" w:name="_GoBack"/>
            <w:bookmarkEnd w:id="0"/>
            <w:r>
              <w:rPr>
                <w:rFonts w:hint="eastAsia" w:ascii="宋体" w:hAnsi="宋体" w:eastAsia="宋体" w:cs="宋体"/>
                <w:i w:val="0"/>
                <w:iCs w:val="0"/>
                <w:color w:val="000000"/>
                <w:kern w:val="0"/>
                <w:sz w:val="24"/>
                <w:szCs w:val="24"/>
                <w:u w:val="none"/>
                <w:lang w:val="en-US" w:eastAsia="zh-CN" w:bidi="ar"/>
              </w:rPr>
              <w:t>51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扫黑除恶工作经费</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94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综治视联系统音频视频系统</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8.852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8.852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综合指挥信息平台建设款</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综治视联系统建设</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镇村综合信息平台建设款</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458</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458</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见义勇为死亡人员一次性补助金</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中国共产党石家庄市藁城区委员会政法委员会</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23.3</w:t>
            </w:r>
          </w:p>
        </w:tc>
        <w:tc>
          <w:tcPr>
            <w:tcW w:w="1215"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23.3</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60"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035" w:type="dxa"/>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left"/>
              <w:textAlignment w:val="center"/>
              <w:rPr>
                <w:rFonts w:hint="eastAsia" w:ascii="宋体" w:hAnsi="宋体" w:eastAsia="宋体" w:cs="宋体"/>
                <w:i w:val="0"/>
                <w:iCs w:val="0"/>
                <w:color w:val="000000"/>
                <w:sz w:val="24"/>
                <w:szCs w:val="24"/>
                <w:u w:val="none"/>
                <w:lang w:val="en-US" w:eastAsia="zh-CN" w:bidi="zh-CN"/>
              </w:rPr>
            </w:pPr>
            <w:r>
              <w:rPr>
                <w:rFonts w:hint="eastAsia" w:ascii="宋体" w:hAnsi="宋体" w:eastAsia="宋体" w:cs="宋体"/>
                <w:i w:val="0"/>
                <w:iCs w:val="0"/>
                <w:color w:val="000000"/>
                <w:kern w:val="0"/>
                <w:sz w:val="24"/>
                <w:szCs w:val="24"/>
                <w:u w:val="none"/>
                <w:lang w:val="en-US" w:eastAsia="zh-CN" w:bidi="ar"/>
              </w:rPr>
              <w:t>合计</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right="0" w:rightChars="0"/>
              <w:jc w:val="center"/>
              <w:rPr>
                <w:rFonts w:hint="eastAsia" w:ascii="宋体" w:hAnsi="宋体" w:eastAsia="宋体" w:cs="宋体"/>
                <w:i w:val="0"/>
                <w:iCs w:val="0"/>
                <w:color w:val="000000"/>
                <w:sz w:val="22"/>
                <w:szCs w:val="22"/>
                <w:u w:val="none"/>
                <w:lang w:val="zh-CN" w:eastAsia="zh-CN" w:bidi="zh-CN"/>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lang w:val="en-US" w:eastAsia="zh-CN" w:bidi="zh-CN"/>
              </w:rPr>
            </w:pPr>
            <w:r>
              <w:rPr>
                <w:rFonts w:hint="eastAsia" w:ascii="宋体" w:hAnsi="宋体" w:eastAsia="宋体" w:cs="宋体"/>
                <w:i w:val="0"/>
                <w:iCs w:val="0"/>
                <w:color w:val="000000"/>
                <w:kern w:val="0"/>
                <w:sz w:val="24"/>
                <w:szCs w:val="24"/>
                <w:u w:val="none"/>
                <w:lang w:val="en-US" w:eastAsia="zh-CN" w:bidi="ar"/>
              </w:rPr>
              <w:t>1565.662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lang w:val="en-US" w:eastAsia="zh-CN" w:bidi="zh-CN"/>
              </w:rPr>
            </w:pPr>
            <w:r>
              <w:rPr>
                <w:rFonts w:hint="eastAsia" w:ascii="宋体" w:hAnsi="宋体" w:eastAsia="宋体" w:cs="宋体"/>
                <w:i w:val="0"/>
                <w:iCs w:val="0"/>
                <w:color w:val="000000"/>
                <w:kern w:val="0"/>
                <w:sz w:val="24"/>
                <w:szCs w:val="24"/>
                <w:u w:val="none"/>
                <w:lang w:val="en-US" w:eastAsia="zh-CN" w:bidi="ar"/>
              </w:rPr>
              <w:t>1549.289</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ind w:left="0" w:leftChars="0" w:right="0" w:rightChars="0"/>
              <w:jc w:val="right"/>
              <w:textAlignment w:val="center"/>
              <w:rPr>
                <w:rFonts w:hint="eastAsia" w:ascii="宋体" w:hAnsi="宋体" w:eastAsia="宋体" w:cs="宋体"/>
                <w:i w:val="0"/>
                <w:iCs w:val="0"/>
                <w:color w:val="000000"/>
                <w:sz w:val="24"/>
                <w:szCs w:val="24"/>
                <w:u w:val="none"/>
                <w:lang w:val="en-US" w:eastAsia="zh-CN" w:bidi="zh-CN"/>
              </w:rPr>
            </w:pPr>
            <w:r>
              <w:rPr>
                <w:rFonts w:hint="eastAsia" w:ascii="宋体" w:hAnsi="宋体" w:eastAsia="宋体" w:cs="宋体"/>
                <w:i w:val="0"/>
                <w:iCs w:val="0"/>
                <w:color w:val="000000"/>
                <w:kern w:val="0"/>
                <w:sz w:val="24"/>
                <w:szCs w:val="24"/>
                <w:u w:val="none"/>
                <w:lang w:val="en-US" w:eastAsia="zh-CN" w:bidi="ar"/>
              </w:rPr>
              <w:t>16.373</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ind w:left="0" w:leftChars="0" w:right="0" w:rightChars="0"/>
              <w:rPr>
                <w:rFonts w:hint="eastAsia" w:ascii="宋体" w:hAnsi="宋体" w:eastAsia="宋体" w:cs="宋体"/>
                <w:i w:val="0"/>
                <w:iCs w:val="0"/>
                <w:color w:val="000000"/>
                <w:sz w:val="22"/>
                <w:szCs w:val="22"/>
                <w:u w:val="none"/>
                <w:lang w:val="zh-CN" w:eastAsia="zh-CN" w:bidi="zh-CN"/>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bl>
    <w:p>
      <w:pPr>
        <w:pStyle w:val="4"/>
        <w:spacing w:line="360" w:lineRule="auto"/>
        <w:ind w:firstLine="604" w:firstLineChars="200"/>
        <w:rPr>
          <w:rFonts w:hint="default" w:ascii="仿宋_GB2312" w:hAnsi="仿宋_GB2312" w:eastAsia="仿宋_GB2312" w:cs="仿宋_GB2312"/>
          <w:spacing w:val="-9"/>
          <w:lang w:val="en-US" w:eastAsia="zh-CN"/>
        </w:rPr>
      </w:pPr>
    </w:p>
    <w:p>
      <w:pPr>
        <w:pStyle w:val="4"/>
        <w:spacing w:line="360" w:lineRule="auto"/>
        <w:ind w:firstLine="604" w:firstLineChars="200"/>
        <w:rPr>
          <w:rFonts w:hint="default" w:ascii="仿宋_GB2312" w:hAnsi="仿宋_GB2312" w:eastAsia="仿宋_GB2312" w:cs="仿宋_GB2312"/>
          <w:spacing w:val="-9"/>
          <w:lang w:val="en-US" w:eastAsia="zh-CN"/>
        </w:rPr>
      </w:pPr>
    </w:p>
    <w:p>
      <w:pPr>
        <w:spacing w:after="0" w:line="360" w:lineRule="auto"/>
        <w:jc w:val="both"/>
        <w:rPr>
          <w:sz w:val="22"/>
        </w:rPr>
      </w:pPr>
    </w:p>
    <w:p>
      <w:pPr>
        <w:pStyle w:val="4"/>
        <w:spacing w:line="360" w:lineRule="auto"/>
        <w:ind w:firstLine="640" w:firstLineChars="200"/>
        <w:rPr>
          <w:rFonts w:hint="eastAsia" w:ascii="仿宋_GB2312" w:hAnsi="仿宋_GB2312" w:eastAsia="仿宋_GB2312" w:cs="仿宋_GB2312"/>
          <w:spacing w:val="-2"/>
        </w:rPr>
      </w:pPr>
      <w:r>
        <w:t>4、</w:t>
      </w:r>
      <w:r>
        <w:rPr>
          <w:rFonts w:hint="eastAsia" w:ascii="仿宋_GB2312" w:hAnsi="仿宋_GB2312" w:eastAsia="仿宋_GB2312" w:cs="仿宋_GB2312"/>
        </w:rPr>
        <w:t>低</w:t>
      </w:r>
      <w:r>
        <w:rPr>
          <w:rFonts w:hint="eastAsia" w:ascii="仿宋_GB2312" w:hAnsi="仿宋_GB2312" w:eastAsia="仿宋_GB2312" w:cs="仿宋_GB2312"/>
          <w:spacing w:val="-2"/>
        </w:rPr>
        <w:t>分项目分析及整改情况</w:t>
      </w:r>
    </w:p>
    <w:p>
      <w:pPr>
        <w:pStyle w:val="4"/>
        <w:spacing w:line="360" w:lineRule="auto"/>
        <w:ind w:firstLine="640" w:firstLineChars="200"/>
        <w:rPr>
          <w:rFonts w:hint="eastAsia" w:ascii="仿宋_GB2312" w:hAnsi="仿宋_GB2312" w:eastAsia="仿宋_GB2312" w:cs="仿宋_GB2312"/>
          <w:lang w:eastAsia="zh-CN"/>
        </w:rPr>
      </w:pPr>
      <w:r>
        <w:rPr>
          <w:rFonts w:hint="eastAsia" w:ascii="仿宋_GB2312" w:hAnsi="仿宋_GB2312" w:eastAsia="仿宋_GB2312" w:cs="仿宋_GB2312"/>
          <w:lang w:eastAsia="zh-CN"/>
        </w:rPr>
        <w:t>我单位无低分项目。</w:t>
      </w:r>
    </w:p>
    <w:p>
      <w:pPr>
        <w:pStyle w:val="4"/>
        <w:spacing w:before="4" w:line="360" w:lineRule="auto"/>
        <w:ind w:left="771"/>
        <w:rPr>
          <w:rFonts w:hint="eastAsia" w:ascii="黑体" w:eastAsia="黑体"/>
        </w:rPr>
      </w:pPr>
      <w:r>
        <w:rPr>
          <w:rFonts w:hint="eastAsia" w:ascii="黑体" w:eastAsia="黑体"/>
        </w:rPr>
        <w:t>三、绩效目标设定质量情况</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根据《石家庄市财政局关于印发&lt;石家庄市实际部门项目绩效自评管理办法&gt;的通知》（石财绩〔2020〕5 号）的要求，我</w:t>
      </w:r>
      <w:r>
        <w:rPr>
          <w:rFonts w:hint="eastAsia" w:ascii="仿宋_GB2312" w:hAnsi="仿宋_GB2312" w:eastAsia="仿宋_GB2312" w:cs="仿宋_GB2312"/>
          <w:spacing w:val="-2"/>
          <w:lang w:eastAsia="zh-CN"/>
        </w:rPr>
        <w:t>委</w:t>
      </w:r>
      <w:r>
        <w:rPr>
          <w:rFonts w:hint="eastAsia" w:ascii="仿宋_GB2312" w:hAnsi="仿宋_GB2312" w:eastAsia="仿宋_GB2312" w:cs="仿宋_GB2312"/>
          <w:spacing w:val="-2"/>
        </w:rPr>
        <w:t>对预算项目绩效目标、指标、标准进行核查，情况如下：</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1、绩效目标设定明确清晰与本单位实际工作内容联系紧密；</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2、绩效指标围绕绩效目标进一步展开，对绩效目标作更详细、</w:t>
      </w:r>
    </w:p>
    <w:p>
      <w:pPr>
        <w:pStyle w:val="4"/>
        <w:spacing w:line="360" w:lineRule="auto"/>
        <w:rPr>
          <w:rFonts w:hint="eastAsia" w:ascii="仿宋_GB2312" w:hAnsi="仿宋_GB2312" w:eastAsia="仿宋_GB2312" w:cs="仿宋_GB2312"/>
          <w:spacing w:val="-2"/>
        </w:rPr>
      </w:pPr>
      <w:r>
        <w:rPr>
          <w:rFonts w:hint="eastAsia" w:ascii="仿宋_GB2312" w:hAnsi="仿宋_GB2312" w:eastAsia="仿宋_GB2312" w:cs="仿宋_GB2312"/>
          <w:spacing w:val="-2"/>
        </w:rPr>
        <w:t xml:space="preserve">更直观的解释。指标设定清晰便于理解，指标数据便于收集汇总； </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3、绩效标准以上级部门相关要求为基础，结合本单位往年实</w:t>
      </w:r>
    </w:p>
    <w:p>
      <w:pPr>
        <w:pStyle w:val="4"/>
        <w:spacing w:line="360" w:lineRule="auto"/>
        <w:rPr>
          <w:rFonts w:hint="eastAsia" w:ascii="仿宋_GB2312" w:hAnsi="仿宋_GB2312" w:eastAsia="仿宋_GB2312" w:cs="仿宋_GB2312"/>
          <w:spacing w:val="-2"/>
        </w:rPr>
      </w:pPr>
      <w:r>
        <w:rPr>
          <w:rFonts w:hint="eastAsia" w:ascii="仿宋_GB2312" w:hAnsi="仿宋_GB2312" w:eastAsia="仿宋_GB2312" w:cs="仿宋_GB2312"/>
          <w:spacing w:val="-2"/>
        </w:rPr>
        <w:t>际工作情况制定。绩效标准的制定准确体现年初工作计划及年末工作进度。</w:t>
      </w:r>
    </w:p>
    <w:p>
      <w:pPr>
        <w:pStyle w:val="4"/>
        <w:bidi w:val="0"/>
        <w:rPr>
          <w:rFonts w:hint="eastAsia" w:ascii="仿宋_GB2312" w:hAnsi="仿宋_GB2312" w:eastAsia="仿宋_GB2312" w:cs="仿宋_GB2312"/>
        </w:rPr>
      </w:pPr>
      <w:r>
        <w:rPr>
          <w:rFonts w:hint="eastAsia" w:ascii="仿宋_GB2312" w:hAnsi="仿宋_GB2312" w:eastAsia="仿宋_GB2312" w:cs="仿宋_GB2312"/>
        </w:rPr>
        <w:t>四、整改措施及结果应用</w:t>
      </w:r>
    </w:p>
    <w:p>
      <w:pPr>
        <w:pStyle w:val="4"/>
        <w:spacing w:line="360" w:lineRule="auto"/>
        <w:ind w:firstLine="616" w:firstLineChars="200"/>
        <w:rPr>
          <w:rFonts w:hint="eastAsia" w:ascii="仿宋_GB2312" w:hAnsi="仿宋_GB2312" w:eastAsia="仿宋_GB2312" w:cs="仿宋_GB2312"/>
          <w:spacing w:val="-2"/>
        </w:rPr>
      </w:pPr>
      <w:r>
        <w:rPr>
          <w:rFonts w:hint="eastAsia" w:ascii="仿宋_GB2312" w:hAnsi="仿宋_GB2312" w:eastAsia="仿宋_GB2312" w:cs="仿宋_GB2312"/>
          <w:spacing w:val="-6"/>
          <w:sz w:val="32"/>
          <w:szCs w:val="32"/>
        </w:rPr>
        <w:t>（</w:t>
      </w:r>
      <w:r>
        <w:rPr>
          <w:rFonts w:hint="eastAsia" w:ascii="仿宋_GB2312" w:hAnsi="仿宋_GB2312" w:eastAsia="仿宋_GB2312" w:cs="仿宋_GB2312"/>
          <w:spacing w:val="-2"/>
        </w:rPr>
        <w:t>一）存在的问题</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lang w:val="en-US" w:eastAsia="zh-CN"/>
        </w:rPr>
        <w:t>1</w:t>
      </w:r>
      <w:r>
        <w:rPr>
          <w:rFonts w:hint="eastAsia" w:ascii="仿宋_GB2312" w:hAnsi="仿宋_GB2312" w:eastAsia="仿宋_GB2312" w:cs="仿宋_GB2312"/>
          <w:spacing w:val="-2"/>
        </w:rPr>
        <w:t>、少数项目预</w:t>
      </w:r>
      <w:r>
        <w:rPr>
          <w:rFonts w:hint="eastAsia" w:ascii="仿宋_GB2312" w:hAnsi="仿宋_GB2312" w:eastAsia="仿宋_GB2312" w:cs="仿宋_GB2312"/>
          <w:spacing w:val="-2"/>
          <w:lang w:eastAsia="zh-CN"/>
        </w:rPr>
        <w:t>算资金稍有出入，年终需要进行调整</w:t>
      </w:r>
      <w:r>
        <w:rPr>
          <w:rFonts w:hint="eastAsia" w:ascii="仿宋_GB2312" w:hAnsi="仿宋_GB2312" w:eastAsia="仿宋_GB2312" w:cs="仿宋_GB2312"/>
          <w:spacing w:val="-2"/>
        </w:rPr>
        <w:t>，但差额较小。</w:t>
      </w:r>
      <w:r>
        <w:rPr>
          <w:rFonts w:hint="eastAsia" w:ascii="仿宋_GB2312" w:hAnsi="仿宋_GB2312" w:eastAsia="仿宋_GB2312" w:cs="仿宋_GB2312"/>
          <w:spacing w:val="-2"/>
          <w:lang w:eastAsia="zh-CN"/>
        </w:rPr>
        <w:t>比如我们的精神病监护人责任保险</w:t>
      </w:r>
      <w:r>
        <w:rPr>
          <w:rFonts w:hint="eastAsia" w:ascii="仿宋_GB2312" w:hAnsi="仿宋_GB2312" w:eastAsia="仿宋_GB2312" w:cs="仿宋_GB2312"/>
          <w:spacing w:val="-2"/>
          <w:lang w:val="en-US" w:eastAsia="zh-CN"/>
        </w:rPr>
        <w:t>，</w:t>
      </w:r>
      <w:r>
        <w:rPr>
          <w:rFonts w:hint="eastAsia" w:ascii="仿宋_GB2312" w:hAnsi="仿宋_GB2312" w:eastAsia="仿宋_GB2312" w:cs="仿宋_GB2312"/>
          <w:spacing w:val="-2"/>
        </w:rPr>
        <w:t>原因是执行过程中</w:t>
      </w:r>
      <w:r>
        <w:rPr>
          <w:rFonts w:hint="eastAsia" w:ascii="仿宋_GB2312" w:hAnsi="仿宋_GB2312" w:eastAsia="仿宋_GB2312" w:cs="仿宋_GB2312"/>
          <w:spacing w:val="-2"/>
          <w:lang w:eastAsia="zh-CN"/>
        </w:rPr>
        <w:t>精神病人是一个动态数据，而每年预算以上年数为依据，实际签订合同按照当年实际新核定人数，</w:t>
      </w:r>
      <w:r>
        <w:rPr>
          <w:rFonts w:hint="eastAsia" w:ascii="仿宋_GB2312" w:hAnsi="仿宋_GB2312" w:eastAsia="仿宋_GB2312" w:cs="仿宋_GB2312"/>
          <w:spacing w:val="-2"/>
        </w:rPr>
        <w:t>导致出现差额。</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（二）整改措施</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1、制定相应工作资金使用方案，召开业务培训，帮助各业务科室了解资金用途。</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2、编制预算绩效时，应参考往年项目执行情况，更加科学合理的预估项目绩效目标及成本。</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3、加大预算执行力度，提升预算执行率。</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（三）结果应用</w:t>
      </w:r>
    </w:p>
    <w:p>
      <w:pPr>
        <w:pStyle w:val="4"/>
        <w:spacing w:line="360" w:lineRule="auto"/>
        <w:ind w:firstLine="632" w:firstLineChars="200"/>
        <w:rPr>
          <w:rFonts w:hint="eastAsia" w:ascii="仿宋_GB2312" w:hAnsi="仿宋_GB2312" w:eastAsia="仿宋_GB2312" w:cs="仿宋_GB2312"/>
          <w:spacing w:val="-2"/>
        </w:rPr>
      </w:pPr>
      <w:r>
        <w:rPr>
          <w:rFonts w:hint="eastAsia" w:ascii="仿宋_GB2312" w:hAnsi="仿宋_GB2312" w:eastAsia="仿宋_GB2312" w:cs="仿宋_GB2312"/>
          <w:spacing w:val="-2"/>
        </w:rPr>
        <w:t>通过本次绩效自评工作，我</w:t>
      </w:r>
      <w:r>
        <w:rPr>
          <w:rFonts w:hint="eastAsia" w:ascii="仿宋_GB2312" w:hAnsi="仿宋_GB2312" w:eastAsia="仿宋_GB2312" w:cs="仿宋_GB2312"/>
          <w:spacing w:val="-2"/>
          <w:lang w:eastAsia="zh-CN"/>
        </w:rPr>
        <w:t>委</w:t>
      </w:r>
      <w:r>
        <w:rPr>
          <w:rFonts w:hint="eastAsia" w:ascii="仿宋_GB2312" w:hAnsi="仿宋_GB2312" w:eastAsia="仿宋_GB2312" w:cs="仿宋_GB2312"/>
          <w:spacing w:val="-2"/>
        </w:rPr>
        <w:t>财务科室及相关业务科室深入学习研究《石家庄市财政局关于印发&lt;石家庄市实际部门项目绩效自评管理办法&gt;的通知》（石财绩〔2020〕5 号），针对绩效自评中存在的问题，及时改进本部门后续项目及以后年度项目预算绩效目标、绩效指标、绩效标准的设立方法，务必做到目标合理，指标设立精准，标准设立明确。完善项目管理办法，切实提高项目管理水平、资金使用效益和部门工作效率。认真落实整改意见不断提高预算绩效管理水平。</w:t>
      </w:r>
    </w:p>
    <w:p>
      <w:pPr>
        <w:pStyle w:val="4"/>
        <w:spacing w:line="360" w:lineRule="auto"/>
        <w:jc w:val="right"/>
        <w:rPr>
          <w:rFonts w:hint="eastAsia" w:ascii="仿宋_GB2312" w:hAnsi="仿宋_GB2312" w:eastAsia="仿宋_GB2312" w:cs="仿宋_GB2312"/>
          <w:spacing w:val="-2"/>
          <w:lang w:eastAsia="zh-CN"/>
        </w:rPr>
      </w:pPr>
      <w:r>
        <w:rPr>
          <w:rFonts w:hint="eastAsia" w:ascii="仿宋_GB2312" w:hAnsi="仿宋_GB2312" w:eastAsia="仿宋_GB2312" w:cs="仿宋_GB2312"/>
          <w:spacing w:val="-2"/>
          <w:lang w:eastAsia="zh-CN"/>
        </w:rPr>
        <w:t>藁城区委政法委</w:t>
      </w:r>
    </w:p>
    <w:p>
      <w:pPr>
        <w:pStyle w:val="4"/>
        <w:spacing w:line="360" w:lineRule="auto"/>
        <w:ind w:firstLine="632" w:firstLineChars="200"/>
        <w:jc w:val="right"/>
        <w:rPr>
          <w:rFonts w:hint="eastAsia" w:ascii="仿宋_GB2312" w:hAnsi="仿宋_GB2312" w:eastAsia="仿宋_GB2312" w:cs="仿宋_GB2312"/>
          <w:spacing w:val="-2"/>
          <w:lang w:eastAsia="zh-CN"/>
        </w:rPr>
        <w:sectPr>
          <w:footerReference r:id="rId5" w:type="default"/>
          <w:pgSz w:w="11910" w:h="16840"/>
          <w:pgMar w:top="1582" w:right="1040" w:bottom="1220" w:left="1400" w:header="0" w:footer="947" w:gutter="0"/>
          <w:cols w:space="720" w:num="1"/>
        </w:sectPr>
      </w:pPr>
      <w:r>
        <w:rPr>
          <w:rFonts w:hint="eastAsia" w:ascii="仿宋_GB2312" w:hAnsi="仿宋_GB2312" w:eastAsia="仿宋_GB2312" w:cs="仿宋_GB2312"/>
          <w:spacing w:val="-2"/>
        </w:rPr>
        <w:t>202</w:t>
      </w:r>
      <w:r>
        <w:rPr>
          <w:rFonts w:hint="eastAsia" w:ascii="仿宋_GB2312" w:hAnsi="仿宋_GB2312" w:eastAsia="仿宋_GB2312" w:cs="仿宋_GB2312"/>
          <w:spacing w:val="-2"/>
          <w:lang w:val="en-US" w:eastAsia="zh-CN"/>
        </w:rPr>
        <w:t>1</w:t>
      </w:r>
      <w:r>
        <w:rPr>
          <w:rFonts w:hint="eastAsia" w:ascii="仿宋_GB2312" w:hAnsi="仿宋_GB2312" w:eastAsia="仿宋_GB2312" w:cs="仿宋_GB2312"/>
          <w:spacing w:val="-2"/>
        </w:rPr>
        <w:t xml:space="preserve">年 </w:t>
      </w:r>
      <w:r>
        <w:rPr>
          <w:rFonts w:hint="eastAsia" w:ascii="仿宋_GB2312" w:hAnsi="仿宋_GB2312" w:eastAsia="仿宋_GB2312" w:cs="仿宋_GB2312"/>
          <w:spacing w:val="-2"/>
          <w:lang w:val="en-US" w:eastAsia="zh-CN"/>
        </w:rPr>
        <w:t>7</w:t>
      </w:r>
      <w:r>
        <w:rPr>
          <w:rFonts w:hint="eastAsia" w:ascii="仿宋_GB2312" w:hAnsi="仿宋_GB2312" w:eastAsia="仿宋_GB2312" w:cs="仿宋_GB2312"/>
          <w:spacing w:val="-2"/>
        </w:rPr>
        <w:t xml:space="preserve">月 </w:t>
      </w:r>
      <w:r>
        <w:rPr>
          <w:rFonts w:hint="eastAsia" w:ascii="仿宋_GB2312" w:hAnsi="仿宋_GB2312" w:eastAsia="仿宋_GB2312" w:cs="仿宋_GB2312"/>
          <w:spacing w:val="-2"/>
          <w:lang w:val="en-US" w:eastAsia="zh-CN"/>
        </w:rPr>
        <w:t>12</w:t>
      </w:r>
      <w:r>
        <w:rPr>
          <w:rFonts w:hint="eastAsia" w:ascii="仿宋_GB2312" w:hAnsi="仿宋_GB2312" w:eastAsia="仿宋_GB2312" w:cs="仿宋_GB2312"/>
          <w:spacing w:val="-2"/>
        </w:rPr>
        <w:t xml:space="preserve"> </w:t>
      </w:r>
      <w:r>
        <w:rPr>
          <w:rFonts w:hint="eastAsia" w:ascii="仿宋_GB2312" w:hAnsi="仿宋_GB2312" w:eastAsia="仿宋_GB2312" w:cs="仿宋_GB2312"/>
          <w:spacing w:val="-2"/>
          <w:lang w:eastAsia="zh-CN"/>
        </w:rPr>
        <w:t>日</w:t>
      </w:r>
    </w:p>
    <w:p>
      <w:pPr>
        <w:pStyle w:val="4"/>
        <w:spacing w:before="54" w:line="360" w:lineRule="auto"/>
        <w:ind w:right="438"/>
        <w:jc w:val="both"/>
      </w:pPr>
    </w:p>
    <w:sectPr>
      <w:pgSz w:w="11910" w:h="16840"/>
      <w:pgMar w:top="1580" w:right="1040" w:bottom="1220" w:left="1400" w:header="0" w:footer="947"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12"/>
      </w:rPr>
    </w:pPr>
    <w:r>
      <mc:AlternateContent>
        <mc:Choice Requires="wps">
          <w:drawing>
            <wp:anchor distT="0" distB="0" distL="114300" distR="114300" simplePos="0" relativeHeight="251659264" behindDoc="1" locked="0" layoutInCell="1" allowOverlap="1">
              <wp:simplePos x="0" y="0"/>
              <wp:positionH relativeFrom="page">
                <wp:posOffset>3743325</wp:posOffset>
              </wp:positionH>
              <wp:positionV relativeFrom="page">
                <wp:posOffset>9899650</wp:posOffset>
              </wp:positionV>
              <wp:extent cx="215900" cy="1524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215900" cy="152400"/>
                      </a:xfrm>
                      <a:prstGeom prst="rect">
                        <a:avLst/>
                      </a:prstGeom>
                      <a:noFill/>
                      <a:ln>
                        <a:noFill/>
                      </a:ln>
                    </wps:spPr>
                    <wps:txbx>
                      <w:txbxContent>
                        <w:p>
                          <w:pPr>
                            <w:spacing w:before="12"/>
                            <w:ind w:left="20" w:right="0" w:firstLine="0"/>
                            <w:jc w:val="left"/>
                            <w:rPr>
                              <w:rFonts w:ascii="Times New Roman"/>
                              <w:sz w:val="18"/>
                            </w:rPr>
                          </w:pPr>
                          <w:r>
                            <w:rPr>
                              <w:rFonts w:ascii="Times New Roman"/>
                              <w:sz w:val="18"/>
                            </w:rPr>
                            <w:t xml:space="preserve">- </w:t>
                          </w:r>
                          <w:r>
                            <w:fldChar w:fldCharType="begin"/>
                          </w:r>
                          <w:r>
                            <w:rPr>
                              <w:rFonts w:ascii="Times New Roman"/>
                              <w:sz w:val="18"/>
                            </w:rPr>
                            <w:instrText xml:space="preserve"> PAGE </w:instrText>
                          </w:r>
                          <w:r>
                            <w:fldChar w:fldCharType="separate"/>
                          </w:r>
                          <w:r>
                            <w:t>3</w:t>
                          </w:r>
                          <w:r>
                            <w:fldChar w:fldCharType="end"/>
                          </w:r>
                          <w:r>
                            <w:rPr>
                              <w:rFonts w:ascii="Times New Roman"/>
                              <w:sz w:val="18"/>
                            </w:rPr>
                            <w:t xml:space="preserve"> -</w:t>
                          </w:r>
                        </w:p>
                      </w:txbxContent>
                    </wps:txbx>
                    <wps:bodyPr lIns="0" tIns="0" rIns="0" bIns="0" upright="1"/>
                  </wps:wsp>
                </a:graphicData>
              </a:graphic>
            </wp:anchor>
          </w:drawing>
        </mc:Choice>
        <mc:Fallback>
          <w:pict>
            <v:shape id="文本框 1025" o:spid="_x0000_s1026" o:spt="202" type="#_x0000_t202" style="position:absolute;left:0pt;margin-left:294.75pt;margin-top:779.5pt;height:12pt;width:17pt;mso-position-horizontal-relative:page;mso-position-vertical-relative:page;z-index:-251657216;mso-width-relative:page;mso-height-relative:page;" filled="f" stroked="f" coordsize="21600,21600" o:gfxdata="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L6zE2faAAAADQEAAA8AAAAAAAAAAQAgAAAAIgAAAGRycy9kb3ducmV2LnhtbFBL&#10;AQIUABQAAAAIAIdO4kAySyECuwEAAHQDAAAOAAAAAAAAAAEAIAAAACkBAABkcnMvZTJvRG9jLnht&#10;bFBLBQYAAAAABgAGAFkBAABWBQAAAAA=&#10;">
              <v:fill on="f" focussize="0,0"/>
              <v:stroke on="f"/>
              <v:imagedata o:title=""/>
              <o:lock v:ext="edit" aspectratio="f"/>
              <v:textbox inset="0mm,0mm,0mm,0mm">
                <w:txbxContent>
                  <w:p>
                    <w:pPr>
                      <w:spacing w:before="12"/>
                      <w:ind w:left="20" w:right="0" w:firstLine="0"/>
                      <w:jc w:val="left"/>
                      <w:rPr>
                        <w:rFonts w:ascii="Times New Roman"/>
                        <w:sz w:val="18"/>
                      </w:rPr>
                    </w:pPr>
                    <w:r>
                      <w:rPr>
                        <w:rFonts w:ascii="Times New Roman"/>
                        <w:sz w:val="18"/>
                      </w:rPr>
                      <w:t xml:space="preserve">- </w:t>
                    </w:r>
                    <w:r>
                      <w:fldChar w:fldCharType="begin"/>
                    </w:r>
                    <w:r>
                      <w:rPr>
                        <w:rFonts w:ascii="Times New Roman"/>
                        <w:sz w:val="18"/>
                      </w:rPr>
                      <w:instrText xml:space="preserve"> PAGE </w:instrText>
                    </w:r>
                    <w:r>
                      <w:fldChar w:fldCharType="separate"/>
                    </w:r>
                    <w:r>
                      <w:t>3</w:t>
                    </w:r>
                    <w:r>
                      <w:fldChar w:fldCharType="end"/>
                    </w:r>
                    <w:r>
                      <w:rPr>
                        <w:rFonts w:ascii="Times New Roman"/>
                        <w:sz w:val="1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endnotePr>
    <w:endnote w:id="0"/>
    <w:endnote w:id="1"/>
  </w:endnotePr>
  <w:compat>
    <w:ulTrailSpace/>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010827"/>
    <w:rsid w:val="04841851"/>
    <w:rsid w:val="0D5125EF"/>
    <w:rsid w:val="129C2B8F"/>
    <w:rsid w:val="176252C9"/>
    <w:rsid w:val="1BC35A19"/>
    <w:rsid w:val="1C1004E2"/>
    <w:rsid w:val="1CD610E1"/>
    <w:rsid w:val="1E592AEF"/>
    <w:rsid w:val="232C4BA4"/>
    <w:rsid w:val="316608AA"/>
    <w:rsid w:val="3C002858"/>
    <w:rsid w:val="3DD23B7F"/>
    <w:rsid w:val="3E176345"/>
    <w:rsid w:val="442D777E"/>
    <w:rsid w:val="4B2974C6"/>
    <w:rsid w:val="54993CFE"/>
    <w:rsid w:val="58014036"/>
    <w:rsid w:val="69B73B82"/>
    <w:rsid w:val="709C2E73"/>
    <w:rsid w:val="7B812D81"/>
    <w:rsid w:val="7C0B6261"/>
    <w:rsid w:val="7DF55C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paragraph" w:styleId="3">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7">
    <w:name w:val="Default Paragraph Font"/>
    <w:semiHidden/>
    <w:unhideWhenUsed/>
    <w:qFormat/>
    <w:uiPriority w:val="1"/>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4">
    <w:name w:val="Body Text"/>
    <w:basedOn w:val="1"/>
    <w:qFormat/>
    <w:uiPriority w:val="1"/>
    <w:rPr>
      <w:rFonts w:ascii="仿宋" w:hAnsi="仿宋" w:eastAsia="仿宋" w:cs="仿宋"/>
      <w:sz w:val="32"/>
      <w:szCs w:val="32"/>
      <w:lang w:val="zh-CN" w:eastAsia="zh-CN" w:bidi="zh-CN"/>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
    <w:name w:val="Table Normal"/>
    <w:semiHidden/>
    <w:unhideWhenUsed/>
    <w:qFormat/>
    <w:uiPriority w:val="2"/>
    <w:tblPr>
      <w:tblCellMar>
        <w:top w:w="0" w:type="dxa"/>
        <w:left w:w="0" w:type="dxa"/>
        <w:bottom w:w="0" w:type="dxa"/>
        <w:right w:w="0" w:type="dxa"/>
      </w:tblCellMar>
    </w:tblPr>
  </w:style>
  <w:style w:type="paragraph" w:styleId="9">
    <w:name w:val="List Paragraph"/>
    <w:basedOn w:val="1"/>
    <w:qFormat/>
    <w:uiPriority w:val="1"/>
    <w:pPr>
      <w:spacing w:before="1"/>
      <w:ind w:left="131" w:right="100" w:firstLine="640"/>
      <w:jc w:val="both"/>
    </w:pPr>
    <w:rPr>
      <w:rFonts w:ascii="仿宋" w:hAnsi="仿宋" w:eastAsia="仿宋" w:cs="仿宋"/>
      <w:lang w:val="zh-CN" w:eastAsia="zh-CN" w:bidi="zh-CN"/>
    </w:rPr>
  </w:style>
  <w:style w:type="paragraph" w:customStyle="1" w:styleId="10">
    <w:name w:val="Table Paragraph"/>
    <w:basedOn w:val="1"/>
    <w:qFormat/>
    <w:uiPriority w:val="1"/>
    <w:pPr>
      <w:spacing w:before="31" w:line="276" w:lineRule="exact"/>
      <w:ind w:left="14"/>
    </w:pPr>
    <w:rPr>
      <w:rFonts w:ascii="宋体" w:hAnsi="宋体" w:eastAsia="宋体" w:cs="宋体"/>
      <w:lang w:val="zh-CN" w:eastAsia="zh-CN" w:bidi="zh-CN"/>
    </w:rPr>
  </w:style>
  <w:style w:type="paragraph" w:customStyle="1" w:styleId="11">
    <w:name w:val="_Style 1"/>
    <w:qFormat/>
    <w:uiPriority w:val="99"/>
    <w:pPr>
      <w:widowControl w:val="0"/>
      <w:jc w:val="both"/>
    </w:pPr>
    <w:rPr>
      <w:rFonts w:ascii="宋体" w:hAnsi="Times New Roman" w:eastAsia="宋体" w:cs="宋体"/>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2020-08-26T03:34:00Z</dcterms:created>
  <dc:creator>user</dc:creator>
  <cp:lastModifiedBy>Administrator</cp:lastModifiedBy>
  <cp:lastPrinted>2021-08-26T07:21:00Z</cp:lastPrinted>
  <dcterms:modified xsi:type="dcterms:W3CDTF">2021-09-10T01:19:15Z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2020-08-20T00:00:00Z</vt:filetime>
  </property>
  <property fmtid="{D5CDD505-2E9C-101B-9397-08002B2CF9AE}" pid="3" name="Creator">
    <vt:lpwstr>WPS 文字</vt:lpwstr>
  </property>
  <property fmtid="{D5CDD505-2E9C-101B-9397-08002B2CF9AE}" pid="4" name="LastSaved">
    <vt:filetime>2020-08-26T00:00:00Z</vt:filetime>
  </property>
  <property fmtid="{D5CDD505-2E9C-101B-9397-08002B2CF9AE}" pid="5" name="KSOProductBuildVer">
    <vt:lpwstr>2052-11.1.0.10700</vt:lpwstr>
  </property>
  <property fmtid="{D5CDD505-2E9C-101B-9397-08002B2CF9AE}" pid="6" name="ICV">
    <vt:lpwstr>20402819A0374074ACC1E973FF1D194A</vt:lpwstr>
  </property>
</Properties>
</file>