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p>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lang w:eastAsia="zh-CN"/>
        </w:rPr>
        <w:t>南营镇</w:t>
      </w:r>
      <w:r>
        <w:rPr>
          <w:rFonts w:hint="eastAsia" w:ascii="宋体" w:hAnsi="宋体" w:eastAsia="宋体" w:cs="宋体"/>
          <w:b/>
          <w:bCs/>
          <w:sz w:val="44"/>
          <w:szCs w:val="44"/>
        </w:rPr>
        <w:t>人民政府</w:t>
      </w:r>
    </w:p>
    <w:p>
      <w:pPr>
        <w:widowControl w:val="0"/>
        <w:wordWrap/>
        <w:adjustRightInd/>
        <w:snapToGrid w:val="0"/>
        <w:spacing w:line="360" w:lineRule="auto"/>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2020</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val="en-US" w:eastAsia="zh-CN"/>
        </w:rPr>
        <w:t>的</w:t>
      </w:r>
      <w:r>
        <w:rPr>
          <w:rFonts w:hint="eastAsia" w:ascii="仿宋_GB2312" w:hAnsi="Calibri" w:eastAsia="仿宋_GB2312" w:cs="黑体"/>
          <w:kern w:val="2"/>
          <w:sz w:val="32"/>
          <w:szCs w:val="32"/>
          <w:lang w:val="en-US" w:eastAsia="zh-CN" w:bidi="ar-SA"/>
        </w:rPr>
        <w:t>要求</w:t>
      </w:r>
      <w:r>
        <w:rPr>
          <w:rFonts w:hint="eastAsia" w:ascii="仿宋" w:hAnsi="仿宋" w:eastAsia="仿宋"/>
          <w:sz w:val="32"/>
          <w:szCs w:val="32"/>
        </w:rPr>
        <w:t>，遵循“科学性、规范性、客观性和公正性”的原则，</w:t>
      </w:r>
      <w:r>
        <w:rPr>
          <w:rFonts w:hint="eastAsia" w:ascii="仿宋_GB2312" w:hAnsi="Calibri" w:eastAsia="仿宋_GB2312" w:cs="黑体"/>
          <w:kern w:val="2"/>
          <w:sz w:val="32"/>
          <w:szCs w:val="32"/>
          <w:lang w:val="en-US" w:eastAsia="zh-CN" w:bidi="ar-SA"/>
        </w:rPr>
        <w:t>组成绩效自评组，以预期绩效目标为指导，按照各项指标进行对照打分，对我镇村级办公经费、村级服务群众专项经费等9个项目实施了绩效自评价工作。</w:t>
      </w:r>
      <w:r>
        <w:rPr>
          <w:rFonts w:hint="eastAsia" w:ascii="仿宋_GB2312" w:hAnsi="仿宋_GB2312" w:eastAsia="仿宋_GB2312" w:cs="仿宋_GB2312"/>
          <w:sz w:val="32"/>
          <w:szCs w:val="32"/>
        </w:rPr>
        <w:t>具体开展情况如下：</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bookmarkStart w:id="0" w:name="_GoBack"/>
      <w:bookmarkEnd w:id="0"/>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人民政府成立了绩效评价小组，负责绩效评价的组织管理等工作。</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2、组织开展自评。石家庄市藁城区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人民政府按照要求整理相关数据和资料，对部门综合绩效情况进行自我评价，由绩效评价领导小组牵头，组织机关各科室对20</w:t>
      </w:r>
      <w:r>
        <w:rPr>
          <w:rFonts w:hint="eastAsia" w:ascii="仿宋_GB2312" w:hAnsi="仿宋" w:eastAsia="仿宋_GB2312"/>
          <w:sz w:val="32"/>
          <w:szCs w:val="32"/>
          <w:lang w:val="en-US" w:eastAsia="zh-CN"/>
        </w:rPr>
        <w:t>20</w:t>
      </w:r>
      <w:r>
        <w:rPr>
          <w:rFonts w:hint="eastAsia" w:ascii="仿宋_GB2312" w:hAnsi="仿宋" w:eastAsia="仿宋_GB2312"/>
          <w:sz w:val="32"/>
          <w:szCs w:val="32"/>
        </w:rPr>
        <w:t>年所有与本部门相关的财政支出项目开展了自评，逐个项目填报了《区级部门预算项目自评表》，并撰写《20</w:t>
      </w:r>
      <w:r>
        <w:rPr>
          <w:rFonts w:hint="eastAsia" w:ascii="仿宋_GB2312" w:hAnsi="仿宋" w:eastAsia="仿宋_GB2312"/>
          <w:sz w:val="32"/>
          <w:szCs w:val="32"/>
          <w:lang w:val="en-US" w:eastAsia="zh-CN"/>
        </w:rPr>
        <w:t>20</w:t>
      </w:r>
      <w:r>
        <w:rPr>
          <w:rFonts w:hint="eastAsia" w:ascii="仿宋_GB2312" w:hAnsi="仿宋" w:eastAsia="仿宋_GB2312"/>
          <w:sz w:val="32"/>
          <w:szCs w:val="32"/>
        </w:rPr>
        <w:t>部门年度绩效自评工作报告》。</w:t>
      </w:r>
    </w:p>
    <w:p>
      <w:pPr>
        <w:spacing w:line="600" w:lineRule="exact"/>
        <w:ind w:firstLine="720"/>
        <w:rPr>
          <w:rFonts w:hint="eastAsia" w:ascii="仿宋_GB2312" w:hAnsi="仿宋" w:eastAsia="仿宋_GB2312"/>
          <w:sz w:val="32"/>
          <w:szCs w:val="32"/>
        </w:rPr>
      </w:pPr>
      <w:r>
        <w:rPr>
          <w:rFonts w:hint="eastAsia" w:ascii="仿宋_GB2312" w:hAnsi="仿宋" w:eastAsia="仿宋_GB2312"/>
          <w:sz w:val="32"/>
          <w:szCs w:val="32"/>
        </w:rPr>
        <w:t>3、石家庄市藁城区</w:t>
      </w:r>
      <w:r>
        <w:rPr>
          <w:rFonts w:hint="eastAsia" w:ascii="仿宋_GB2312" w:hAnsi="仿宋" w:eastAsia="仿宋_GB2312"/>
          <w:sz w:val="32"/>
          <w:szCs w:val="32"/>
          <w:lang w:eastAsia="zh-CN"/>
        </w:rPr>
        <w:t>南营镇</w:t>
      </w:r>
      <w:r>
        <w:rPr>
          <w:rFonts w:hint="eastAsia" w:ascii="仿宋_GB2312" w:hAnsi="仿宋" w:eastAsia="仿宋_GB2312"/>
          <w:sz w:val="32"/>
          <w:szCs w:val="32"/>
        </w:rPr>
        <w:t>人民政府执行</w:t>
      </w:r>
      <w:r>
        <w:rPr>
          <w:rFonts w:hint="eastAsia" w:ascii="仿宋_GB2312" w:hAnsi="仿宋" w:eastAsia="仿宋_GB2312"/>
          <w:sz w:val="32"/>
          <w:szCs w:val="32"/>
          <w:lang w:eastAsia="zh-CN"/>
        </w:rPr>
        <w:t>财务</w:t>
      </w:r>
      <w:r>
        <w:rPr>
          <w:rFonts w:hint="eastAsia" w:ascii="仿宋_GB2312" w:hAnsi="仿宋" w:eastAsia="仿宋_GB2312"/>
          <w:sz w:val="32"/>
          <w:szCs w:val="32"/>
        </w:rPr>
        <w:t>制度和管理规定，按时完成预算执行进度，严格控制、合理利用各项经费，按要求进行预算管理。</w:t>
      </w:r>
    </w:p>
    <w:p>
      <w:pPr>
        <w:spacing w:line="600" w:lineRule="exact"/>
        <w:ind w:firstLine="720"/>
        <w:rPr>
          <w:rFonts w:hint="eastAsia" w:ascii="仿宋_GB2312" w:hAnsi="仿宋" w:eastAsia="仿宋_GB2312"/>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按年初预算，我镇20</w:t>
      </w:r>
      <w:r>
        <w:rPr>
          <w:rFonts w:hint="eastAsia" w:ascii="仿宋_GB2312" w:hAnsi="仿宋" w:eastAsia="仿宋_GB2312" w:cs="Times New Roman"/>
          <w:sz w:val="32"/>
          <w:szCs w:val="32"/>
          <w:lang w:val="en-US" w:eastAsia="zh-CN"/>
        </w:rPr>
        <w:t>20</w:t>
      </w:r>
      <w:r>
        <w:rPr>
          <w:rFonts w:hint="eastAsia" w:ascii="仿宋_GB2312" w:hAnsi="仿宋" w:eastAsia="仿宋_GB2312" w:cs="Times New Roman"/>
          <w:sz w:val="32"/>
          <w:szCs w:val="32"/>
        </w:rPr>
        <w:t>年预算项目共</w:t>
      </w:r>
      <w:r>
        <w:rPr>
          <w:rFonts w:hint="eastAsia" w:ascii="仿宋_GB2312" w:hAnsi="仿宋" w:eastAsia="仿宋_GB2312" w:cs="Times New Roman"/>
          <w:sz w:val="32"/>
          <w:szCs w:val="32"/>
          <w:lang w:val="en-US" w:eastAsia="zh-CN"/>
        </w:rPr>
        <w:t>9</w:t>
      </w:r>
      <w:r>
        <w:rPr>
          <w:rFonts w:hint="eastAsia" w:ascii="仿宋_GB2312" w:hAnsi="仿宋" w:eastAsia="仿宋_GB2312" w:cs="Times New Roman"/>
          <w:sz w:val="32"/>
          <w:szCs w:val="32"/>
        </w:rPr>
        <w:t>个，总计经费</w:t>
      </w:r>
      <w:r>
        <w:rPr>
          <w:rFonts w:hint="eastAsia" w:ascii="仿宋_GB2312" w:hAnsi="仿宋" w:eastAsia="仿宋_GB2312" w:cs="Times New Roman"/>
          <w:sz w:val="32"/>
          <w:szCs w:val="32"/>
          <w:lang w:val="en-US" w:eastAsia="zh-CN"/>
        </w:rPr>
        <w:t>219.97</w:t>
      </w:r>
      <w:r>
        <w:rPr>
          <w:rFonts w:hint="eastAsia" w:ascii="仿宋_GB2312" w:hAnsi="仿宋" w:eastAsia="仿宋_GB2312" w:cs="Times New Roman"/>
          <w:sz w:val="32"/>
          <w:szCs w:val="32"/>
        </w:rPr>
        <w:t>万元，主要支出明细如下：</w:t>
      </w:r>
    </w:p>
    <w:p>
      <w:pPr>
        <w:numPr>
          <w:ilvl w:val="0"/>
          <w:numId w:val="1"/>
        </w:numPr>
        <w:spacing w:line="600" w:lineRule="exact"/>
        <w:ind w:left="-10" w:leftChars="0" w:firstLine="64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学区工会费17万元；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政府工会费3万元；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村级办公经费6万元；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服务群众专项经费39万元；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正常离任村干部生活补贴12.05万元；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衡井线占地补偿2.52万元；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南营村级工作经费25万元；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南营镇综合工作经费95.4万元；</w:t>
      </w:r>
    </w:p>
    <w:p>
      <w:pPr>
        <w:numPr>
          <w:ilvl w:val="0"/>
          <w:numId w:val="1"/>
        </w:numPr>
        <w:spacing w:line="600" w:lineRule="exact"/>
        <w:ind w:left="-10" w:leftChars="0" w:firstLine="640" w:firstLineChars="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南营镇环境整治暨三治融合文明城创建20万元；</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我镇将上述资金细化，根据预算管理的要求，结合我单位实际情况，制定了切实可行、可量化、可考评的年度目标，并依据财政制定的相关财</w:t>
      </w:r>
      <w:r>
        <w:rPr>
          <w:rFonts w:hint="eastAsia" w:ascii="仿宋_GB2312" w:hAnsi="仿宋" w:eastAsia="仿宋_GB2312" w:cs="Times New Roman"/>
          <w:sz w:val="32"/>
          <w:szCs w:val="32"/>
          <w:lang w:eastAsia="zh-CN"/>
        </w:rPr>
        <w:t>务</w:t>
      </w:r>
      <w:r>
        <w:rPr>
          <w:rFonts w:hint="eastAsia" w:ascii="仿宋_GB2312" w:hAnsi="仿宋" w:eastAsia="仿宋_GB2312" w:cs="Times New Roman"/>
          <w:sz w:val="32"/>
          <w:szCs w:val="32"/>
        </w:rPr>
        <w:t>制度、政府采购法规及行政会计制度，在严格实行专款专用的前提下进行了实时监控、全程监督。单位领导十分重视专项资金的使用，按财政相关要求资金项目进展情况良好。</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截止20</w:t>
      </w:r>
      <w:r>
        <w:rPr>
          <w:rFonts w:hint="eastAsia" w:ascii="仿宋_GB2312" w:hAnsi="仿宋" w:eastAsia="仿宋_GB2312" w:cs="Times New Roman"/>
          <w:sz w:val="32"/>
          <w:szCs w:val="32"/>
          <w:lang w:val="en-US" w:eastAsia="zh-CN"/>
        </w:rPr>
        <w:t>20</w:t>
      </w:r>
      <w:r>
        <w:rPr>
          <w:rFonts w:hint="eastAsia" w:ascii="仿宋_GB2312" w:hAnsi="仿宋" w:eastAsia="仿宋_GB2312" w:cs="Times New Roman"/>
          <w:sz w:val="32"/>
          <w:szCs w:val="32"/>
        </w:rPr>
        <w:t>年12月底，单位尚未发现有挪用、挤占专项资金的情况，整个项目资金使用率已达到100%。</w:t>
      </w:r>
    </w:p>
    <w:p>
      <w:pPr>
        <w:spacing w:line="600" w:lineRule="exact"/>
        <w:ind w:firstLine="720"/>
        <w:rPr>
          <w:rFonts w:hint="eastAsia" w:ascii="仿宋_GB2312" w:hAnsi="仿宋" w:eastAsia="仿宋_GB2312" w:cs="Times New Roman"/>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lang w:eastAsia="zh-CN"/>
        </w:rPr>
        <w:t>南营镇</w:t>
      </w:r>
      <w:r>
        <w:rPr>
          <w:rFonts w:hint="eastAsia" w:ascii="仿宋_GB2312" w:hAnsi="仿宋" w:eastAsia="仿宋_GB2312" w:cs="Times New Roman"/>
          <w:sz w:val="32"/>
          <w:szCs w:val="32"/>
        </w:rPr>
        <w:t>20</w:t>
      </w:r>
      <w:r>
        <w:rPr>
          <w:rFonts w:hint="eastAsia" w:ascii="仿宋_GB2312" w:hAnsi="仿宋" w:eastAsia="仿宋_GB2312" w:cs="Times New Roman"/>
          <w:sz w:val="32"/>
          <w:szCs w:val="32"/>
          <w:lang w:val="en-US" w:eastAsia="zh-CN"/>
        </w:rPr>
        <w:t>20</w:t>
      </w:r>
      <w:r>
        <w:rPr>
          <w:rFonts w:hint="eastAsia" w:ascii="仿宋_GB2312" w:hAnsi="仿宋" w:eastAsia="仿宋_GB2312" w:cs="Times New Roman"/>
          <w:sz w:val="32"/>
          <w:szCs w:val="32"/>
        </w:rPr>
        <w:t>年</w:t>
      </w:r>
      <w:r>
        <w:rPr>
          <w:rFonts w:hint="eastAsia" w:ascii="仿宋_GB2312" w:hAnsi="仿宋" w:eastAsia="仿宋_GB2312" w:cs="Times New Roman"/>
          <w:sz w:val="32"/>
          <w:szCs w:val="32"/>
          <w:lang w:eastAsia="zh-CN"/>
        </w:rPr>
        <w:t>共有学区工会费、政府工会费</w:t>
      </w:r>
      <w:r>
        <w:rPr>
          <w:rFonts w:hint="eastAsia" w:ascii="仿宋_GB2312" w:hAnsi="仿宋" w:eastAsia="仿宋_GB2312" w:cs="Times New Roman"/>
          <w:sz w:val="32"/>
          <w:szCs w:val="32"/>
        </w:rPr>
        <w:t>、</w:t>
      </w:r>
      <w:r>
        <w:rPr>
          <w:rFonts w:hint="eastAsia" w:ascii="仿宋_GB2312" w:hAnsi="仿宋" w:eastAsia="仿宋_GB2312" w:cs="Times New Roman"/>
          <w:sz w:val="32"/>
          <w:szCs w:val="32"/>
          <w:lang w:val="en-US" w:eastAsia="zh-CN"/>
        </w:rPr>
        <w:t>综合工作经费、村级办公经费9</w:t>
      </w:r>
      <w:r>
        <w:rPr>
          <w:rFonts w:hint="eastAsia" w:ascii="仿宋_GB2312" w:hAnsi="仿宋" w:eastAsia="仿宋_GB2312" w:cs="Times New Roman"/>
          <w:sz w:val="32"/>
          <w:szCs w:val="32"/>
        </w:rPr>
        <w:t>个项目</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年初预算金额为</w:t>
      </w:r>
      <w:r>
        <w:rPr>
          <w:rFonts w:hint="eastAsia" w:ascii="仿宋_GB2312" w:hAnsi="仿宋" w:eastAsia="仿宋_GB2312" w:cs="Times New Roman"/>
          <w:sz w:val="32"/>
          <w:szCs w:val="32"/>
          <w:lang w:val="en-US" w:eastAsia="zh-CN"/>
        </w:rPr>
        <w:t>219.97</w:t>
      </w:r>
      <w:r>
        <w:rPr>
          <w:rFonts w:hint="eastAsia" w:ascii="仿宋_GB2312" w:hAnsi="仿宋" w:eastAsia="仿宋_GB2312" w:cs="Times New Roman"/>
          <w:sz w:val="32"/>
          <w:szCs w:val="32"/>
        </w:rPr>
        <w:t>万元。</w:t>
      </w:r>
    </w:p>
    <w:p>
      <w:pPr>
        <w:spacing w:line="600" w:lineRule="exact"/>
        <w:ind w:firstLine="720"/>
        <w:rPr>
          <w:rFonts w:hint="eastAsia" w:ascii="仿宋_GB2312" w:hAnsi="仿宋" w:eastAsia="仿宋_GB2312" w:cs="Times New Roman"/>
          <w:sz w:val="32"/>
          <w:szCs w:val="32"/>
        </w:rPr>
      </w:pPr>
      <w:r>
        <w:rPr>
          <w:rFonts w:hint="eastAsia" w:ascii="仿宋_GB2312" w:hAnsi="仿宋" w:eastAsia="仿宋_GB2312" w:cs="Times New Roman"/>
          <w:sz w:val="32"/>
          <w:szCs w:val="32"/>
        </w:rPr>
        <w:t>项目实施单位为</w:t>
      </w:r>
      <w:r>
        <w:rPr>
          <w:rFonts w:hint="eastAsia" w:ascii="仿宋_GB2312" w:hAnsi="仿宋" w:eastAsia="仿宋_GB2312" w:cs="Times New Roman"/>
          <w:sz w:val="32"/>
          <w:szCs w:val="32"/>
          <w:lang w:eastAsia="zh-CN"/>
        </w:rPr>
        <w:t>南营镇</w:t>
      </w:r>
      <w:r>
        <w:rPr>
          <w:rFonts w:hint="eastAsia" w:ascii="仿宋_GB2312" w:hAnsi="仿宋" w:eastAsia="仿宋_GB2312" w:cs="Times New Roman"/>
          <w:sz w:val="32"/>
          <w:szCs w:val="32"/>
        </w:rPr>
        <w:t>人民政府，</w:t>
      </w:r>
      <w:r>
        <w:rPr>
          <w:rFonts w:hint="eastAsia" w:ascii="仿宋_GB2312" w:hAnsi="仿宋" w:eastAsia="仿宋_GB2312" w:cs="Times New Roman"/>
          <w:sz w:val="32"/>
          <w:szCs w:val="32"/>
          <w:lang w:eastAsia="zh-CN"/>
        </w:rPr>
        <w:t>上述</w:t>
      </w:r>
      <w:r>
        <w:rPr>
          <w:rFonts w:hint="eastAsia" w:ascii="仿宋_GB2312" w:hAnsi="仿宋" w:eastAsia="仿宋_GB2312" w:cs="Times New Roman"/>
          <w:sz w:val="32"/>
          <w:szCs w:val="32"/>
        </w:rPr>
        <w:t>项目是</w:t>
      </w:r>
      <w:r>
        <w:rPr>
          <w:rFonts w:hint="eastAsia" w:ascii="仿宋_GB2312" w:hAnsi="仿宋" w:eastAsia="仿宋_GB2312" w:cs="Times New Roman"/>
          <w:sz w:val="32"/>
          <w:szCs w:val="32"/>
          <w:lang w:eastAsia="zh-CN"/>
        </w:rPr>
        <w:t>依据区财政“保工资、保运转、保民生”的原则进行设定的。南营镇</w:t>
      </w:r>
      <w:r>
        <w:rPr>
          <w:rFonts w:hint="eastAsia" w:ascii="仿宋_GB2312" w:hAnsi="仿宋" w:eastAsia="仿宋_GB2312" w:cs="Times New Roman"/>
          <w:sz w:val="32"/>
          <w:szCs w:val="32"/>
        </w:rPr>
        <w:t>本着</w:t>
      </w:r>
      <w:r>
        <w:rPr>
          <w:rFonts w:hint="eastAsia" w:ascii="仿宋_GB2312" w:hAnsi="仿宋" w:eastAsia="仿宋_GB2312" w:cs="Times New Roman"/>
          <w:sz w:val="32"/>
          <w:szCs w:val="32"/>
          <w:lang w:eastAsia="zh-CN"/>
        </w:rPr>
        <w:t>强化</w:t>
      </w:r>
      <w:r>
        <w:rPr>
          <w:rFonts w:hint="eastAsia" w:ascii="仿宋_GB2312" w:hAnsi="仿宋" w:eastAsia="仿宋_GB2312" w:cs="Times New Roman"/>
          <w:sz w:val="32"/>
          <w:szCs w:val="32"/>
        </w:rPr>
        <w:t>环境整治</w:t>
      </w:r>
      <w:r>
        <w:rPr>
          <w:rFonts w:hint="eastAsia" w:ascii="仿宋_GB2312" w:hAnsi="仿宋" w:eastAsia="仿宋_GB2312" w:cs="Times New Roman"/>
          <w:sz w:val="32"/>
          <w:szCs w:val="32"/>
          <w:lang w:eastAsia="zh-CN"/>
        </w:rPr>
        <w:t>、促进</w:t>
      </w:r>
      <w:r>
        <w:rPr>
          <w:rFonts w:hint="eastAsia" w:ascii="仿宋_GB2312" w:hAnsi="仿宋" w:eastAsia="仿宋_GB2312" w:cs="Times New Roman"/>
          <w:sz w:val="32"/>
          <w:szCs w:val="32"/>
        </w:rPr>
        <w:t>面貌</w:t>
      </w:r>
      <w:r>
        <w:rPr>
          <w:rFonts w:hint="eastAsia" w:ascii="仿宋_GB2312" w:hAnsi="仿宋" w:eastAsia="仿宋_GB2312" w:cs="Times New Roman"/>
          <w:sz w:val="32"/>
          <w:szCs w:val="32"/>
          <w:lang w:eastAsia="zh-CN"/>
        </w:rPr>
        <w:t>提升</w:t>
      </w:r>
      <w:r>
        <w:rPr>
          <w:rFonts w:hint="eastAsia" w:ascii="仿宋_GB2312" w:hAnsi="仿宋" w:eastAsia="仿宋_GB2312" w:cs="Times New Roman"/>
          <w:sz w:val="32"/>
          <w:szCs w:val="32"/>
        </w:rPr>
        <w:t>、维护信访稳定、防治环境污染、清理违法占地、维护食品安全、保障安全生产等</w:t>
      </w:r>
      <w:r>
        <w:rPr>
          <w:rFonts w:hint="eastAsia" w:ascii="仿宋_GB2312" w:hAnsi="仿宋" w:eastAsia="仿宋_GB2312" w:cs="Times New Roman"/>
          <w:sz w:val="32"/>
          <w:szCs w:val="32"/>
          <w:lang w:eastAsia="zh-CN"/>
        </w:rPr>
        <w:t>工作统筹</w:t>
      </w:r>
      <w:r>
        <w:rPr>
          <w:rFonts w:hint="eastAsia" w:ascii="仿宋_GB2312" w:hAnsi="仿宋" w:eastAsia="仿宋_GB2312" w:cs="Times New Roman"/>
          <w:sz w:val="32"/>
          <w:szCs w:val="32"/>
        </w:rPr>
        <w:t>使用</w:t>
      </w:r>
      <w:r>
        <w:rPr>
          <w:rFonts w:hint="eastAsia" w:ascii="仿宋_GB2312" w:hAnsi="仿宋" w:eastAsia="仿宋_GB2312" w:cs="Times New Roman"/>
          <w:sz w:val="32"/>
          <w:szCs w:val="32"/>
          <w:lang w:eastAsia="zh-CN"/>
        </w:rPr>
        <w:t>项目资金</w:t>
      </w:r>
      <w:r>
        <w:rPr>
          <w:rFonts w:hint="eastAsia" w:ascii="仿宋_GB2312" w:hAnsi="仿宋" w:eastAsia="仿宋_GB2312" w:cs="Times New Roman"/>
          <w:sz w:val="32"/>
          <w:szCs w:val="32"/>
        </w:rPr>
        <w:t>，项目资金来源是财政预算拨款。</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rPr>
        <w:t>政府信访、环保、土地、食品、安全生产、协税等工作经费及劳务费预期绩效总目标是按</w:t>
      </w:r>
      <w:r>
        <w:rPr>
          <w:rFonts w:hint="eastAsia" w:ascii="仿宋_GB2312" w:hAnsi="仿宋" w:eastAsia="仿宋_GB2312" w:cs="Times New Roman"/>
          <w:sz w:val="32"/>
          <w:szCs w:val="32"/>
          <w:lang w:val="en-US" w:eastAsia="zh-CN"/>
        </w:rPr>
        <w:t>2020年度各项工作任务情况进行设定，经自评，各项任务目标均已达到，</w:t>
      </w:r>
      <w:r>
        <w:rPr>
          <w:rFonts w:hint="eastAsia" w:ascii="仿宋_GB2312" w:hAnsi="仿宋" w:eastAsia="仿宋_GB2312" w:cs="Times New Roman"/>
          <w:sz w:val="32"/>
          <w:szCs w:val="32"/>
        </w:rPr>
        <w:t>资金使用率100%</w:t>
      </w:r>
      <w:r>
        <w:rPr>
          <w:rFonts w:hint="eastAsia" w:ascii="仿宋_GB2312" w:hAnsi="仿宋" w:eastAsia="仿宋_GB2312" w:cs="Times New Roman"/>
          <w:sz w:val="32"/>
          <w:szCs w:val="32"/>
          <w:lang w:eastAsia="zh-CN"/>
        </w:rPr>
        <w:t>，各项目绩效执行情况良好。</w:t>
      </w:r>
    </w:p>
    <w:p>
      <w:pPr>
        <w:spacing w:line="600" w:lineRule="exact"/>
        <w:ind w:firstLine="720"/>
        <w:rPr>
          <w:rFonts w:hint="eastAsia" w:ascii="仿宋_GB2312" w:hAnsi="仿宋" w:eastAsia="仿宋_GB2312" w:cs="Times New Roman"/>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学区工会费、政府工会费能够严格根据预算执行。综合公用经费，涵盖范围交广，涉及内容较多，且信访、环保、土地、食品、安全生产、协税等工作经费及劳务费预算编制主要参考往年支出并结合对下年的预期进行编制，但实际执行过程中因为阶段性重点工作的变化，存在一定偏差。</w:t>
      </w:r>
    </w:p>
    <w:p>
      <w:pPr>
        <w:spacing w:line="600" w:lineRule="exact"/>
        <w:ind w:firstLine="720"/>
        <w:rPr>
          <w:rFonts w:hint="eastAsia" w:ascii="仿宋_GB2312" w:hAnsi="仿宋" w:eastAsia="仿宋_GB2312" w:cs="Times New Roman"/>
          <w:sz w:val="32"/>
          <w:szCs w:val="32"/>
          <w:lang w:eastAsia="zh-CN"/>
        </w:rPr>
      </w:pPr>
      <w:r>
        <w:rPr>
          <w:rFonts w:hint="eastAsia" w:ascii="仿宋_GB2312" w:hAnsi="仿宋" w:eastAsia="仿宋_GB2312" w:cs="Times New Roman"/>
          <w:sz w:val="32"/>
          <w:szCs w:val="32"/>
          <w:lang w:eastAsia="zh-CN"/>
        </w:rPr>
        <w:t>改进措施：及时与财政沟通，根据不同情况合理列支支出项目。</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DF9DBA"/>
    <w:multiLevelType w:val="singleLevel"/>
    <w:tmpl w:val="9EDF9DBA"/>
    <w:lvl w:ilvl="0" w:tentative="0">
      <w:start w:val="1"/>
      <w:numFmt w:val="decimal"/>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13B61930"/>
    <w:rsid w:val="20276775"/>
    <w:rsid w:val="28CF3176"/>
    <w:rsid w:val="386772E1"/>
    <w:rsid w:val="3AEF6FE7"/>
    <w:rsid w:val="3C6F482D"/>
    <w:rsid w:val="493B718D"/>
    <w:rsid w:val="53A42ADD"/>
    <w:rsid w:val="59A0342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8</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2021-09-06T10:02:41Z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B9852D3A73324D8D8FC639D686EAE832</vt:lpwstr>
  </property>
</Properties>
</file>