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883" w:firstLineChars="200"/>
        <w:jc w:val="center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藁城区档案馆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883" w:firstLineChars="200"/>
        <w:jc w:val="center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2020年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藁城区档案馆成立了由馆长任组长、副馆长任副组长，相关业务科室科长、财务人员为成员的绩效自评工作小组，通过实地查看、核对账务对2020年项目资金的收入、支出、日常财务管理等项目绩效实施情况作了系统、全面的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更好地发挥档案馆资政惠民的作用，藁城区档案馆2020年申请了1个项目资金，是档案日常管理维护费20.25万元，全部为财政资金。2020年收到财政专项资金档案日常管理维护费20.25万元，区档案馆严格按照财政收支管理规定全部支出专项资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2020年，藁城区档案馆继续做好接收整理档案、更换旧卷皮、添置库房“九防”设施设备、对破损档案进行修复、完成年内电子扫描录入工作等档案管理工作，使馆藏更加丰富,档案保管更加规范化标准化。档案日常管理维护费</w:t>
      </w:r>
      <w:r>
        <w:rPr>
          <w:rFonts w:hint="eastAsia" w:ascii="仿宋" w:hAnsi="仿宋" w:eastAsia="仿宋" w:cs="仿宋"/>
          <w:sz w:val="32"/>
          <w:szCs w:val="32"/>
        </w:rPr>
        <w:t>专项资金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到位率和支出率均达到100%，档案日常管理维护费</w:t>
      </w:r>
      <w:r>
        <w:rPr>
          <w:rFonts w:hint="eastAsia" w:ascii="仿宋" w:hAnsi="仿宋" w:eastAsia="仿宋" w:cs="仿宋"/>
          <w:sz w:val="32"/>
          <w:szCs w:val="32"/>
        </w:rPr>
        <w:t>项目的预期绩效目标完成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率在95%以上，评价结果为优秀。虽然评价结果较好，但是也存在一定的问题，主要表现在对馆藏破损档案的修复及时率有待进一步提高方面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通过2020年绩效自评，2020年年初绩效目标设定质量较好，</w:t>
      </w:r>
      <w:r>
        <w:rPr>
          <w:rFonts w:hint="eastAsia" w:ascii="仿宋" w:hAnsi="仿宋" w:eastAsia="仿宋" w:cs="仿宋"/>
          <w:sz w:val="32"/>
          <w:szCs w:val="32"/>
        </w:rPr>
        <w:t>绩效目标设定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比较</w:t>
      </w:r>
      <w:r>
        <w:rPr>
          <w:rFonts w:hint="eastAsia" w:ascii="仿宋" w:hAnsi="仿宋" w:eastAsia="仿宋" w:cs="仿宋"/>
          <w:sz w:val="32"/>
          <w:szCs w:val="32"/>
        </w:rPr>
        <w:t>清晰准确，绩效指标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比较</w:t>
      </w:r>
      <w:r>
        <w:rPr>
          <w:rFonts w:hint="eastAsia" w:ascii="仿宋" w:hAnsi="仿宋" w:eastAsia="仿宋" w:cs="仿宋"/>
          <w:sz w:val="32"/>
          <w:szCs w:val="32"/>
        </w:rPr>
        <w:t>全面完整、科学合理，绩效标准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比较</w:t>
      </w:r>
      <w:r>
        <w:rPr>
          <w:rFonts w:hint="eastAsia" w:ascii="仿宋" w:hAnsi="仿宋" w:eastAsia="仿宋" w:cs="仿宋"/>
          <w:sz w:val="32"/>
          <w:szCs w:val="32"/>
        </w:rPr>
        <w:t>恰当适宜、易于评价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针对绩效自评中发现的问题，藁城区档案馆拟采取以下措施加以改进：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1.进一步扩大和加强档案收集的范围和力度。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bookmarkStart w:id="0" w:name="_GoBack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进一步加强预算资金管理，对预算的事前、事中、事后进行全过程控制，加大对预算编制与执行的监督管理力度，提高预算资金使用效率。</w:t>
      </w:r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藁城区档案馆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jc w:val="right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2021年6月30日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360" w:lineRule="auto"/>
        <w:ind w:leftChars="20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8240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6FE15E6"/>
    <w:rsid w:val="092A2328"/>
    <w:rsid w:val="13B61930"/>
    <w:rsid w:val="20276775"/>
    <w:rsid w:val="3AEF6FE7"/>
    <w:rsid w:val="3E422D22"/>
    <w:rsid w:val="493B718D"/>
    <w:rsid w:val="4AC04F46"/>
    <w:rsid w:val="53A42ADD"/>
    <w:rsid w:val="596071DE"/>
    <w:rsid w:val="59A03424"/>
    <w:rsid w:val="69CC495F"/>
    <w:rsid w:val="6D0D6029"/>
    <w:rsid w:val="787479E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11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2021-02-24T05:43:00Z</cp:lastPrinted>
  <dcterms:modified xsi:type="dcterms:W3CDTF">2021-07-05T03:18:21Z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