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2020年水利部门预算信息公开情况说明</w:t>
      </w:r>
    </w:p>
    <w:p>
      <w:pPr>
        <w:ind w:firstLine="640"/>
        <w:rPr>
          <w:rFonts w:ascii="Times New Roman" w:hAnsi="Times New Roman" w:eastAsia="仿宋" w:cs="Times New Roman"/>
          <w:sz w:val="32"/>
          <w:szCs w:val="32"/>
        </w:rPr>
      </w:pP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按照《预算法》、《地方预决算公开操作规程》和《河北省省级预算公开办法》规定，现将藁城区水利部门2020年部门预算公开如下：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spacing w:line="500" w:lineRule="exact"/>
        <w:ind w:firstLine="560"/>
        <w:rPr>
          <w:sz w:val="28"/>
        </w:rPr>
      </w:pPr>
      <w:r>
        <w:rPr>
          <w:rFonts w:hint="eastAsia" w:ascii="仿宋" w:hAnsi="仿宋" w:eastAsia="仿宋" w:cs="Times New Roman"/>
          <w:b/>
          <w:sz w:val="32"/>
          <w:szCs w:val="32"/>
        </w:rPr>
        <w:t>部门</w:t>
      </w:r>
      <w:r>
        <w:rPr>
          <w:rFonts w:ascii="仿宋" w:hAnsi="仿宋" w:eastAsia="仿宋" w:cs="Times New Roman"/>
          <w:b/>
          <w:sz w:val="32"/>
          <w:szCs w:val="32"/>
        </w:rPr>
        <w:t>职责：</w:t>
      </w:r>
    </w:p>
    <w:p>
      <w:pPr>
        <w:ind w:firstLine="640"/>
        <w:rPr>
          <w:rFonts w:ascii="Times New Roman" w:hAnsi="Times New Roman" w:eastAsia="仿宋" w:cs="Times New Roman"/>
          <w:sz w:val="32"/>
          <w:szCs w:val="32"/>
        </w:rPr>
      </w:pPr>
      <w:r>
        <w:rPr>
          <w:rFonts w:ascii="Batang" w:hAnsi="Batang" w:eastAsia="Batang"/>
          <w:sz w:val="28"/>
        </w:rPr>
        <w:t>(</w:t>
      </w:r>
      <w:r>
        <w:rPr>
          <w:rFonts w:hint="eastAsia" w:ascii="Times New Roman" w:hAnsi="Times New Roman" w:eastAsia="仿宋" w:cs="Times New Roman"/>
          <w:sz w:val="32"/>
          <w:szCs w:val="32"/>
        </w:rPr>
        <w:t>一)</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水利水电项目建设与管理</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水利水电项目的建设与维护管理。</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按期完成水利水电项目建设和维修管护任务，对社会稳定和经济发展起到积极作用</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(二)</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水资源保护和生态建设</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组织实施全县水资源管理和水土保持相关工作。</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促进水资源可持续发展，保护生态环境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(三)</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水利科技支撑和公共服务</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组织全县水利事业建设的科技创新和技术示范推广，为水利事业科学发展提供公共支撑。</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示范推广水利工程和管理技术，提高水利事业管理水平。</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(四)</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水利政务管理</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依法依规履行机关日常管理职责。</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依法依规履行机关日常管理职责，确保水利工作正常运行。</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w:t>
      </w:r>
      <w:r>
        <w:rPr>
          <w:rFonts w:hint="eastAsia" w:ascii="Times New Roman" w:hAnsi="Times New Roman" w:eastAsia="仿宋" w:cs="Times New Roman"/>
          <w:sz w:val="32"/>
          <w:szCs w:val="32"/>
          <w:lang w:eastAsia="zh-CN"/>
        </w:rPr>
        <w:t>五</w:t>
      </w:r>
      <w:r>
        <w:rPr>
          <w:rFonts w:hint="eastAsia" w:ascii="Times New Roman" w:hAnsi="Times New Roman" w:eastAsia="仿宋" w:cs="Times New Roman"/>
          <w:sz w:val="32"/>
          <w:szCs w:val="32"/>
        </w:rPr>
        <w:t>)</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水利科技支撑和公共服务</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组织指导全省水利事业建设的科技创新和技术示范推广，为水利事业科学发展提供公共支撑。</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研制并示范推广水利工程和管理技术，提高水利事业管理水平。</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w:t>
      </w:r>
      <w:r>
        <w:rPr>
          <w:rFonts w:hint="eastAsia" w:ascii="Times New Roman" w:hAnsi="Times New Roman" w:eastAsia="仿宋" w:cs="Times New Roman"/>
          <w:sz w:val="32"/>
          <w:szCs w:val="32"/>
          <w:lang w:eastAsia="zh-CN"/>
        </w:rPr>
        <w:t>六</w:t>
      </w:r>
      <w:r>
        <w:rPr>
          <w:rFonts w:hint="eastAsia" w:ascii="Times New Roman" w:hAnsi="Times New Roman" w:eastAsia="仿宋" w:cs="Times New Roman"/>
          <w:sz w:val="32"/>
          <w:szCs w:val="32"/>
        </w:rPr>
        <w:t>)</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水政监察和水行政执法</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制定水政执法巡查、水事案件查处等相关制度并组织实施。</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依法打击非法取水、非法采砂等违法行为，维护正常的水事管理秩序。</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w:t>
      </w:r>
      <w:r>
        <w:rPr>
          <w:rFonts w:hint="eastAsia" w:ascii="Times New Roman" w:hAnsi="Times New Roman" w:eastAsia="仿宋" w:cs="Times New Roman"/>
          <w:sz w:val="32"/>
          <w:szCs w:val="32"/>
          <w:lang w:eastAsia="zh-CN"/>
        </w:rPr>
        <w:t>七</w:t>
      </w:r>
      <w:r>
        <w:rPr>
          <w:rFonts w:hint="eastAsia" w:ascii="Times New Roman" w:hAnsi="Times New Roman" w:eastAsia="仿宋" w:cs="Times New Roman"/>
          <w:sz w:val="32"/>
          <w:szCs w:val="32"/>
        </w:rPr>
        <w:t>)</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城市供水</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城市供水及管网维护、水费收取等。</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提升供水服务质量，加强隐患排查，保障安全供水，足额收取水费。</w:t>
      </w:r>
    </w:p>
    <w:p>
      <w:pPr>
        <w:ind w:firstLine="640"/>
        <w:rPr>
          <w:rFonts w:ascii="仿宋" w:hAnsi="仿宋" w:eastAsia="仿宋" w:cs="Times New Roman"/>
          <w:sz w:val="32"/>
          <w:szCs w:val="32"/>
        </w:rPr>
      </w:pPr>
      <w:r>
        <w:rPr>
          <w:rFonts w:hint="eastAsia" w:ascii="Times New Roman" w:hAnsi="Times New Roman" w:eastAsia="仿宋" w:cs="Times New Roman"/>
          <w:sz w:val="32"/>
          <w:szCs w:val="32"/>
        </w:rPr>
        <w:t>(</w:t>
      </w:r>
      <w:r>
        <w:rPr>
          <w:rFonts w:hint="eastAsia" w:ascii="Times New Roman" w:hAnsi="Times New Roman" w:eastAsia="仿宋" w:cs="Times New Roman"/>
          <w:sz w:val="32"/>
          <w:szCs w:val="32"/>
          <w:lang w:eastAsia="zh-CN"/>
        </w:rPr>
        <w:t>八</w:t>
      </w:r>
      <w:r>
        <w:rPr>
          <w:rFonts w:hint="eastAsia" w:ascii="Times New Roman" w:hAnsi="Times New Roman" w:eastAsia="仿宋" w:cs="Times New Roman"/>
          <w:sz w:val="32"/>
          <w:szCs w:val="32"/>
        </w:rPr>
        <w:t>)</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水利工程</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打井、吹井及水利工程、农田水利服务、水泥管道加工等。</w:t>
      </w:r>
      <w:r>
        <w:rPr>
          <w:rFonts w:hint="eastAsia" w:ascii="Times New Roman" w:hAnsi="Times New Roman" w:eastAsia="仿宋" w:cs="Times New Roman"/>
          <w:sz w:val="32"/>
          <w:szCs w:val="32"/>
        </w:rPr>
        <w:tab/>
      </w:r>
      <w:r>
        <w:rPr>
          <w:rFonts w:hint="eastAsia" w:ascii="Times New Roman" w:hAnsi="Times New Roman" w:eastAsia="仿宋" w:cs="Times New Roman"/>
          <w:sz w:val="32"/>
          <w:szCs w:val="32"/>
        </w:rPr>
        <w:t>配合相关部门完成水利基础设施建设。</w:t>
      </w: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9"/>
        <w:tblW w:w="957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349"/>
        <w:gridCol w:w="1116"/>
        <w:gridCol w:w="1256"/>
        <w:gridCol w:w="285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4" w:hRule="atLeast"/>
          <w:tblHeader/>
          <w:jc w:val="center"/>
        </w:trPr>
        <w:tc>
          <w:tcPr>
            <w:tcW w:w="4349"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16"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56"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857"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4" w:hRule="atLeast"/>
          <w:tblHeader/>
          <w:jc w:val="center"/>
        </w:trPr>
        <w:tc>
          <w:tcPr>
            <w:tcW w:w="4349" w:type="dxa"/>
            <w:vMerge w:val="continue"/>
            <w:vAlign w:val="center"/>
          </w:tcPr>
          <w:p>
            <w:pPr>
              <w:spacing w:line="300" w:lineRule="exact"/>
              <w:jc w:val="left"/>
              <w:outlineLvl w:val="0"/>
              <w:rPr>
                <w:rFonts w:ascii="Times New Roman" w:hAnsi="Times New Roman" w:cs="Times New Roman"/>
                <w:szCs w:val="24"/>
              </w:rPr>
            </w:pPr>
          </w:p>
        </w:tc>
        <w:tc>
          <w:tcPr>
            <w:tcW w:w="1116" w:type="dxa"/>
            <w:vMerge w:val="continue"/>
            <w:vAlign w:val="center"/>
          </w:tcPr>
          <w:p>
            <w:pPr>
              <w:spacing w:line="300" w:lineRule="exact"/>
              <w:jc w:val="left"/>
              <w:outlineLvl w:val="0"/>
              <w:rPr>
                <w:rFonts w:ascii="Times New Roman" w:hAnsi="Times New Roman" w:cs="Times New Roman"/>
                <w:szCs w:val="24"/>
              </w:rPr>
            </w:pPr>
          </w:p>
        </w:tc>
        <w:tc>
          <w:tcPr>
            <w:tcW w:w="1256" w:type="dxa"/>
            <w:vMerge w:val="continue"/>
            <w:vAlign w:val="center"/>
          </w:tcPr>
          <w:p>
            <w:pPr>
              <w:spacing w:line="300" w:lineRule="exact"/>
              <w:jc w:val="left"/>
              <w:outlineLvl w:val="0"/>
              <w:rPr>
                <w:rFonts w:ascii="Times New Roman" w:hAnsi="Times New Roman" w:cs="Times New Roman"/>
                <w:szCs w:val="24"/>
              </w:rPr>
            </w:pPr>
          </w:p>
        </w:tc>
        <w:tc>
          <w:tcPr>
            <w:tcW w:w="2857" w:type="dxa"/>
            <w:vMerge w:val="continue"/>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4" w:hRule="atLeast"/>
          <w:jc w:val="center"/>
        </w:trPr>
        <w:tc>
          <w:tcPr>
            <w:tcW w:w="4349" w:type="dxa"/>
            <w:vAlign w:val="center"/>
          </w:tcPr>
          <w:p>
            <w:pPr>
              <w:spacing w:line="300" w:lineRule="exact"/>
              <w:jc w:val="left"/>
              <w:rPr>
                <w:rFonts w:ascii="Times New Roman" w:hAnsi="Times New Roman" w:eastAsia="方正书宋_GBK" w:cs="Times New Roman"/>
                <w:szCs w:val="24"/>
              </w:rPr>
            </w:pPr>
            <w:r>
              <w:rPr>
                <w:rFonts w:hint="eastAsia" w:ascii="Times New Roman" w:hAnsi="Times New Roman" w:eastAsia="方正书宋_GBK" w:cs="Times New Roman"/>
                <w:szCs w:val="24"/>
              </w:rPr>
              <w:t>藁城区水利局</w:t>
            </w:r>
          </w:p>
        </w:tc>
        <w:tc>
          <w:tcPr>
            <w:tcW w:w="1116"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256"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正科级</w:t>
            </w:r>
          </w:p>
        </w:tc>
        <w:tc>
          <w:tcPr>
            <w:tcW w:w="2857"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4" w:hRule="atLeast"/>
          <w:jc w:val="center"/>
        </w:trPr>
        <w:tc>
          <w:tcPr>
            <w:tcW w:w="4349" w:type="dxa"/>
            <w:vAlign w:val="center"/>
          </w:tcPr>
          <w:p>
            <w:pPr>
              <w:spacing w:line="300" w:lineRule="exact"/>
              <w:jc w:val="left"/>
              <w:rPr>
                <w:rFonts w:ascii="Times New Roman" w:hAnsi="Times New Roman" w:eastAsia="方正书宋_GBK" w:cs="Times New Roman"/>
                <w:szCs w:val="24"/>
              </w:rPr>
            </w:pPr>
            <w:r>
              <w:rPr>
                <w:rFonts w:hint="eastAsia" w:ascii="Times New Roman" w:hAnsi="Times New Roman" w:eastAsia="方正书宋_GBK" w:cs="Times New Roman"/>
                <w:szCs w:val="24"/>
              </w:rPr>
              <w:t>藁城区水资源管理中心</w:t>
            </w:r>
          </w:p>
        </w:tc>
        <w:tc>
          <w:tcPr>
            <w:tcW w:w="1116" w:type="dxa"/>
            <w:vAlign w:val="center"/>
          </w:tcPr>
          <w:p>
            <w:pPr>
              <w:spacing w:line="300" w:lineRule="exact"/>
              <w:jc w:val="center"/>
              <w:rPr>
                <w:rFonts w:ascii="Times New Roman" w:hAnsi="Times New Roman" w:eastAsia="方正书宋_GBK" w:cs="Times New Roman"/>
                <w:szCs w:val="24"/>
              </w:rPr>
            </w:pPr>
            <w:r>
              <w:rPr>
                <w:rFonts w:hint="eastAsia" w:ascii="Times New Roman" w:hAnsi="Times New Roman" w:eastAsia="方正书宋_GBK" w:cs="Times New Roman"/>
                <w:szCs w:val="24"/>
              </w:rPr>
              <w:t>事业</w:t>
            </w:r>
          </w:p>
        </w:tc>
        <w:tc>
          <w:tcPr>
            <w:tcW w:w="1256" w:type="dxa"/>
            <w:vAlign w:val="center"/>
          </w:tcPr>
          <w:p>
            <w:pPr>
              <w:spacing w:line="300" w:lineRule="exact"/>
              <w:jc w:val="center"/>
              <w:rPr>
                <w:rFonts w:ascii="Times New Roman" w:hAnsi="Times New Roman" w:eastAsia="方正书宋_GBK" w:cs="Times New Roman"/>
                <w:szCs w:val="24"/>
              </w:rPr>
            </w:pPr>
            <w:r>
              <w:rPr>
                <w:rFonts w:hint="eastAsia" w:ascii="Times New Roman" w:hAnsi="Times New Roman" w:eastAsia="方正书宋_GBK" w:cs="Times New Roman"/>
                <w:szCs w:val="24"/>
              </w:rPr>
              <w:t>股级</w:t>
            </w:r>
          </w:p>
        </w:tc>
        <w:tc>
          <w:tcPr>
            <w:tcW w:w="2857" w:type="dxa"/>
            <w:vAlign w:val="center"/>
          </w:tcPr>
          <w:p>
            <w:pPr>
              <w:spacing w:line="300" w:lineRule="exact"/>
              <w:rPr>
                <w:rFonts w:hint="eastAsia" w:ascii="Times New Roman" w:hAnsi="Times New Roman" w:eastAsia="方正书宋_GBK" w:cs="Times New Roman"/>
                <w:szCs w:val="24"/>
                <w:lang w:val="en-US" w:eastAsia="zh-CN"/>
              </w:rPr>
            </w:pPr>
            <w:r>
              <w:rPr>
                <w:rFonts w:hint="eastAsia" w:ascii="方正书宋_GBK" w:eastAsia="方正书宋_GBK"/>
                <w:lang w:val="en-US" w:eastAsia="zh-CN"/>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12" w:hRule="atLeast"/>
          <w:jc w:val="center"/>
        </w:trPr>
        <w:tc>
          <w:tcPr>
            <w:tcW w:w="4349" w:type="dxa"/>
            <w:vAlign w:val="center"/>
          </w:tcPr>
          <w:p>
            <w:pPr>
              <w:spacing w:line="300" w:lineRule="exact"/>
              <w:jc w:val="left"/>
              <w:rPr>
                <w:rFonts w:ascii="方正书宋_GBK" w:eastAsia="方正书宋_GBK"/>
              </w:rPr>
            </w:pPr>
            <w:r>
              <w:rPr>
                <w:rFonts w:hint="eastAsia" w:ascii="方正书宋_GBK" w:eastAsia="方正书宋_GBK"/>
              </w:rPr>
              <w:t>藁城区河道管理中心</w:t>
            </w:r>
          </w:p>
        </w:tc>
        <w:tc>
          <w:tcPr>
            <w:tcW w:w="1116" w:type="dxa"/>
            <w:vAlign w:val="center"/>
          </w:tcPr>
          <w:p>
            <w:pPr>
              <w:spacing w:line="300" w:lineRule="exact"/>
              <w:jc w:val="center"/>
              <w:rPr>
                <w:rFonts w:ascii="Times New Roman" w:hAnsi="Times New Roman" w:eastAsia="方正书宋_GBK" w:cs="Times New Roman"/>
                <w:szCs w:val="24"/>
              </w:rPr>
            </w:pPr>
            <w:r>
              <w:rPr>
                <w:rFonts w:hint="eastAsia" w:ascii="Times New Roman" w:hAnsi="Times New Roman" w:eastAsia="方正书宋_GBK" w:cs="Times New Roman"/>
                <w:szCs w:val="24"/>
              </w:rPr>
              <w:t>自收自支</w:t>
            </w:r>
          </w:p>
        </w:tc>
        <w:tc>
          <w:tcPr>
            <w:tcW w:w="1256"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股级</w:t>
            </w:r>
          </w:p>
        </w:tc>
        <w:tc>
          <w:tcPr>
            <w:tcW w:w="2857" w:type="dxa"/>
            <w:vAlign w:val="center"/>
          </w:tcPr>
          <w:p>
            <w:pPr>
              <w:spacing w:line="300" w:lineRule="exact"/>
              <w:jc w:val="center"/>
              <w:rPr>
                <w:rFonts w:ascii="方正书宋_GBK" w:eastAsia="方正书宋_GBK"/>
              </w:rPr>
            </w:pPr>
            <w:r>
              <w:rPr>
                <w:rFonts w:hint="eastAsia" w:ascii="方正书宋_GBK" w:eastAsia="方正书宋_GBK"/>
              </w:rPr>
              <w:t>财政性资金零补助</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24" w:hRule="atLeast"/>
          <w:jc w:val="center"/>
        </w:trPr>
        <w:tc>
          <w:tcPr>
            <w:tcW w:w="4349" w:type="dxa"/>
            <w:vAlign w:val="center"/>
          </w:tcPr>
          <w:p>
            <w:pPr>
              <w:spacing w:line="300" w:lineRule="exact"/>
              <w:jc w:val="left"/>
              <w:rPr>
                <w:rFonts w:ascii="方正书宋_GBK" w:eastAsia="方正书宋_GBK"/>
              </w:rPr>
            </w:pPr>
            <w:r>
              <w:rPr>
                <w:rFonts w:hint="eastAsia" w:ascii="方正书宋_GBK" w:eastAsia="方正书宋_GBK"/>
              </w:rPr>
              <w:t>藁城区水利服务中心</w:t>
            </w:r>
          </w:p>
        </w:tc>
        <w:tc>
          <w:tcPr>
            <w:tcW w:w="1116" w:type="dxa"/>
            <w:vAlign w:val="center"/>
          </w:tcPr>
          <w:p>
            <w:pPr>
              <w:spacing w:line="300" w:lineRule="exact"/>
              <w:jc w:val="center"/>
              <w:rPr>
                <w:rFonts w:ascii="Times New Roman" w:hAnsi="Times New Roman" w:eastAsia="方正书宋_GBK" w:cs="Times New Roman"/>
                <w:szCs w:val="24"/>
              </w:rPr>
            </w:pPr>
            <w:r>
              <w:rPr>
                <w:rFonts w:hint="eastAsia" w:ascii="Times New Roman" w:hAnsi="Times New Roman" w:eastAsia="方正书宋_GBK" w:cs="Times New Roman"/>
                <w:szCs w:val="24"/>
              </w:rPr>
              <w:t>事业</w:t>
            </w:r>
          </w:p>
        </w:tc>
        <w:tc>
          <w:tcPr>
            <w:tcW w:w="1256" w:type="dxa"/>
            <w:vAlign w:val="center"/>
          </w:tcPr>
          <w:p>
            <w:pPr>
              <w:spacing w:line="300" w:lineRule="exact"/>
              <w:jc w:val="center"/>
              <w:rPr>
                <w:rFonts w:ascii="方正书宋_GBK" w:eastAsia="方正书宋_GBK"/>
              </w:rPr>
            </w:pPr>
            <w:r>
              <w:rPr>
                <w:rFonts w:hint="eastAsia" w:ascii="方正书宋_GBK" w:eastAsia="方正书宋_GBK"/>
              </w:rPr>
              <w:t>股级</w:t>
            </w:r>
          </w:p>
        </w:tc>
        <w:tc>
          <w:tcPr>
            <w:tcW w:w="2857" w:type="dxa"/>
            <w:vAlign w:val="center"/>
          </w:tcPr>
          <w:p>
            <w:pPr>
              <w:spacing w:line="300" w:lineRule="exact"/>
              <w:jc w:val="center"/>
              <w:rPr>
                <w:rFonts w:hint="eastAsia" w:ascii="方正书宋_GBK" w:eastAsia="方正书宋_GBK"/>
                <w:lang w:val="en-US" w:eastAsia="zh-CN"/>
              </w:rPr>
            </w:pPr>
            <w:r>
              <w:rPr>
                <w:rFonts w:hint="eastAsia" w:ascii="方正书宋_GBK" w:eastAsia="方正书宋_GBK"/>
                <w:lang w:val="en-US" w:eastAsia="zh-CN"/>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438" w:hRule="atLeast"/>
          <w:jc w:val="center"/>
        </w:trPr>
        <w:tc>
          <w:tcPr>
            <w:tcW w:w="4349" w:type="dxa"/>
            <w:vAlign w:val="center"/>
          </w:tcPr>
          <w:p>
            <w:pPr>
              <w:spacing w:line="300" w:lineRule="exact"/>
              <w:jc w:val="left"/>
              <w:rPr>
                <w:rFonts w:ascii="方正书宋_GBK" w:eastAsia="方正书宋_GBK"/>
              </w:rPr>
            </w:pPr>
            <w:r>
              <w:rPr>
                <w:rFonts w:hint="eastAsia" w:ascii="方正书宋_GBK" w:eastAsia="方正书宋_GBK"/>
              </w:rPr>
              <w:t>藁城区水政监察大队</w:t>
            </w:r>
          </w:p>
        </w:tc>
        <w:tc>
          <w:tcPr>
            <w:tcW w:w="1116" w:type="dxa"/>
            <w:vAlign w:val="center"/>
          </w:tcPr>
          <w:p>
            <w:pPr>
              <w:spacing w:line="300" w:lineRule="exact"/>
              <w:jc w:val="center"/>
              <w:rPr>
                <w:rFonts w:ascii="Times New Roman" w:hAnsi="Times New Roman" w:eastAsia="方正书宋_GBK" w:cs="Times New Roman"/>
                <w:szCs w:val="24"/>
              </w:rPr>
            </w:pPr>
            <w:r>
              <w:rPr>
                <w:rFonts w:hint="eastAsia" w:ascii="Times New Roman" w:hAnsi="Times New Roman" w:eastAsia="方正书宋_GBK" w:cs="Times New Roman"/>
                <w:szCs w:val="24"/>
              </w:rPr>
              <w:t>事业</w:t>
            </w:r>
          </w:p>
        </w:tc>
        <w:tc>
          <w:tcPr>
            <w:tcW w:w="1256" w:type="dxa"/>
            <w:vAlign w:val="center"/>
          </w:tcPr>
          <w:p>
            <w:pPr>
              <w:spacing w:line="300" w:lineRule="exact"/>
              <w:jc w:val="center"/>
              <w:rPr>
                <w:rFonts w:ascii="方正书宋_GBK" w:eastAsia="方正书宋_GBK"/>
              </w:rPr>
            </w:pPr>
            <w:r>
              <w:rPr>
                <w:rFonts w:hint="eastAsia" w:ascii="方正书宋_GBK" w:eastAsia="方正书宋_GBK"/>
              </w:rPr>
              <w:t>副科级</w:t>
            </w:r>
          </w:p>
        </w:tc>
        <w:tc>
          <w:tcPr>
            <w:tcW w:w="2857" w:type="dxa"/>
            <w:vAlign w:val="center"/>
          </w:tcPr>
          <w:tbl>
            <w:tblPr>
              <w:tblStyle w:val="9"/>
              <w:tblW w:w="291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91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80" w:hRule="atLeast"/>
                <w:jc w:val="center"/>
              </w:trPr>
              <w:tc>
                <w:tcPr>
                  <w:tcW w:w="2911" w:type="dxa"/>
                  <w:vAlign w:val="center"/>
                </w:tcPr>
                <w:p>
                  <w:pPr>
                    <w:spacing w:line="300" w:lineRule="exact"/>
                    <w:jc w:val="center"/>
                    <w:rPr>
                      <w:rFonts w:hint="eastAsia" w:ascii="Times New Roman" w:hAnsi="Times New Roman" w:eastAsia="方正书宋_GBK" w:cs="Times New Roman"/>
                      <w:szCs w:val="24"/>
                      <w:lang w:val="en-US" w:eastAsia="zh-CN"/>
                    </w:rPr>
                  </w:pPr>
                  <w:r>
                    <w:rPr>
                      <w:rFonts w:hint="eastAsia" w:ascii="Times New Roman" w:hAnsi="Times New Roman" w:eastAsia="方正书宋_GBK" w:cs="Times New Roman"/>
                      <w:szCs w:val="24"/>
                      <w:lang w:val="en-US" w:eastAsia="zh-CN"/>
                    </w:rPr>
                    <w:t>财政性资金基本保证</w:t>
                  </w:r>
                </w:p>
              </w:tc>
            </w:tr>
          </w:tbl>
          <w:p>
            <w:pPr>
              <w:spacing w:line="300" w:lineRule="exact"/>
              <w:jc w:val="center"/>
              <w:rPr>
                <w:rFonts w:ascii="方正书宋_GBK" w:eastAsia="方正书宋_GBK"/>
              </w:rPr>
            </w:pPr>
          </w:p>
        </w:tc>
      </w:tr>
    </w:tbl>
    <w:p/>
    <w:p>
      <w:pPr>
        <w:ind w:firstLine="640"/>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rPr>
          <w:rFonts w:ascii="Times New Roman" w:hAnsi="Times New Roman" w:eastAsia="仿宋" w:cs="Times New Roman"/>
          <w:sz w:val="32"/>
          <w:szCs w:val="32"/>
        </w:rPr>
      </w:pPr>
      <w:r>
        <w:rPr>
          <w:rFonts w:ascii="Times New Roman" w:hAnsi="Times New Roman" w:eastAsia="仿宋" w:cs="Times New Roman"/>
          <w:sz w:val="32"/>
          <w:szCs w:val="32"/>
        </w:rPr>
        <w:t>按照预算管理有关规定，目前我部门预算的编制实行综合预算</w:t>
      </w:r>
      <w:r>
        <w:rPr>
          <w:rFonts w:hint="eastAsia" w:ascii="Times New Roman" w:hAnsi="Times New Roman" w:eastAsia="仿宋" w:cs="Times New Roman"/>
          <w:sz w:val="32"/>
          <w:szCs w:val="32"/>
        </w:rPr>
        <w:t>管理</w:t>
      </w:r>
      <w:r>
        <w:rPr>
          <w:rFonts w:ascii="Times New Roman" w:hAnsi="Times New Roman" w:eastAsia="仿宋" w:cs="Times New Roman"/>
          <w:sz w:val="32"/>
          <w:szCs w:val="32"/>
        </w:rPr>
        <w:t>，即全部收入和支出都反映的预算中。</w:t>
      </w:r>
      <w:r>
        <w:rPr>
          <w:rFonts w:hint="eastAsia" w:ascii="Times New Roman" w:hAnsi="Times New Roman" w:eastAsia="仿宋" w:cs="Times New Roman"/>
          <w:sz w:val="32"/>
          <w:szCs w:val="32"/>
        </w:rPr>
        <w:t>水利部门</w:t>
      </w:r>
      <w:r>
        <w:rPr>
          <w:rFonts w:ascii="Times New Roman" w:hAnsi="Times New Roman" w:eastAsia="仿宋" w:cs="Times New Roman"/>
          <w:sz w:val="32"/>
          <w:szCs w:val="32"/>
        </w:rPr>
        <w:t>的收支包含在部门预算中。</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1、</w:t>
      </w:r>
      <w:r>
        <w:rPr>
          <w:rFonts w:ascii="Times New Roman" w:hAnsi="Times New Roman" w:eastAsia="仿宋" w:cs="Times New Roman"/>
          <w:sz w:val="32"/>
          <w:szCs w:val="32"/>
        </w:rPr>
        <w:t>收入说明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反映本部门当年全部收入。2020年预算收入8127.97万元，其中：一般公共预算收入2615.63万元，基金预算收入5512.34万元，财政专户核拨收入0万元，其他来源收入0万元。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2、</w:t>
      </w:r>
      <w:r>
        <w:rPr>
          <w:rFonts w:ascii="Times New Roman" w:hAnsi="Times New Roman" w:eastAsia="仿宋" w:cs="Times New Roman"/>
          <w:sz w:val="32"/>
          <w:szCs w:val="32"/>
        </w:rPr>
        <w:t>支出说明</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收支预算总表支出栏、基本支出表、项目支出表按经济分类和支出功能分类科目编制，反映</w:t>
      </w:r>
      <w:r>
        <w:rPr>
          <w:rFonts w:hint="eastAsia" w:ascii="Times New Roman" w:hAnsi="Times New Roman" w:eastAsia="仿宋" w:cs="Times New Roman"/>
          <w:color w:val="000000"/>
          <w:sz w:val="32"/>
          <w:szCs w:val="32"/>
        </w:rPr>
        <w:t>水利部门</w:t>
      </w:r>
      <w:r>
        <w:rPr>
          <w:rFonts w:hint="eastAsia" w:ascii="Times New Roman" w:hAnsi="Times New Roman" w:eastAsia="仿宋" w:cs="Times New Roman"/>
          <w:sz w:val="32"/>
          <w:szCs w:val="32"/>
        </w:rPr>
        <w:t>预算中支出预算的总体情况。2020年部门支出预算为8127.97万元，其中基本支出848.81万元，包括人员经费795.19万元，日常公用经费52.01万元，对个人和家庭的补助1.61万元；项目支出7279.16万元，主要为滹沱河生态修复二期工程1000万元，南水北调配套一期贷款本息155万元，南水北调一期工程款200万元，河长制工作经费（村级）120万元，编制藁城区地下水开发利用与保护规划工作资金68.5万元，水利局节水机关建设35.44万元，滹沱河生态修复工程岗上镇承包形式占地租金50.16万元，兴安镇明渠打井52.64万元，地下水超采资金102万元，中央水利发展资金85万元，南水北调水费5132.82万元，城区引用水备用水源地50万元，汪洋沟、周汉河长期占地73.64万元，河道人员工资82.63万元；其他支出71.33万元。</w:t>
      </w:r>
    </w:p>
    <w:p>
      <w:pPr>
        <w:ind w:firstLine="640"/>
        <w:rPr>
          <w:rFonts w:ascii="Times New Roman" w:hAnsi="Times New Roman" w:eastAsia="仿宋" w:cs="Times New Roman"/>
          <w:sz w:val="32"/>
          <w:szCs w:val="32"/>
        </w:rPr>
      </w:pPr>
      <w:r>
        <w:rPr>
          <w:rFonts w:hint="eastAsia" w:ascii="Times New Roman" w:hAnsi="Times New Roman" w:eastAsia="仿宋" w:cs="Times New Roman"/>
          <w:sz w:val="32"/>
          <w:szCs w:val="32"/>
        </w:rPr>
        <w:t>3、</w:t>
      </w:r>
      <w:r>
        <w:rPr>
          <w:rFonts w:ascii="Times New Roman" w:hAnsi="Times New Roman" w:eastAsia="仿宋" w:cs="Times New Roman"/>
          <w:sz w:val="32"/>
          <w:szCs w:val="32"/>
        </w:rPr>
        <w:t>比上年增减情况</w:t>
      </w:r>
    </w:p>
    <w:p>
      <w:pPr>
        <w:ind w:firstLine="640"/>
        <w:rPr>
          <w:rFonts w:ascii="Times New Roman" w:hAnsi="Times New Roman" w:eastAsia="仿宋" w:cs="Times New Roman"/>
          <w:sz w:val="32"/>
          <w:szCs w:val="32"/>
        </w:rPr>
      </w:pPr>
      <w:r>
        <w:rPr>
          <w:rFonts w:hint="eastAsia" w:ascii="Times New Roman" w:hAnsi="Times New Roman" w:eastAsia="仿宋" w:cs="Times New Roman"/>
          <w:color w:val="000000"/>
          <w:sz w:val="32"/>
          <w:szCs w:val="32"/>
        </w:rPr>
        <w:t>2020年部门预算收支安排</w:t>
      </w:r>
      <w:r>
        <w:rPr>
          <w:rFonts w:hint="eastAsia" w:ascii="Times New Roman" w:hAnsi="Times New Roman" w:eastAsia="仿宋" w:cs="Times New Roman"/>
          <w:sz w:val="32"/>
          <w:szCs w:val="32"/>
        </w:rPr>
        <w:t>8127.97</w:t>
      </w:r>
      <w:r>
        <w:rPr>
          <w:rFonts w:hint="eastAsia" w:ascii="Times New Roman" w:hAnsi="Times New Roman" w:eastAsia="仿宋" w:cs="Times New Roman"/>
          <w:color w:val="000000"/>
          <w:sz w:val="32"/>
          <w:szCs w:val="32"/>
        </w:rPr>
        <w:t>万元，</w:t>
      </w:r>
      <w:r>
        <w:rPr>
          <w:rFonts w:hint="eastAsia" w:ascii="Times New Roman" w:hAnsi="Times New Roman" w:eastAsia="仿宋" w:cs="Times New Roman"/>
          <w:sz w:val="32"/>
          <w:szCs w:val="32"/>
        </w:rPr>
        <w:t>较2019年增加5945.61 万元，其中：基本支出减少117.45万元，主要是人员减少，相应减少人员经费和日常公用经费；项目支出增加6063.06万元，主要是增加南水北调水费、滹沱河生态修复二期、岗上镇占地形式租金、兴安镇明渠打井、地下水开发利用与保护规划等；其他支出无增减变化。</w:t>
      </w:r>
    </w:p>
    <w:p>
      <w:pPr>
        <w:autoSpaceDE w:val="0"/>
        <w:autoSpaceDN w:val="0"/>
        <w:adjustRightInd w:val="0"/>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2020年，我部门机关运行经费共计安排52.01万元，主要用于保证机关正常运转的办公、邮电费、差旅费、福利费、专用材料及一般设备购置费、日常维修费、办公楼物业管理费、公务车运行维护费等支出。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2020年，我部门财政拨款“三公”经费预算安排6.6万元，其中：因公出国（境）费0万元；公务用车购置及运维费6.6万元（其中：公务用车购置费0万元，公务用车运行维护费6.6万元)</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与上年持平，无增减变化；公务接待费0万元</w:t>
      </w:r>
      <w:r>
        <w:rPr>
          <w:rFonts w:hint="eastAsia" w:ascii="Times New Roman" w:hAnsi="Times New Roman" w:eastAsia="仿宋" w:cs="Times New Roman"/>
          <w:sz w:val="32"/>
          <w:szCs w:val="32"/>
          <w:lang w:eastAsia="zh-CN"/>
        </w:rPr>
        <w:t>，</w:t>
      </w:r>
      <w:r>
        <w:rPr>
          <w:rFonts w:hint="eastAsia" w:ascii="Times New Roman" w:hAnsi="Times New Roman" w:eastAsia="仿宋" w:cs="Times New Roman"/>
          <w:sz w:val="32"/>
          <w:szCs w:val="32"/>
        </w:rPr>
        <w:t>经费与上年持平，无增减变化。“三公”经费与上年持平，无增减变化。</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ind w:firstLine="643" w:firstLineChars="200"/>
        <w:jc w:val="left"/>
        <w:rPr>
          <w:rFonts w:ascii="Times New Roman" w:hAnsi="Times New Roman" w:eastAsia="方正仿宋_GBK" w:cs="Times New Roman"/>
          <w:sz w:val="32"/>
          <w:szCs w:val="32"/>
        </w:rPr>
      </w:pPr>
      <w:bookmarkStart w:id="0" w:name="_Toc471398463"/>
      <w:r>
        <w:rPr>
          <w:rFonts w:hint="eastAsia" w:ascii="Times New Roman" w:hAnsi="Times New Roman" w:eastAsia="方正仿宋_GBK" w:cs="Times New Roman"/>
          <w:b/>
          <w:sz w:val="32"/>
          <w:szCs w:val="32"/>
        </w:rPr>
        <w:t>第一部分  部门整体绩效目标</w:t>
      </w:r>
    </w:p>
    <w:p>
      <w:pPr>
        <w:tabs>
          <w:tab w:val="left" w:pos="2745"/>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s>
        <w:spacing w:line="580" w:lineRule="exact"/>
        <w:ind w:firstLine="630"/>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（一）总体绩效目标</w:t>
      </w:r>
    </w:p>
    <w:p>
      <w:pPr>
        <w:tabs>
          <w:tab w:val="left" w:pos="2745"/>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s>
        <w:spacing w:line="580" w:lineRule="exact"/>
        <w:ind w:firstLine="630"/>
        <w:rPr>
          <w:rFonts w:ascii="仿宋" w:hAnsi="仿宋" w:eastAsia="仿宋" w:cs="仿宋"/>
          <w:kern w:val="0"/>
          <w:sz w:val="28"/>
          <w:szCs w:val="28"/>
        </w:rPr>
      </w:pPr>
      <w:r>
        <w:rPr>
          <w:rFonts w:hint="eastAsia" w:ascii="仿宋" w:hAnsi="仿宋" w:eastAsia="仿宋" w:cs="仿宋"/>
          <w:kern w:val="0"/>
          <w:sz w:val="28"/>
          <w:szCs w:val="28"/>
        </w:rPr>
        <w:t>坚持以习近平新时代中国特色社会主义思想为指导，贯彻落实党中央和省委、市委及区委关于水利工作的方针政策和决策部署，坚持和加强党对水利工作的集中统一领导。扎实推进滹沱河整治工作，认真落实省市滹沱河综合整治意见，做好我区域河道整治的各项工作。结合最严格水资源管理制度认真谋划好地下水压采项目，并做好各项准备工作。结合城建工作，逐步实施城区供水续建、新建及改造工程。加强从严从紧核定许可水量，科学制定用水计划，严格重点取用水户监管，持续推进自备井关停工作。统筹重点项目发展，扎实推进水利事业蓬勃发展，持续推动河长制工作，实现“水清、河畅、岸绿、景美”的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1" w:name="_Toc29484628"/>
      <w:r>
        <w:rPr>
          <w:rFonts w:hint="eastAsia" w:ascii="Times New Roman" w:hAnsi="Times New Roman" w:eastAsia="方正仿宋_GBK" w:cs="Times New Roman"/>
          <w:b/>
          <w:sz w:val="32"/>
          <w:szCs w:val="32"/>
        </w:rPr>
        <w:instrText xml:space="preserve">总体绩效目标</w:instrText>
      </w:r>
      <w:bookmarkEnd w:id="1"/>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（二）分项绩效目标</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2" w:name="_Toc29484629"/>
      <w:r>
        <w:rPr>
          <w:rFonts w:hint="eastAsia" w:ascii="Times New Roman" w:hAnsi="Times New Roman" w:eastAsia="方正仿宋_GBK" w:cs="Times New Roman"/>
          <w:b/>
          <w:sz w:val="32"/>
          <w:szCs w:val="32"/>
        </w:rPr>
        <w:instrText xml:space="preserve">分项绩效目标</w:instrText>
      </w:r>
      <w:bookmarkEnd w:id="2"/>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spacing w:line="580" w:lineRule="exact"/>
        <w:ind w:firstLine="630"/>
        <w:rPr>
          <w:rFonts w:ascii="宋体" w:hAnsi="Times New Roman" w:cs="宋体"/>
          <w:kern w:val="0"/>
          <w:sz w:val="28"/>
          <w:szCs w:val="28"/>
        </w:rPr>
      </w:pPr>
      <w:r>
        <w:rPr>
          <w:rFonts w:hint="eastAsia" w:ascii="宋体" w:hAnsi="宋体" w:cs="宋体"/>
          <w:b/>
          <w:bCs/>
          <w:kern w:val="0"/>
          <w:sz w:val="28"/>
          <w:szCs w:val="28"/>
        </w:rPr>
        <w:t>（一）滹沱河生态修复工程岗上镇承包形式占地租金</w:t>
      </w:r>
    </w:p>
    <w:p>
      <w:pPr>
        <w:widowControl/>
        <w:tabs>
          <w:tab w:val="left" w:pos="2745"/>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s>
        <w:autoSpaceDE w:val="0"/>
        <w:autoSpaceDN w:val="0"/>
        <w:adjustRightInd w:val="0"/>
        <w:spacing w:line="580" w:lineRule="exact"/>
        <w:ind w:firstLine="630"/>
        <w:rPr>
          <w:rFonts w:ascii="仿宋" w:hAnsi="仿宋" w:eastAsia="仿宋" w:cs="仿宋"/>
          <w:kern w:val="0"/>
          <w:sz w:val="28"/>
          <w:szCs w:val="28"/>
        </w:rPr>
      </w:pPr>
      <w:r>
        <w:rPr>
          <w:rFonts w:hint="eastAsia" w:ascii="宋体" w:hAnsi="宋体" w:cs="宋体"/>
          <w:b/>
          <w:bCs/>
          <w:kern w:val="0"/>
          <w:sz w:val="28"/>
          <w:szCs w:val="28"/>
        </w:rPr>
        <w:t>绩效目标：</w:t>
      </w:r>
      <w:r>
        <w:rPr>
          <w:rFonts w:hint="eastAsia" w:ascii="仿宋" w:hAnsi="仿宋" w:eastAsia="仿宋" w:cs="仿宋"/>
          <w:kern w:val="0"/>
          <w:sz w:val="28"/>
          <w:szCs w:val="28"/>
        </w:rPr>
        <w:t>用于支付滹沱河生态修复一期工程占用岗上土地</w:t>
      </w:r>
      <w:r>
        <w:rPr>
          <w:rFonts w:ascii="仿宋" w:hAnsi="仿宋" w:eastAsia="仿宋" w:cs="仿宋"/>
          <w:kern w:val="0"/>
          <w:sz w:val="28"/>
          <w:szCs w:val="28"/>
        </w:rPr>
        <w:t>627</w:t>
      </w:r>
      <w:r>
        <w:rPr>
          <w:rFonts w:hint="eastAsia" w:ascii="仿宋" w:hAnsi="仿宋" w:eastAsia="仿宋" w:cs="仿宋"/>
          <w:kern w:val="0"/>
          <w:sz w:val="28"/>
          <w:szCs w:val="28"/>
        </w:rPr>
        <w:t>亩，每年每亩超付上级资金标准</w:t>
      </w:r>
      <w:r>
        <w:rPr>
          <w:rFonts w:ascii="仿宋" w:hAnsi="仿宋" w:eastAsia="仿宋" w:cs="仿宋"/>
          <w:kern w:val="0"/>
          <w:sz w:val="28"/>
          <w:szCs w:val="28"/>
        </w:rPr>
        <w:t>800</w:t>
      </w:r>
      <w:r>
        <w:rPr>
          <w:rFonts w:hint="eastAsia" w:ascii="仿宋" w:hAnsi="仿宋" w:eastAsia="仿宋" w:cs="仿宋"/>
          <w:kern w:val="0"/>
          <w:sz w:val="28"/>
          <w:szCs w:val="28"/>
        </w:rPr>
        <w:t>元，保证生态修复工程顺利实施，保证河道生态环境得到显著改善。</w:t>
      </w:r>
      <w:r>
        <w:rPr>
          <w:rFonts w:ascii="仿宋" w:hAnsi="仿宋" w:eastAsia="仿宋" w:cs="仿宋"/>
          <w:kern w:val="0"/>
          <w:sz w:val="28"/>
          <w:szCs w:val="28"/>
        </w:rPr>
        <w:tab/>
      </w:r>
    </w:p>
    <w:p>
      <w:pPr>
        <w:widowControl/>
        <w:tabs>
          <w:tab w:val="left" w:pos="2745"/>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s>
        <w:autoSpaceDE w:val="0"/>
        <w:autoSpaceDN w:val="0"/>
        <w:adjustRightInd w:val="0"/>
        <w:spacing w:line="580" w:lineRule="exact"/>
        <w:ind w:firstLine="630"/>
        <w:rPr>
          <w:rFonts w:ascii="仿宋" w:hAnsi="仿宋" w:eastAsia="仿宋" w:cs="仿宋"/>
          <w:kern w:val="0"/>
          <w:sz w:val="28"/>
          <w:szCs w:val="28"/>
        </w:rPr>
      </w:pPr>
      <w:r>
        <w:rPr>
          <w:rFonts w:hint="eastAsia" w:ascii="宋体" w:hAnsi="宋体" w:cs="宋体"/>
          <w:b/>
          <w:bCs/>
          <w:kern w:val="0"/>
          <w:sz w:val="28"/>
          <w:szCs w:val="28"/>
        </w:rPr>
        <w:t>绩效指标：</w:t>
      </w:r>
      <w:r>
        <w:rPr>
          <w:rFonts w:hint="eastAsia" w:ascii="仿宋" w:hAnsi="仿宋" w:eastAsia="仿宋" w:cs="仿宋"/>
          <w:kern w:val="0"/>
          <w:sz w:val="28"/>
          <w:szCs w:val="28"/>
        </w:rPr>
        <w:t>生态效益指标，绿化占征用土地的比率大于</w:t>
      </w:r>
      <w:r>
        <w:rPr>
          <w:rFonts w:ascii="仿宋" w:hAnsi="仿宋" w:eastAsia="仿宋" w:cs="仿宋"/>
          <w:kern w:val="0"/>
          <w:sz w:val="28"/>
          <w:szCs w:val="28"/>
        </w:rPr>
        <w:t>90%</w:t>
      </w:r>
      <w:r>
        <w:rPr>
          <w:rFonts w:hint="eastAsia" w:ascii="仿宋" w:hAnsi="仿宋" w:eastAsia="仿宋" w:cs="仿宋"/>
          <w:kern w:val="0"/>
          <w:sz w:val="28"/>
          <w:szCs w:val="28"/>
        </w:rPr>
        <w:t>，社会效益指标，占地户补贴全部发放。满意度指标，群众对生态环境满意度大于</w:t>
      </w:r>
      <w:r>
        <w:rPr>
          <w:rFonts w:ascii="仿宋" w:hAnsi="仿宋" w:eastAsia="仿宋" w:cs="仿宋"/>
          <w:kern w:val="0"/>
          <w:sz w:val="28"/>
          <w:szCs w:val="28"/>
        </w:rPr>
        <w:t>95%</w:t>
      </w:r>
      <w:r>
        <w:rPr>
          <w:rFonts w:hint="eastAsia" w:ascii="仿宋" w:hAnsi="仿宋" w:eastAsia="仿宋" w:cs="仿宋"/>
          <w:kern w:val="0"/>
          <w:sz w:val="28"/>
          <w:szCs w:val="28"/>
        </w:rPr>
        <w:t>。</w:t>
      </w:r>
    </w:p>
    <w:p>
      <w:pPr>
        <w:widowControl/>
        <w:tabs>
          <w:tab w:val="left" w:pos="2745"/>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s>
        <w:autoSpaceDE w:val="0"/>
        <w:autoSpaceDN w:val="0"/>
        <w:adjustRightInd w:val="0"/>
        <w:spacing w:line="580" w:lineRule="exact"/>
        <w:ind w:firstLine="630"/>
        <w:rPr>
          <w:rFonts w:ascii="宋体" w:hAnsi="宋体" w:cs="宋体"/>
          <w:b/>
          <w:bCs/>
          <w:kern w:val="0"/>
          <w:sz w:val="28"/>
          <w:szCs w:val="28"/>
        </w:rPr>
      </w:pPr>
      <w:r>
        <w:rPr>
          <w:rFonts w:hint="eastAsia" w:ascii="宋体" w:hAnsi="宋体" w:cs="宋体"/>
          <w:b/>
          <w:bCs/>
          <w:kern w:val="0"/>
          <w:sz w:val="28"/>
          <w:szCs w:val="28"/>
        </w:rPr>
        <w:t>（二）兴安明渠打井</w:t>
      </w:r>
    </w:p>
    <w:p>
      <w:pPr>
        <w:widowControl/>
        <w:tabs>
          <w:tab w:val="left" w:pos="2745"/>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s>
        <w:autoSpaceDE w:val="0"/>
        <w:autoSpaceDN w:val="0"/>
        <w:adjustRightInd w:val="0"/>
        <w:spacing w:line="580" w:lineRule="exact"/>
        <w:ind w:firstLine="630"/>
        <w:rPr>
          <w:rFonts w:ascii="仿宋" w:hAnsi="仿宋" w:eastAsia="仿宋" w:cs="仿宋"/>
          <w:kern w:val="0"/>
          <w:sz w:val="28"/>
          <w:szCs w:val="28"/>
        </w:rPr>
      </w:pPr>
      <w:r>
        <w:rPr>
          <w:rFonts w:hint="eastAsia" w:ascii="宋体" w:hAnsi="宋体" w:cs="宋体"/>
          <w:b/>
          <w:bCs/>
          <w:kern w:val="0"/>
          <w:sz w:val="28"/>
          <w:szCs w:val="28"/>
        </w:rPr>
        <w:t>绩效目标：</w:t>
      </w:r>
      <w:r>
        <w:rPr>
          <w:rFonts w:hint="eastAsia" w:ascii="仿宋" w:hAnsi="仿宋" w:eastAsia="仿宋" w:cs="仿宋"/>
          <w:kern w:val="0"/>
          <w:sz w:val="28"/>
          <w:szCs w:val="28"/>
        </w:rPr>
        <w:t>用于兴安镇</w:t>
      </w:r>
      <w:r>
        <w:rPr>
          <w:rFonts w:ascii="仿宋" w:hAnsi="仿宋" w:eastAsia="仿宋" w:cs="仿宋"/>
          <w:kern w:val="0"/>
          <w:sz w:val="28"/>
          <w:szCs w:val="28"/>
        </w:rPr>
        <w:t>5</w:t>
      </w:r>
      <w:r>
        <w:rPr>
          <w:rFonts w:hint="eastAsia" w:ascii="仿宋" w:hAnsi="仿宋" w:eastAsia="仿宋" w:cs="仿宋"/>
          <w:kern w:val="0"/>
          <w:sz w:val="28"/>
          <w:szCs w:val="28"/>
        </w:rPr>
        <w:t>个村</w:t>
      </w:r>
      <w:r>
        <w:rPr>
          <w:rFonts w:ascii="仿宋" w:hAnsi="仿宋" w:eastAsia="仿宋" w:cs="仿宋"/>
          <w:kern w:val="0"/>
          <w:sz w:val="28"/>
          <w:szCs w:val="28"/>
        </w:rPr>
        <w:t>31</w:t>
      </w:r>
      <w:r>
        <w:rPr>
          <w:rFonts w:hint="eastAsia" w:ascii="仿宋" w:hAnsi="仿宋" w:eastAsia="仿宋" w:cs="仿宋"/>
          <w:kern w:val="0"/>
          <w:sz w:val="28"/>
          <w:szCs w:val="28"/>
        </w:rPr>
        <w:t>眼井的工程费，按时完成</w:t>
      </w:r>
      <w:r>
        <w:rPr>
          <w:rFonts w:ascii="仿宋" w:hAnsi="仿宋" w:eastAsia="仿宋" w:cs="仿宋"/>
          <w:kern w:val="0"/>
          <w:sz w:val="28"/>
          <w:szCs w:val="28"/>
        </w:rPr>
        <w:t>31</w:t>
      </w:r>
      <w:r>
        <w:rPr>
          <w:rFonts w:hint="eastAsia" w:ascii="仿宋" w:hAnsi="仿宋" w:eastAsia="仿宋" w:cs="仿宋"/>
          <w:kern w:val="0"/>
          <w:sz w:val="28"/>
          <w:szCs w:val="28"/>
        </w:rPr>
        <w:t>眼井成井，解决当地农民浇地难状况。</w:t>
      </w:r>
    </w:p>
    <w:p>
      <w:pPr>
        <w:widowControl/>
        <w:tabs>
          <w:tab w:val="left" w:pos="2745"/>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s>
        <w:autoSpaceDE w:val="0"/>
        <w:autoSpaceDN w:val="0"/>
        <w:adjustRightInd w:val="0"/>
        <w:spacing w:line="580" w:lineRule="exact"/>
        <w:ind w:firstLine="630"/>
        <w:rPr>
          <w:rFonts w:ascii="仿宋" w:hAnsi="仿宋" w:eastAsia="仿宋" w:cs="仿宋"/>
          <w:kern w:val="0"/>
          <w:sz w:val="28"/>
          <w:szCs w:val="28"/>
        </w:rPr>
      </w:pPr>
      <w:r>
        <w:rPr>
          <w:rFonts w:hint="eastAsia" w:ascii="宋体" w:hAnsi="宋体" w:cs="宋体"/>
          <w:b/>
          <w:bCs/>
          <w:kern w:val="0"/>
          <w:sz w:val="28"/>
          <w:szCs w:val="28"/>
        </w:rPr>
        <w:t>绩效指标：</w:t>
      </w:r>
      <w:r>
        <w:rPr>
          <w:rFonts w:hint="eastAsia" w:ascii="仿宋" w:hAnsi="仿宋" w:eastAsia="仿宋" w:cs="仿宋"/>
          <w:kern w:val="0"/>
          <w:sz w:val="28"/>
          <w:szCs w:val="28"/>
        </w:rPr>
        <w:t>产出指标：数量指标：完成打井</w:t>
      </w:r>
      <w:r>
        <w:rPr>
          <w:rFonts w:ascii="仿宋" w:hAnsi="仿宋" w:eastAsia="仿宋" w:cs="仿宋"/>
          <w:kern w:val="0"/>
          <w:sz w:val="28"/>
          <w:szCs w:val="28"/>
        </w:rPr>
        <w:t>31</w:t>
      </w:r>
      <w:r>
        <w:rPr>
          <w:rFonts w:hint="eastAsia" w:ascii="仿宋" w:hAnsi="仿宋" w:eastAsia="仿宋" w:cs="仿宋"/>
          <w:kern w:val="0"/>
          <w:sz w:val="28"/>
          <w:szCs w:val="28"/>
        </w:rPr>
        <w:t>眼。质量指标：成井合格率，</w:t>
      </w:r>
      <w:r>
        <w:rPr>
          <w:rFonts w:ascii="仿宋" w:hAnsi="仿宋" w:eastAsia="仿宋" w:cs="仿宋"/>
          <w:kern w:val="0"/>
          <w:sz w:val="28"/>
          <w:szCs w:val="28"/>
        </w:rPr>
        <w:t>31</w:t>
      </w:r>
      <w:r>
        <w:rPr>
          <w:rFonts w:hint="eastAsia" w:ascii="仿宋" w:hAnsi="仿宋" w:eastAsia="仿宋" w:cs="仿宋"/>
          <w:kern w:val="0"/>
          <w:sz w:val="28"/>
          <w:szCs w:val="28"/>
        </w:rPr>
        <w:t>眼井全部合格，完成率</w:t>
      </w:r>
      <w:r>
        <w:rPr>
          <w:rFonts w:ascii="仿宋" w:hAnsi="仿宋" w:eastAsia="仿宋" w:cs="仿宋"/>
          <w:kern w:val="0"/>
          <w:sz w:val="28"/>
          <w:szCs w:val="28"/>
        </w:rPr>
        <w:t>100%</w:t>
      </w:r>
      <w:r>
        <w:rPr>
          <w:rFonts w:hint="eastAsia" w:ascii="仿宋" w:hAnsi="仿宋" w:eastAsia="仿宋" w:cs="仿宋"/>
          <w:kern w:val="0"/>
          <w:sz w:val="28"/>
          <w:szCs w:val="28"/>
        </w:rPr>
        <w:t>。效果指标：社会效益指标，通过打井解决群众浇地难状况，维护社会稳定。</w:t>
      </w:r>
    </w:p>
    <w:p>
      <w:pPr>
        <w:widowControl/>
        <w:tabs>
          <w:tab w:val="left" w:pos="2745"/>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s>
        <w:autoSpaceDE w:val="0"/>
        <w:autoSpaceDN w:val="0"/>
        <w:adjustRightInd w:val="0"/>
        <w:spacing w:line="580" w:lineRule="exact"/>
        <w:ind w:firstLine="630"/>
        <w:rPr>
          <w:rFonts w:ascii="宋体" w:hAnsi="宋体" w:cs="宋体"/>
          <w:b/>
          <w:bCs/>
          <w:kern w:val="0"/>
          <w:sz w:val="28"/>
          <w:szCs w:val="28"/>
        </w:rPr>
      </w:pPr>
      <w:r>
        <w:rPr>
          <w:rFonts w:hint="eastAsia" w:ascii="宋体" w:hAnsi="宋体" w:cs="宋体"/>
          <w:b/>
          <w:bCs/>
          <w:kern w:val="0"/>
          <w:sz w:val="28"/>
          <w:szCs w:val="28"/>
        </w:rPr>
        <w:t>（三）水利行业节水机关建设资金</w:t>
      </w:r>
    </w:p>
    <w:p>
      <w:pPr>
        <w:widowControl/>
        <w:tabs>
          <w:tab w:val="left" w:pos="2745"/>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s>
        <w:autoSpaceDE w:val="0"/>
        <w:autoSpaceDN w:val="0"/>
        <w:adjustRightInd w:val="0"/>
        <w:spacing w:line="580" w:lineRule="exact"/>
        <w:ind w:firstLine="630"/>
        <w:rPr>
          <w:rFonts w:ascii="仿宋" w:hAnsi="仿宋" w:eastAsia="仿宋" w:cs="仿宋"/>
          <w:kern w:val="0"/>
          <w:sz w:val="28"/>
          <w:szCs w:val="28"/>
        </w:rPr>
      </w:pPr>
      <w:r>
        <w:rPr>
          <w:rFonts w:hint="eastAsia" w:ascii="宋体" w:hAnsi="宋体" w:cs="宋体"/>
          <w:b/>
          <w:bCs/>
          <w:kern w:val="0"/>
          <w:sz w:val="28"/>
          <w:szCs w:val="28"/>
        </w:rPr>
        <w:t>绩效目标：</w:t>
      </w:r>
      <w:r>
        <w:rPr>
          <w:rFonts w:ascii="仿宋" w:hAnsi="Times New Roman" w:eastAsia="仿宋" w:cs="仿宋"/>
          <w:kern w:val="0"/>
          <w:sz w:val="28"/>
          <w:szCs w:val="28"/>
        </w:rPr>
        <w:t>1</w:t>
      </w:r>
      <w:r>
        <w:rPr>
          <w:rFonts w:hint="eastAsia" w:ascii="仿宋" w:hAnsi="仿宋" w:eastAsia="仿宋" w:cs="仿宋"/>
          <w:kern w:val="0"/>
          <w:sz w:val="28"/>
          <w:szCs w:val="28"/>
        </w:rPr>
        <w:t>、完成检测平台及计量设施安装。</w:t>
      </w:r>
      <w:r>
        <w:rPr>
          <w:rFonts w:ascii="仿宋" w:hAnsi="仿宋" w:eastAsia="仿宋" w:cs="仿宋"/>
          <w:kern w:val="0"/>
          <w:sz w:val="28"/>
          <w:szCs w:val="28"/>
        </w:rPr>
        <w:t>2</w:t>
      </w:r>
      <w:r>
        <w:rPr>
          <w:rFonts w:hint="eastAsia" w:ascii="仿宋" w:hAnsi="仿宋" w:eastAsia="仿宋" w:cs="仿宋"/>
          <w:kern w:val="0"/>
          <w:sz w:val="28"/>
          <w:szCs w:val="28"/>
        </w:rPr>
        <w:t>、完成雨水、灰水收集利用改造。</w:t>
      </w:r>
      <w:r>
        <w:rPr>
          <w:rFonts w:ascii="仿宋" w:hAnsi="仿宋" w:eastAsia="仿宋" w:cs="仿宋"/>
          <w:kern w:val="0"/>
          <w:sz w:val="28"/>
          <w:szCs w:val="28"/>
        </w:rPr>
        <w:t>3</w:t>
      </w:r>
      <w:r>
        <w:rPr>
          <w:rFonts w:hint="eastAsia" w:ascii="仿宋" w:hAnsi="仿宋" w:eastAsia="仿宋" w:cs="仿宋"/>
          <w:kern w:val="0"/>
          <w:sz w:val="28"/>
          <w:szCs w:val="28"/>
        </w:rPr>
        <w:t>、完成节水器具的安装改造。</w:t>
      </w:r>
    </w:p>
    <w:p>
      <w:pPr>
        <w:widowControl/>
        <w:tabs>
          <w:tab w:val="left" w:pos="2745"/>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s>
        <w:autoSpaceDE w:val="0"/>
        <w:autoSpaceDN w:val="0"/>
        <w:adjustRightInd w:val="0"/>
        <w:spacing w:line="580" w:lineRule="exact"/>
        <w:ind w:firstLine="630"/>
        <w:rPr>
          <w:rFonts w:ascii="仿宋" w:hAnsi="仿宋" w:eastAsia="仿宋" w:cs="仿宋"/>
          <w:kern w:val="0"/>
          <w:sz w:val="28"/>
          <w:szCs w:val="28"/>
        </w:rPr>
      </w:pPr>
      <w:r>
        <w:rPr>
          <w:rFonts w:hint="eastAsia" w:ascii="宋体" w:hAnsi="宋体" w:cs="宋体"/>
          <w:b/>
          <w:bCs/>
          <w:kern w:val="0"/>
          <w:sz w:val="28"/>
          <w:szCs w:val="28"/>
        </w:rPr>
        <w:t>绩效指标：</w:t>
      </w:r>
      <w:r>
        <w:rPr>
          <w:rFonts w:ascii="仿宋" w:hAnsi="Times New Roman" w:eastAsia="仿宋" w:cs="仿宋"/>
          <w:kern w:val="0"/>
          <w:sz w:val="28"/>
          <w:szCs w:val="28"/>
        </w:rPr>
        <w:t>1</w:t>
      </w:r>
      <w:r>
        <w:rPr>
          <w:rFonts w:hint="eastAsia" w:ascii="仿宋" w:hAnsi="仿宋" w:eastAsia="仿宋" w:cs="仿宋"/>
          <w:kern w:val="0"/>
          <w:sz w:val="28"/>
          <w:szCs w:val="28"/>
        </w:rPr>
        <w:t>、数量指标</w:t>
      </w:r>
      <w:r>
        <w:rPr>
          <w:rFonts w:ascii="仿宋" w:hAnsi="仿宋" w:eastAsia="仿宋" w:cs="仿宋"/>
          <w:kern w:val="0"/>
          <w:sz w:val="28"/>
          <w:szCs w:val="28"/>
        </w:rPr>
        <w:t xml:space="preserve"> </w:t>
      </w:r>
      <w:r>
        <w:rPr>
          <w:rFonts w:hint="eastAsia" w:ascii="仿宋" w:hAnsi="仿宋" w:eastAsia="仿宋" w:cs="仿宋"/>
          <w:kern w:val="0"/>
          <w:sz w:val="28"/>
          <w:szCs w:val="28"/>
        </w:rPr>
        <w:t>完成节水器具改造数量大于等于</w:t>
      </w:r>
      <w:r>
        <w:rPr>
          <w:rFonts w:ascii="仿宋" w:hAnsi="仿宋" w:eastAsia="仿宋" w:cs="仿宋"/>
          <w:kern w:val="0"/>
          <w:sz w:val="28"/>
          <w:szCs w:val="28"/>
        </w:rPr>
        <w:t>92</w:t>
      </w:r>
      <w:r>
        <w:rPr>
          <w:rFonts w:hint="eastAsia" w:ascii="仿宋" w:hAnsi="仿宋" w:eastAsia="仿宋" w:cs="仿宋"/>
          <w:kern w:val="0"/>
          <w:sz w:val="28"/>
          <w:szCs w:val="28"/>
        </w:rPr>
        <w:t>个。</w:t>
      </w:r>
      <w:r>
        <w:rPr>
          <w:rFonts w:ascii="仿宋" w:hAnsi="仿宋" w:eastAsia="仿宋" w:cs="仿宋"/>
          <w:kern w:val="0"/>
          <w:sz w:val="28"/>
          <w:szCs w:val="28"/>
        </w:rPr>
        <w:t>2</w:t>
      </w:r>
      <w:r>
        <w:rPr>
          <w:rFonts w:hint="eastAsia" w:ascii="仿宋" w:hAnsi="仿宋" w:eastAsia="仿宋" w:cs="仿宋"/>
          <w:kern w:val="0"/>
          <w:sz w:val="28"/>
          <w:szCs w:val="28"/>
        </w:rPr>
        <w:t>、经济效益指标</w:t>
      </w:r>
      <w:r>
        <w:rPr>
          <w:rFonts w:ascii="仿宋" w:hAnsi="仿宋" w:eastAsia="仿宋" w:cs="仿宋"/>
          <w:kern w:val="0"/>
          <w:sz w:val="28"/>
          <w:szCs w:val="28"/>
        </w:rPr>
        <w:t xml:space="preserve"> </w:t>
      </w:r>
      <w:r>
        <w:rPr>
          <w:rFonts w:hint="eastAsia" w:ascii="仿宋" w:hAnsi="仿宋" w:eastAsia="仿宋" w:cs="仿宋"/>
          <w:kern w:val="0"/>
          <w:sz w:val="28"/>
          <w:szCs w:val="28"/>
        </w:rPr>
        <w:t>达到年节水</w:t>
      </w:r>
      <w:r>
        <w:rPr>
          <w:rFonts w:ascii="仿宋" w:hAnsi="仿宋" w:eastAsia="仿宋" w:cs="仿宋"/>
          <w:kern w:val="0"/>
          <w:sz w:val="28"/>
          <w:szCs w:val="28"/>
        </w:rPr>
        <w:t>1000</w:t>
      </w:r>
      <w:r>
        <w:rPr>
          <w:rFonts w:hint="eastAsia" w:ascii="仿宋" w:hAnsi="仿宋" w:eastAsia="仿宋" w:cs="仿宋"/>
          <w:kern w:val="0"/>
          <w:sz w:val="28"/>
          <w:szCs w:val="28"/>
        </w:rPr>
        <w:t>立方米。</w:t>
      </w:r>
      <w:r>
        <w:rPr>
          <w:rFonts w:ascii="仿宋" w:hAnsi="仿宋" w:eastAsia="仿宋" w:cs="仿宋"/>
          <w:kern w:val="0"/>
          <w:sz w:val="28"/>
          <w:szCs w:val="28"/>
        </w:rPr>
        <w:t>3</w:t>
      </w:r>
      <w:r>
        <w:rPr>
          <w:rFonts w:hint="eastAsia" w:ascii="仿宋" w:hAnsi="仿宋" w:eastAsia="仿宋" w:cs="仿宋"/>
          <w:kern w:val="0"/>
          <w:sz w:val="28"/>
          <w:szCs w:val="28"/>
        </w:rPr>
        <w:t>、满意度指标</w:t>
      </w:r>
      <w:r>
        <w:rPr>
          <w:rFonts w:ascii="仿宋" w:hAnsi="仿宋" w:eastAsia="仿宋" w:cs="仿宋"/>
          <w:kern w:val="0"/>
          <w:sz w:val="28"/>
          <w:szCs w:val="28"/>
        </w:rPr>
        <w:t xml:space="preserve"> </w:t>
      </w:r>
      <w:r>
        <w:rPr>
          <w:rFonts w:hint="eastAsia" w:ascii="仿宋" w:hAnsi="仿宋" w:eastAsia="仿宋" w:cs="仿宋"/>
          <w:kern w:val="0"/>
          <w:sz w:val="28"/>
          <w:szCs w:val="28"/>
        </w:rPr>
        <w:t>满意度达到</w:t>
      </w:r>
      <w:r>
        <w:rPr>
          <w:rFonts w:ascii="仿宋" w:hAnsi="仿宋" w:eastAsia="仿宋" w:cs="仿宋"/>
          <w:kern w:val="0"/>
          <w:sz w:val="28"/>
          <w:szCs w:val="28"/>
        </w:rPr>
        <w:t>100%</w:t>
      </w:r>
      <w:r>
        <w:rPr>
          <w:rFonts w:hint="eastAsia" w:ascii="仿宋" w:hAnsi="仿宋" w:eastAsia="仿宋" w:cs="仿宋"/>
          <w:kern w:val="0"/>
          <w:sz w:val="28"/>
          <w:szCs w:val="28"/>
        </w:rPr>
        <w:t>。</w:t>
      </w:r>
    </w:p>
    <w:p>
      <w:pPr>
        <w:widowControl/>
        <w:tabs>
          <w:tab w:val="left" w:pos="2745"/>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s>
        <w:autoSpaceDE w:val="0"/>
        <w:autoSpaceDN w:val="0"/>
        <w:adjustRightInd w:val="0"/>
        <w:spacing w:line="580" w:lineRule="exact"/>
        <w:ind w:firstLine="630"/>
        <w:rPr>
          <w:rFonts w:ascii="宋体" w:hAnsi="宋体" w:cs="宋体"/>
          <w:b/>
          <w:bCs/>
          <w:kern w:val="0"/>
          <w:sz w:val="28"/>
          <w:szCs w:val="28"/>
        </w:rPr>
      </w:pPr>
      <w:r>
        <w:rPr>
          <w:rFonts w:hint="eastAsia" w:ascii="宋体" w:hAnsi="宋体" w:cs="宋体"/>
          <w:b/>
          <w:bCs/>
          <w:kern w:val="0"/>
          <w:sz w:val="28"/>
          <w:szCs w:val="28"/>
        </w:rPr>
        <w:t>（四）南水北调配套一期贷款本息</w:t>
      </w:r>
    </w:p>
    <w:p>
      <w:pPr>
        <w:widowControl/>
        <w:tabs>
          <w:tab w:val="left" w:pos="2745"/>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s>
        <w:autoSpaceDE w:val="0"/>
        <w:autoSpaceDN w:val="0"/>
        <w:adjustRightInd w:val="0"/>
        <w:spacing w:line="580" w:lineRule="exact"/>
        <w:ind w:firstLine="630"/>
        <w:rPr>
          <w:rFonts w:ascii="仿宋" w:hAnsi="仿宋" w:eastAsia="仿宋" w:cs="仿宋"/>
          <w:kern w:val="0"/>
          <w:sz w:val="28"/>
          <w:szCs w:val="28"/>
        </w:rPr>
      </w:pPr>
      <w:r>
        <w:rPr>
          <w:rFonts w:hint="eastAsia" w:ascii="宋体" w:hAnsi="宋体" w:cs="宋体"/>
          <w:b/>
          <w:bCs/>
          <w:kern w:val="0"/>
          <w:sz w:val="28"/>
          <w:szCs w:val="28"/>
        </w:rPr>
        <w:t>绩效目标：</w:t>
      </w:r>
      <w:r>
        <w:rPr>
          <w:rFonts w:hint="eastAsia" w:ascii="仿宋" w:hAnsi="仿宋" w:eastAsia="仿宋" w:cs="仿宋"/>
          <w:kern w:val="0"/>
          <w:sz w:val="28"/>
          <w:szCs w:val="28"/>
        </w:rPr>
        <w:t>按期归还南水北调一期工程（地表水厂）贷农发行款本金和利息。</w:t>
      </w:r>
    </w:p>
    <w:p>
      <w:pPr>
        <w:widowControl/>
        <w:tabs>
          <w:tab w:val="left" w:pos="2745"/>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s>
        <w:autoSpaceDE w:val="0"/>
        <w:autoSpaceDN w:val="0"/>
        <w:adjustRightInd w:val="0"/>
        <w:spacing w:line="580" w:lineRule="exact"/>
        <w:ind w:firstLine="630"/>
        <w:rPr>
          <w:rFonts w:ascii="仿宋" w:hAnsi="仿宋" w:eastAsia="仿宋" w:cs="仿宋"/>
          <w:kern w:val="0"/>
          <w:sz w:val="28"/>
          <w:szCs w:val="28"/>
        </w:rPr>
      </w:pPr>
      <w:r>
        <w:rPr>
          <w:rFonts w:hint="eastAsia" w:ascii="宋体" w:hAnsi="宋体" w:cs="宋体"/>
          <w:b/>
          <w:bCs/>
          <w:kern w:val="0"/>
          <w:sz w:val="28"/>
          <w:szCs w:val="28"/>
        </w:rPr>
        <w:t>绩效指标：</w:t>
      </w:r>
      <w:r>
        <w:rPr>
          <w:rFonts w:hint="eastAsia" w:ascii="仿宋" w:hAnsi="仿宋" w:eastAsia="仿宋" w:cs="仿宋"/>
          <w:kern w:val="0"/>
          <w:sz w:val="28"/>
          <w:szCs w:val="28"/>
        </w:rPr>
        <w:t>效果指标：按合同约定日期偿还本金和利息，保证地表水厂正常运行、保证用水户用水安全、及时解决用水问题。服务对象满意度指标：接受满意程度达到</w:t>
      </w:r>
      <w:r>
        <w:rPr>
          <w:rFonts w:ascii="仿宋" w:hAnsi="仿宋" w:eastAsia="仿宋" w:cs="仿宋"/>
          <w:kern w:val="0"/>
          <w:sz w:val="28"/>
          <w:szCs w:val="28"/>
        </w:rPr>
        <w:t>100%</w:t>
      </w:r>
      <w:r>
        <w:rPr>
          <w:rFonts w:hint="eastAsia" w:ascii="仿宋" w:hAnsi="仿宋" w:eastAsia="仿宋" w:cs="仿宋"/>
          <w:kern w:val="0"/>
          <w:sz w:val="28"/>
          <w:szCs w:val="28"/>
        </w:rPr>
        <w:t>。</w:t>
      </w:r>
    </w:p>
    <w:p>
      <w:pPr>
        <w:widowControl/>
        <w:tabs>
          <w:tab w:val="left" w:pos="2745"/>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s>
        <w:autoSpaceDE w:val="0"/>
        <w:autoSpaceDN w:val="0"/>
        <w:adjustRightInd w:val="0"/>
        <w:spacing w:line="580" w:lineRule="exact"/>
        <w:ind w:firstLine="630"/>
        <w:rPr>
          <w:rFonts w:ascii="宋体" w:hAnsi="宋体" w:cs="宋体"/>
          <w:b/>
          <w:bCs/>
          <w:kern w:val="0"/>
          <w:sz w:val="28"/>
          <w:szCs w:val="28"/>
        </w:rPr>
      </w:pPr>
      <w:r>
        <w:rPr>
          <w:rFonts w:hint="eastAsia" w:ascii="宋体" w:hAnsi="宋体" w:cs="宋体"/>
          <w:b/>
          <w:bCs/>
          <w:kern w:val="0"/>
          <w:sz w:val="28"/>
          <w:szCs w:val="28"/>
        </w:rPr>
        <w:t>（五）南水北调配套一期工程款</w:t>
      </w:r>
    </w:p>
    <w:p>
      <w:pPr>
        <w:widowControl/>
        <w:tabs>
          <w:tab w:val="left" w:pos="2745"/>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s>
        <w:autoSpaceDE w:val="0"/>
        <w:autoSpaceDN w:val="0"/>
        <w:adjustRightInd w:val="0"/>
        <w:spacing w:line="580" w:lineRule="exact"/>
        <w:ind w:firstLine="630"/>
        <w:rPr>
          <w:rFonts w:ascii="仿宋" w:hAnsi="仿宋" w:eastAsia="仿宋" w:cs="仿宋"/>
          <w:kern w:val="0"/>
          <w:sz w:val="28"/>
          <w:szCs w:val="28"/>
        </w:rPr>
      </w:pPr>
      <w:r>
        <w:rPr>
          <w:rFonts w:hint="eastAsia" w:ascii="宋体" w:hAnsi="宋体" w:cs="宋体"/>
          <w:b/>
          <w:bCs/>
          <w:kern w:val="0"/>
          <w:sz w:val="28"/>
          <w:szCs w:val="28"/>
        </w:rPr>
        <w:t>绩效目标：</w:t>
      </w:r>
      <w:r>
        <w:rPr>
          <w:rFonts w:hint="eastAsia" w:ascii="仿宋" w:hAnsi="仿宋" w:eastAsia="仿宋" w:cs="仿宋"/>
          <w:kern w:val="0"/>
          <w:sz w:val="28"/>
          <w:szCs w:val="28"/>
        </w:rPr>
        <w:t>归还南水北调一期工程（地表水厂）尾款，使城区供水能力得到提高，创造了良好的自然环境。提高居民生活质量和健康水平，为藁城工业开发区的投资环境带来了很好的改善和提高。</w:t>
      </w:r>
    </w:p>
    <w:p>
      <w:pPr>
        <w:widowControl/>
        <w:tabs>
          <w:tab w:val="left" w:pos="2745"/>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s>
        <w:autoSpaceDE w:val="0"/>
        <w:autoSpaceDN w:val="0"/>
        <w:adjustRightInd w:val="0"/>
        <w:spacing w:line="580" w:lineRule="exact"/>
        <w:ind w:firstLine="630"/>
        <w:rPr>
          <w:rFonts w:ascii="仿宋" w:hAnsi="仿宋" w:eastAsia="仿宋" w:cs="仿宋"/>
          <w:kern w:val="0"/>
          <w:sz w:val="28"/>
          <w:szCs w:val="28"/>
        </w:rPr>
      </w:pPr>
      <w:r>
        <w:rPr>
          <w:rFonts w:hint="eastAsia" w:ascii="宋体" w:hAnsi="宋体" w:cs="宋体"/>
          <w:b/>
          <w:bCs/>
          <w:kern w:val="0"/>
          <w:sz w:val="28"/>
          <w:szCs w:val="28"/>
        </w:rPr>
        <w:t>绩效指标：</w:t>
      </w:r>
      <w:r>
        <w:rPr>
          <w:rFonts w:hint="eastAsia" w:ascii="仿宋" w:hAnsi="仿宋" w:eastAsia="仿宋" w:cs="仿宋"/>
          <w:kern w:val="0"/>
          <w:sz w:val="28"/>
          <w:szCs w:val="28"/>
        </w:rPr>
        <w:t>数量指标：按期竣工地表水厂一座。社会效益指标：提高城区供水能力，为藁城工业开发区的投资环境带来了很好的改善和提高。服务对象满意度指标：群众对整体满意度大于</w:t>
      </w:r>
      <w:r>
        <w:rPr>
          <w:rFonts w:ascii="仿宋" w:hAnsi="仿宋" w:eastAsia="仿宋" w:cs="仿宋"/>
          <w:kern w:val="0"/>
          <w:sz w:val="28"/>
          <w:szCs w:val="28"/>
        </w:rPr>
        <w:t>90%</w:t>
      </w:r>
    </w:p>
    <w:p>
      <w:pPr>
        <w:widowControl/>
        <w:tabs>
          <w:tab w:val="left" w:pos="2745"/>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s>
        <w:autoSpaceDE w:val="0"/>
        <w:autoSpaceDN w:val="0"/>
        <w:adjustRightInd w:val="0"/>
        <w:spacing w:line="580" w:lineRule="exact"/>
        <w:ind w:firstLine="630"/>
        <w:rPr>
          <w:rFonts w:ascii="宋体" w:hAnsi="宋体" w:cs="宋体"/>
          <w:b/>
          <w:bCs/>
          <w:kern w:val="0"/>
          <w:sz w:val="28"/>
          <w:szCs w:val="28"/>
        </w:rPr>
      </w:pPr>
      <w:r>
        <w:rPr>
          <w:rFonts w:hint="eastAsia" w:ascii="宋体" w:hAnsi="宋体" w:cs="宋体"/>
          <w:b/>
          <w:bCs/>
          <w:kern w:val="0"/>
          <w:sz w:val="28"/>
          <w:szCs w:val="28"/>
        </w:rPr>
        <w:t>（六）河长制工作经费（县级日常公用）</w:t>
      </w:r>
    </w:p>
    <w:p>
      <w:pPr>
        <w:widowControl/>
        <w:tabs>
          <w:tab w:val="left" w:pos="2745"/>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s>
        <w:autoSpaceDE w:val="0"/>
        <w:autoSpaceDN w:val="0"/>
        <w:adjustRightInd w:val="0"/>
        <w:spacing w:line="580" w:lineRule="exact"/>
        <w:ind w:firstLine="630"/>
        <w:rPr>
          <w:rFonts w:ascii="仿宋" w:hAnsi="仿宋" w:eastAsia="仿宋" w:cs="仿宋"/>
          <w:kern w:val="0"/>
          <w:sz w:val="28"/>
          <w:szCs w:val="28"/>
        </w:rPr>
      </w:pPr>
      <w:r>
        <w:rPr>
          <w:rFonts w:hint="eastAsia" w:ascii="宋体" w:hAnsi="宋体" w:cs="宋体"/>
          <w:b/>
          <w:bCs/>
          <w:kern w:val="0"/>
          <w:sz w:val="28"/>
          <w:szCs w:val="28"/>
        </w:rPr>
        <w:t>绩效目标：</w:t>
      </w:r>
      <w:r>
        <w:rPr>
          <w:rFonts w:hint="eastAsia" w:ascii="仿宋" w:hAnsi="仿宋" w:eastAsia="仿宋" w:cs="仿宋"/>
          <w:kern w:val="0"/>
          <w:sz w:val="28"/>
          <w:szCs w:val="28"/>
        </w:rPr>
        <w:t>用于滹沱河、木刀沟日常巡河及突发事件处理车油费及办公费用。确保河道生态安全，确保河道违法案件逐年减少。</w:t>
      </w:r>
    </w:p>
    <w:p>
      <w:pPr>
        <w:widowControl/>
        <w:tabs>
          <w:tab w:val="left" w:pos="2745"/>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s>
        <w:autoSpaceDE w:val="0"/>
        <w:autoSpaceDN w:val="0"/>
        <w:adjustRightInd w:val="0"/>
        <w:spacing w:line="580" w:lineRule="exact"/>
        <w:ind w:firstLine="630"/>
        <w:rPr>
          <w:rFonts w:ascii="仿宋" w:hAnsi="仿宋" w:eastAsia="仿宋" w:cs="仿宋"/>
          <w:kern w:val="0"/>
          <w:sz w:val="28"/>
          <w:szCs w:val="28"/>
        </w:rPr>
      </w:pPr>
      <w:r>
        <w:rPr>
          <w:rFonts w:hint="eastAsia" w:ascii="宋体" w:hAnsi="宋体" w:cs="宋体"/>
          <w:b/>
          <w:bCs/>
          <w:kern w:val="0"/>
          <w:sz w:val="28"/>
          <w:szCs w:val="28"/>
        </w:rPr>
        <w:t>绩效指标：</w:t>
      </w:r>
      <w:r>
        <w:rPr>
          <w:rFonts w:hint="eastAsia" w:ascii="仿宋" w:hAnsi="仿宋" w:eastAsia="仿宋" w:cs="仿宋"/>
          <w:kern w:val="0"/>
          <w:sz w:val="28"/>
          <w:szCs w:val="28"/>
        </w:rPr>
        <w:t>产出指标：数量指标，日常巡查次数每天巡查不低于</w:t>
      </w:r>
      <w:r>
        <w:rPr>
          <w:rFonts w:ascii="仿宋" w:hAnsi="仿宋" w:eastAsia="仿宋" w:cs="仿宋"/>
          <w:kern w:val="0"/>
          <w:sz w:val="28"/>
          <w:szCs w:val="28"/>
        </w:rPr>
        <w:t>2</w:t>
      </w:r>
      <w:r>
        <w:rPr>
          <w:rFonts w:hint="eastAsia" w:ascii="仿宋" w:hAnsi="仿宋" w:eastAsia="仿宋" w:cs="仿宋"/>
          <w:kern w:val="0"/>
          <w:sz w:val="28"/>
          <w:szCs w:val="28"/>
        </w:rPr>
        <w:t>次，全年巡查不低于</w:t>
      </w:r>
      <w:r>
        <w:rPr>
          <w:rFonts w:ascii="仿宋" w:hAnsi="仿宋" w:eastAsia="仿宋" w:cs="仿宋"/>
          <w:kern w:val="0"/>
          <w:sz w:val="28"/>
          <w:szCs w:val="28"/>
        </w:rPr>
        <w:t>730</w:t>
      </w:r>
      <w:r>
        <w:rPr>
          <w:rFonts w:hint="eastAsia" w:ascii="仿宋" w:hAnsi="仿宋" w:eastAsia="仿宋" w:cs="仿宋"/>
          <w:kern w:val="0"/>
          <w:sz w:val="28"/>
          <w:szCs w:val="28"/>
        </w:rPr>
        <w:t>次。加强河道巡查河道违法案件逐年降低。满意度指标：群众对生态环境满意度大于</w:t>
      </w:r>
      <w:r>
        <w:rPr>
          <w:rFonts w:ascii="仿宋" w:hAnsi="仿宋" w:eastAsia="仿宋" w:cs="仿宋"/>
          <w:kern w:val="0"/>
          <w:sz w:val="28"/>
          <w:szCs w:val="28"/>
        </w:rPr>
        <w:t>95%</w:t>
      </w:r>
      <w:r>
        <w:rPr>
          <w:rFonts w:hint="eastAsia" w:ascii="仿宋" w:hAnsi="仿宋" w:eastAsia="仿宋" w:cs="仿宋"/>
          <w:kern w:val="0"/>
          <w:sz w:val="28"/>
          <w:szCs w:val="28"/>
        </w:rPr>
        <w:t>，群众举报减少。</w:t>
      </w:r>
    </w:p>
    <w:p>
      <w:pPr>
        <w:widowControl/>
        <w:tabs>
          <w:tab w:val="left" w:pos="2745"/>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s>
        <w:autoSpaceDE w:val="0"/>
        <w:autoSpaceDN w:val="0"/>
        <w:adjustRightInd w:val="0"/>
        <w:spacing w:line="580" w:lineRule="exact"/>
        <w:ind w:firstLine="630"/>
        <w:rPr>
          <w:rFonts w:ascii="宋体" w:hAnsi="宋体" w:cs="宋体"/>
          <w:b/>
          <w:bCs/>
          <w:kern w:val="0"/>
          <w:sz w:val="28"/>
          <w:szCs w:val="28"/>
        </w:rPr>
      </w:pPr>
      <w:r>
        <w:rPr>
          <w:rFonts w:hint="eastAsia" w:ascii="宋体" w:hAnsi="宋体" w:cs="宋体"/>
          <w:b/>
          <w:bCs/>
          <w:kern w:val="0"/>
          <w:sz w:val="28"/>
          <w:szCs w:val="28"/>
        </w:rPr>
        <w:t>（七）周汉河汪洋沟长期占地</w:t>
      </w:r>
    </w:p>
    <w:p>
      <w:pPr>
        <w:widowControl/>
        <w:tabs>
          <w:tab w:val="left" w:pos="2745"/>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s>
        <w:autoSpaceDE w:val="0"/>
        <w:autoSpaceDN w:val="0"/>
        <w:adjustRightInd w:val="0"/>
        <w:spacing w:line="580" w:lineRule="exact"/>
        <w:ind w:firstLine="630"/>
        <w:rPr>
          <w:rFonts w:ascii="仿宋" w:hAnsi="仿宋" w:eastAsia="仿宋" w:cs="仿宋"/>
          <w:kern w:val="0"/>
          <w:sz w:val="28"/>
          <w:szCs w:val="28"/>
        </w:rPr>
      </w:pPr>
      <w:r>
        <w:rPr>
          <w:rFonts w:hint="eastAsia" w:ascii="宋体" w:hAnsi="宋体" w:cs="宋体"/>
          <w:b/>
          <w:bCs/>
          <w:kern w:val="0"/>
          <w:sz w:val="28"/>
          <w:szCs w:val="28"/>
        </w:rPr>
        <w:t>绩效目标：</w:t>
      </w:r>
      <w:r>
        <w:rPr>
          <w:rFonts w:hint="eastAsia" w:ascii="仿宋" w:hAnsi="仿宋" w:eastAsia="仿宋" w:cs="仿宋"/>
          <w:kern w:val="0"/>
          <w:sz w:val="28"/>
          <w:szCs w:val="28"/>
        </w:rPr>
        <w:t>完成汪洋沟、周汉河占用南营、梅花、贾市庄、九门</w:t>
      </w:r>
      <w:r>
        <w:rPr>
          <w:rFonts w:ascii="仿宋" w:hAnsi="仿宋" w:eastAsia="仿宋" w:cs="仿宋"/>
          <w:kern w:val="0"/>
          <w:sz w:val="28"/>
          <w:szCs w:val="28"/>
        </w:rPr>
        <w:t>4</w:t>
      </w:r>
      <w:r>
        <w:rPr>
          <w:rFonts w:hint="eastAsia" w:ascii="仿宋" w:hAnsi="仿宋" w:eastAsia="仿宋" w:cs="仿宋"/>
          <w:kern w:val="0"/>
          <w:sz w:val="28"/>
          <w:szCs w:val="28"/>
        </w:rPr>
        <w:t>个乡镇长期占地赔偿。</w:t>
      </w:r>
    </w:p>
    <w:p>
      <w:pPr>
        <w:widowControl/>
        <w:tabs>
          <w:tab w:val="left" w:pos="2745"/>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s>
        <w:autoSpaceDE w:val="0"/>
        <w:autoSpaceDN w:val="0"/>
        <w:adjustRightInd w:val="0"/>
        <w:spacing w:line="580" w:lineRule="exact"/>
        <w:ind w:firstLine="630"/>
        <w:rPr>
          <w:rFonts w:ascii="仿宋" w:hAnsi="仿宋" w:eastAsia="仿宋" w:cs="仿宋"/>
          <w:kern w:val="0"/>
          <w:sz w:val="28"/>
          <w:szCs w:val="28"/>
        </w:rPr>
      </w:pPr>
      <w:r>
        <w:rPr>
          <w:rFonts w:hint="eastAsia" w:ascii="宋体" w:hAnsi="宋体" w:cs="宋体"/>
          <w:b/>
          <w:bCs/>
          <w:kern w:val="0"/>
          <w:sz w:val="28"/>
          <w:szCs w:val="28"/>
        </w:rPr>
        <w:t>绩效指标：</w:t>
      </w:r>
      <w:r>
        <w:rPr>
          <w:rFonts w:hint="eastAsia" w:ascii="仿宋" w:hAnsi="仿宋" w:eastAsia="仿宋" w:cs="仿宋"/>
          <w:kern w:val="0"/>
          <w:sz w:val="28"/>
          <w:szCs w:val="28"/>
        </w:rPr>
        <w:t>产出指标：资金赔付率，赔付资金占全部资金</w:t>
      </w:r>
      <w:r>
        <w:rPr>
          <w:rFonts w:ascii="仿宋" w:hAnsi="仿宋" w:eastAsia="仿宋" w:cs="仿宋"/>
          <w:kern w:val="0"/>
          <w:sz w:val="28"/>
          <w:szCs w:val="28"/>
        </w:rPr>
        <w:t>100%</w:t>
      </w:r>
      <w:r>
        <w:rPr>
          <w:rFonts w:hint="eastAsia" w:ascii="仿宋" w:hAnsi="仿宋" w:eastAsia="仿宋" w:cs="仿宋"/>
          <w:kern w:val="0"/>
          <w:sz w:val="28"/>
          <w:szCs w:val="28"/>
        </w:rPr>
        <w:t>，资金全部赔付到位。效果指标：达到设计排涝标准合格率</w:t>
      </w:r>
      <w:r>
        <w:rPr>
          <w:rFonts w:ascii="仿宋" w:hAnsi="仿宋" w:eastAsia="仿宋" w:cs="仿宋"/>
          <w:kern w:val="0"/>
          <w:sz w:val="28"/>
          <w:szCs w:val="28"/>
        </w:rPr>
        <w:t>90%</w:t>
      </w:r>
      <w:r>
        <w:rPr>
          <w:rFonts w:hint="eastAsia" w:ascii="仿宋" w:hAnsi="仿宋" w:eastAsia="仿宋" w:cs="仿宋"/>
          <w:kern w:val="0"/>
          <w:sz w:val="28"/>
          <w:szCs w:val="28"/>
        </w:rPr>
        <w:t>以上。满意度指标：群众对工程的整体满意度大于</w:t>
      </w:r>
      <w:r>
        <w:rPr>
          <w:rFonts w:ascii="仿宋" w:hAnsi="仿宋" w:eastAsia="仿宋" w:cs="仿宋"/>
          <w:kern w:val="0"/>
          <w:sz w:val="28"/>
          <w:szCs w:val="28"/>
        </w:rPr>
        <w:t>90%</w:t>
      </w:r>
      <w:r>
        <w:rPr>
          <w:rFonts w:hint="eastAsia" w:ascii="仿宋" w:hAnsi="仿宋" w:eastAsia="仿宋" w:cs="仿宋"/>
          <w:kern w:val="0"/>
          <w:sz w:val="28"/>
          <w:szCs w:val="28"/>
        </w:rPr>
        <w:t>。</w:t>
      </w:r>
    </w:p>
    <w:p>
      <w:pPr>
        <w:widowControl/>
        <w:tabs>
          <w:tab w:val="left" w:pos="2745"/>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s>
        <w:autoSpaceDE w:val="0"/>
        <w:autoSpaceDN w:val="0"/>
        <w:adjustRightInd w:val="0"/>
        <w:spacing w:line="580" w:lineRule="exact"/>
        <w:ind w:firstLine="630"/>
        <w:rPr>
          <w:rFonts w:ascii="宋体" w:hAnsi="宋体" w:cs="宋体"/>
          <w:b/>
          <w:bCs/>
          <w:kern w:val="0"/>
          <w:sz w:val="28"/>
          <w:szCs w:val="28"/>
        </w:rPr>
      </w:pPr>
      <w:r>
        <w:rPr>
          <w:rFonts w:hint="eastAsia" w:ascii="宋体" w:hAnsi="宋体" w:cs="宋体"/>
          <w:b/>
          <w:bCs/>
          <w:kern w:val="0"/>
          <w:sz w:val="28"/>
          <w:szCs w:val="28"/>
        </w:rPr>
        <w:t>（八）河长制工作经费（村级）</w:t>
      </w:r>
    </w:p>
    <w:p>
      <w:pPr>
        <w:widowControl/>
        <w:tabs>
          <w:tab w:val="left" w:pos="2745"/>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s>
        <w:autoSpaceDE w:val="0"/>
        <w:autoSpaceDN w:val="0"/>
        <w:adjustRightInd w:val="0"/>
        <w:spacing w:line="580" w:lineRule="exact"/>
        <w:ind w:firstLine="630"/>
        <w:rPr>
          <w:rFonts w:ascii="仿宋" w:hAnsi="仿宋" w:eastAsia="仿宋" w:cs="仿宋"/>
          <w:kern w:val="0"/>
          <w:sz w:val="28"/>
          <w:szCs w:val="28"/>
        </w:rPr>
      </w:pPr>
      <w:r>
        <w:rPr>
          <w:rFonts w:hint="eastAsia" w:ascii="宋体" w:hAnsi="宋体" w:cs="宋体"/>
          <w:b/>
          <w:bCs/>
          <w:kern w:val="0"/>
          <w:sz w:val="28"/>
          <w:szCs w:val="28"/>
        </w:rPr>
        <w:t>绩效目标：</w:t>
      </w:r>
      <w:r>
        <w:rPr>
          <w:rFonts w:hint="eastAsia" w:ascii="仿宋" w:hAnsi="仿宋" w:eastAsia="仿宋" w:cs="仿宋"/>
          <w:kern w:val="0"/>
          <w:sz w:val="28"/>
          <w:szCs w:val="28"/>
        </w:rPr>
        <w:t>按时发放</w:t>
      </w:r>
      <w:r>
        <w:rPr>
          <w:rFonts w:ascii="仿宋" w:hAnsi="仿宋" w:eastAsia="仿宋" w:cs="仿宋"/>
          <w:kern w:val="0"/>
          <w:sz w:val="28"/>
          <w:szCs w:val="28"/>
        </w:rPr>
        <w:t>12</w:t>
      </w:r>
      <w:r>
        <w:rPr>
          <w:rFonts w:hint="eastAsia" w:ascii="仿宋" w:hAnsi="仿宋" w:eastAsia="仿宋" w:cs="仿宋"/>
          <w:kern w:val="0"/>
          <w:sz w:val="28"/>
          <w:szCs w:val="28"/>
        </w:rPr>
        <w:t>个乡镇</w:t>
      </w:r>
      <w:r>
        <w:rPr>
          <w:rFonts w:ascii="仿宋" w:hAnsi="仿宋" w:eastAsia="仿宋" w:cs="仿宋"/>
          <w:kern w:val="0"/>
          <w:sz w:val="28"/>
          <w:szCs w:val="28"/>
        </w:rPr>
        <w:t>67</w:t>
      </w:r>
      <w:r>
        <w:rPr>
          <w:rFonts w:hint="eastAsia" w:ascii="仿宋" w:hAnsi="仿宋" w:eastAsia="仿宋" w:cs="仿宋"/>
          <w:kern w:val="0"/>
          <w:sz w:val="28"/>
          <w:szCs w:val="28"/>
        </w:rPr>
        <w:t>名村级河长补贴，完成对河道的日常监管。</w:t>
      </w:r>
    </w:p>
    <w:p>
      <w:pPr>
        <w:widowControl/>
        <w:tabs>
          <w:tab w:val="left" w:pos="2745"/>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s>
        <w:autoSpaceDE w:val="0"/>
        <w:autoSpaceDN w:val="0"/>
        <w:adjustRightInd w:val="0"/>
        <w:spacing w:line="580" w:lineRule="exact"/>
        <w:ind w:firstLine="630"/>
        <w:rPr>
          <w:rFonts w:ascii="仿宋" w:hAnsi="仿宋" w:eastAsia="仿宋" w:cs="仿宋"/>
          <w:kern w:val="0"/>
          <w:sz w:val="28"/>
          <w:szCs w:val="28"/>
        </w:rPr>
      </w:pPr>
      <w:r>
        <w:rPr>
          <w:rFonts w:hint="eastAsia" w:ascii="宋体" w:hAnsi="宋体" w:cs="宋体"/>
          <w:b/>
          <w:bCs/>
          <w:kern w:val="0"/>
          <w:sz w:val="28"/>
          <w:szCs w:val="28"/>
        </w:rPr>
        <w:t>绩效指标：</w:t>
      </w:r>
      <w:r>
        <w:rPr>
          <w:rFonts w:hint="eastAsia" w:ascii="仿宋" w:hAnsi="仿宋" w:eastAsia="仿宋" w:cs="仿宋"/>
          <w:kern w:val="0"/>
          <w:sz w:val="28"/>
          <w:szCs w:val="28"/>
        </w:rPr>
        <w:t>产出指标：数量指标，对</w:t>
      </w:r>
      <w:r>
        <w:rPr>
          <w:rFonts w:ascii="仿宋" w:hAnsi="仿宋" w:eastAsia="仿宋" w:cs="仿宋"/>
          <w:kern w:val="0"/>
          <w:sz w:val="28"/>
          <w:szCs w:val="28"/>
        </w:rPr>
        <w:t>6</w:t>
      </w:r>
      <w:r>
        <w:rPr>
          <w:rFonts w:hint="eastAsia" w:ascii="仿宋" w:hAnsi="仿宋" w:eastAsia="仿宋" w:cs="仿宋"/>
          <w:kern w:val="0"/>
          <w:sz w:val="28"/>
          <w:szCs w:val="28"/>
        </w:rPr>
        <w:t>条河道，每位河长每周巡河次数不低于</w:t>
      </w:r>
      <w:r>
        <w:rPr>
          <w:rFonts w:ascii="仿宋" w:hAnsi="仿宋" w:eastAsia="仿宋" w:cs="仿宋"/>
          <w:kern w:val="0"/>
          <w:sz w:val="28"/>
          <w:szCs w:val="28"/>
        </w:rPr>
        <w:t>2</w:t>
      </w:r>
      <w:r>
        <w:rPr>
          <w:rFonts w:hint="eastAsia" w:ascii="仿宋" w:hAnsi="仿宋" w:eastAsia="仿宋" w:cs="仿宋"/>
          <w:kern w:val="0"/>
          <w:sz w:val="28"/>
          <w:szCs w:val="28"/>
        </w:rPr>
        <w:t>次，达到规定巡河率。质量指标：处理突发问题及时率大于</w:t>
      </w:r>
      <w:r>
        <w:rPr>
          <w:rFonts w:ascii="仿宋" w:hAnsi="仿宋" w:eastAsia="仿宋" w:cs="仿宋"/>
          <w:kern w:val="0"/>
          <w:sz w:val="28"/>
          <w:szCs w:val="28"/>
        </w:rPr>
        <w:t>95%</w:t>
      </w:r>
      <w:r>
        <w:rPr>
          <w:rFonts w:hint="eastAsia" w:ascii="仿宋" w:hAnsi="仿宋" w:eastAsia="仿宋" w:cs="仿宋"/>
          <w:kern w:val="0"/>
          <w:sz w:val="28"/>
          <w:szCs w:val="28"/>
        </w:rPr>
        <w:t>，发现问题及时处理。满意度指标：群众对河道生态环境的满意度达到</w:t>
      </w:r>
      <w:r>
        <w:rPr>
          <w:rFonts w:ascii="仿宋" w:hAnsi="仿宋" w:eastAsia="仿宋" w:cs="仿宋"/>
          <w:kern w:val="0"/>
          <w:sz w:val="28"/>
          <w:szCs w:val="28"/>
        </w:rPr>
        <w:t>95%</w:t>
      </w:r>
      <w:r>
        <w:rPr>
          <w:rFonts w:hint="eastAsia" w:ascii="仿宋" w:hAnsi="仿宋" w:eastAsia="仿宋" w:cs="仿宋"/>
          <w:kern w:val="0"/>
          <w:sz w:val="28"/>
          <w:szCs w:val="28"/>
        </w:rPr>
        <w:t>。</w:t>
      </w:r>
    </w:p>
    <w:p>
      <w:pPr>
        <w:widowControl/>
        <w:tabs>
          <w:tab w:val="left" w:pos="2745"/>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s>
        <w:autoSpaceDE w:val="0"/>
        <w:autoSpaceDN w:val="0"/>
        <w:adjustRightInd w:val="0"/>
        <w:spacing w:line="580" w:lineRule="exact"/>
        <w:ind w:firstLine="630"/>
        <w:rPr>
          <w:rFonts w:ascii="宋体" w:hAnsi="宋体" w:cs="宋体"/>
          <w:b/>
          <w:bCs/>
          <w:kern w:val="0"/>
          <w:sz w:val="28"/>
          <w:szCs w:val="28"/>
        </w:rPr>
      </w:pPr>
      <w:r>
        <w:rPr>
          <w:rFonts w:hint="eastAsia" w:ascii="宋体" w:hAnsi="宋体" w:cs="宋体"/>
          <w:b/>
          <w:bCs/>
          <w:kern w:val="0"/>
          <w:sz w:val="28"/>
          <w:szCs w:val="28"/>
        </w:rPr>
        <w:t>（九）城区饮用水备用水源地</w:t>
      </w:r>
    </w:p>
    <w:p>
      <w:pPr>
        <w:widowControl/>
        <w:tabs>
          <w:tab w:val="left" w:pos="2745"/>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s>
        <w:autoSpaceDE w:val="0"/>
        <w:autoSpaceDN w:val="0"/>
        <w:adjustRightInd w:val="0"/>
        <w:spacing w:line="580" w:lineRule="exact"/>
        <w:ind w:firstLine="630"/>
        <w:rPr>
          <w:rFonts w:ascii="仿宋" w:hAnsi="仿宋" w:eastAsia="仿宋" w:cs="仿宋"/>
          <w:kern w:val="0"/>
          <w:sz w:val="28"/>
          <w:szCs w:val="28"/>
        </w:rPr>
      </w:pPr>
      <w:r>
        <w:rPr>
          <w:rFonts w:hint="eastAsia" w:ascii="宋体" w:hAnsi="宋体" w:cs="宋体"/>
          <w:b/>
          <w:bCs/>
          <w:kern w:val="0"/>
          <w:sz w:val="28"/>
          <w:szCs w:val="28"/>
        </w:rPr>
        <w:t>绩效目标：</w:t>
      </w:r>
      <w:r>
        <w:rPr>
          <w:rFonts w:hint="eastAsia" w:ascii="仿宋" w:hAnsi="仿宋" w:eastAsia="仿宋" w:cs="仿宋"/>
          <w:kern w:val="0"/>
          <w:sz w:val="28"/>
          <w:szCs w:val="28"/>
        </w:rPr>
        <w:t>用于备用水源地项目科研、环评、勘测等前期费用，保证城区用水安全，保证项目如期进行。</w:t>
      </w:r>
    </w:p>
    <w:p>
      <w:pPr>
        <w:widowControl/>
        <w:tabs>
          <w:tab w:val="left" w:pos="2745"/>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s>
        <w:autoSpaceDE w:val="0"/>
        <w:autoSpaceDN w:val="0"/>
        <w:adjustRightInd w:val="0"/>
        <w:spacing w:line="580" w:lineRule="exact"/>
        <w:ind w:firstLine="630"/>
        <w:rPr>
          <w:rFonts w:ascii="仿宋" w:hAnsi="仿宋" w:eastAsia="仿宋" w:cs="仿宋"/>
          <w:kern w:val="0"/>
          <w:sz w:val="28"/>
          <w:szCs w:val="28"/>
        </w:rPr>
      </w:pPr>
      <w:r>
        <w:rPr>
          <w:rFonts w:hint="eastAsia" w:ascii="宋体" w:hAnsi="宋体" w:cs="宋体"/>
          <w:b/>
          <w:bCs/>
          <w:kern w:val="0"/>
          <w:sz w:val="28"/>
          <w:szCs w:val="28"/>
        </w:rPr>
        <w:t>绩效指标：</w:t>
      </w:r>
      <w:r>
        <w:rPr>
          <w:rFonts w:hint="eastAsia" w:ascii="仿宋" w:hAnsi="仿宋" w:eastAsia="仿宋" w:cs="仿宋"/>
          <w:kern w:val="0"/>
          <w:sz w:val="28"/>
          <w:szCs w:val="28"/>
        </w:rPr>
        <w:t>产出指标：完成城区备用水源地水源井数量</w:t>
      </w:r>
      <w:r>
        <w:rPr>
          <w:rFonts w:ascii="仿宋" w:hAnsi="仿宋" w:eastAsia="仿宋" w:cs="仿宋"/>
          <w:kern w:val="0"/>
          <w:sz w:val="28"/>
          <w:szCs w:val="28"/>
        </w:rPr>
        <w:t>13</w:t>
      </w:r>
      <w:r>
        <w:rPr>
          <w:rFonts w:hint="eastAsia" w:ascii="仿宋" w:hAnsi="仿宋" w:eastAsia="仿宋" w:cs="仿宋"/>
          <w:kern w:val="0"/>
          <w:sz w:val="28"/>
          <w:szCs w:val="28"/>
        </w:rPr>
        <w:t>眼。效果指标：保证水压符合国家标准，能够长期较好的保证城区居民饮水安全。本工程内部收益率不低于</w:t>
      </w:r>
      <w:r>
        <w:rPr>
          <w:rFonts w:ascii="仿宋" w:hAnsi="仿宋" w:eastAsia="仿宋" w:cs="仿宋"/>
          <w:kern w:val="0"/>
          <w:sz w:val="28"/>
          <w:szCs w:val="28"/>
        </w:rPr>
        <w:t>9%</w:t>
      </w:r>
      <w:r>
        <w:rPr>
          <w:rFonts w:hint="eastAsia" w:ascii="仿宋" w:hAnsi="仿宋" w:eastAsia="仿宋" w:cs="仿宋"/>
          <w:kern w:val="0"/>
          <w:sz w:val="28"/>
          <w:szCs w:val="28"/>
        </w:rPr>
        <w:t>。</w:t>
      </w:r>
    </w:p>
    <w:p>
      <w:pPr>
        <w:widowControl/>
        <w:tabs>
          <w:tab w:val="left" w:pos="2745"/>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s>
        <w:autoSpaceDE w:val="0"/>
        <w:autoSpaceDN w:val="0"/>
        <w:adjustRightInd w:val="0"/>
        <w:spacing w:line="580" w:lineRule="exact"/>
        <w:ind w:firstLine="630"/>
        <w:rPr>
          <w:rFonts w:ascii="宋体" w:hAnsi="宋体" w:cs="宋体"/>
          <w:b/>
          <w:bCs/>
          <w:kern w:val="0"/>
          <w:sz w:val="28"/>
          <w:szCs w:val="28"/>
        </w:rPr>
      </w:pPr>
      <w:r>
        <w:rPr>
          <w:rFonts w:hint="eastAsia" w:ascii="宋体" w:hAnsi="宋体" w:cs="宋体"/>
          <w:b/>
          <w:bCs/>
          <w:kern w:val="0"/>
          <w:sz w:val="28"/>
          <w:szCs w:val="28"/>
        </w:rPr>
        <w:t>（十）生态修复二期（垫付）</w:t>
      </w:r>
    </w:p>
    <w:p>
      <w:pPr>
        <w:widowControl/>
        <w:tabs>
          <w:tab w:val="left" w:pos="2745"/>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s>
        <w:autoSpaceDE w:val="0"/>
        <w:autoSpaceDN w:val="0"/>
        <w:adjustRightInd w:val="0"/>
        <w:spacing w:line="580" w:lineRule="exact"/>
        <w:ind w:firstLine="630"/>
        <w:rPr>
          <w:rFonts w:ascii="仿宋" w:hAnsi="仿宋" w:eastAsia="仿宋" w:cs="仿宋"/>
          <w:kern w:val="0"/>
          <w:sz w:val="28"/>
          <w:szCs w:val="28"/>
        </w:rPr>
      </w:pPr>
      <w:r>
        <w:rPr>
          <w:rFonts w:hint="eastAsia" w:ascii="宋体" w:hAnsi="宋体" w:cs="宋体"/>
          <w:b/>
          <w:bCs/>
          <w:kern w:val="0"/>
          <w:sz w:val="28"/>
          <w:szCs w:val="28"/>
        </w:rPr>
        <w:t>绩效目标：</w:t>
      </w:r>
      <w:r>
        <w:rPr>
          <w:rFonts w:hint="eastAsia" w:ascii="仿宋" w:hAnsi="仿宋" w:eastAsia="仿宋" w:cs="仿宋"/>
          <w:kern w:val="0"/>
          <w:sz w:val="28"/>
          <w:szCs w:val="28"/>
        </w:rPr>
        <w:t>用于滹沱河生态修复二期工程征迁、施工，保证滹沱河生态修复二期工程顺利实施，保证河道生态环境得到显著提升。</w:t>
      </w:r>
    </w:p>
    <w:p>
      <w:pPr>
        <w:widowControl/>
        <w:tabs>
          <w:tab w:val="left" w:pos="2745"/>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s>
        <w:autoSpaceDE w:val="0"/>
        <w:autoSpaceDN w:val="0"/>
        <w:adjustRightInd w:val="0"/>
        <w:spacing w:line="580" w:lineRule="exact"/>
        <w:ind w:firstLine="630"/>
        <w:rPr>
          <w:rFonts w:ascii="仿宋" w:hAnsi="仿宋" w:eastAsia="仿宋" w:cs="仿宋"/>
          <w:kern w:val="0"/>
          <w:sz w:val="28"/>
          <w:szCs w:val="28"/>
        </w:rPr>
      </w:pPr>
      <w:r>
        <w:rPr>
          <w:rFonts w:hint="eastAsia" w:ascii="宋体" w:hAnsi="宋体" w:cs="宋体"/>
          <w:b/>
          <w:bCs/>
          <w:kern w:val="0"/>
          <w:sz w:val="28"/>
          <w:szCs w:val="28"/>
        </w:rPr>
        <w:t>绩效指标：</w:t>
      </w:r>
      <w:r>
        <w:rPr>
          <w:rFonts w:hint="eastAsia" w:ascii="仿宋" w:hAnsi="仿宋" w:eastAsia="仿宋" w:cs="仿宋"/>
          <w:kern w:val="0"/>
          <w:sz w:val="28"/>
          <w:szCs w:val="28"/>
        </w:rPr>
        <w:t>产出指标：治理河道</w:t>
      </w:r>
      <w:r>
        <w:rPr>
          <w:rFonts w:ascii="仿宋" w:hAnsi="仿宋" w:eastAsia="仿宋" w:cs="仿宋"/>
          <w:kern w:val="0"/>
          <w:sz w:val="28"/>
          <w:szCs w:val="28"/>
        </w:rPr>
        <w:t>8.8</w:t>
      </w:r>
      <w:r>
        <w:rPr>
          <w:rFonts w:hint="eastAsia" w:ascii="仿宋" w:hAnsi="仿宋" w:eastAsia="仿宋" w:cs="仿宋"/>
          <w:kern w:val="0"/>
          <w:sz w:val="28"/>
          <w:szCs w:val="28"/>
        </w:rPr>
        <w:t>公里。效果指标：生态效益指标，绿化占征迁土地的比率</w:t>
      </w:r>
      <w:r>
        <w:rPr>
          <w:rFonts w:ascii="仿宋" w:hAnsi="仿宋" w:eastAsia="仿宋" w:cs="仿宋"/>
          <w:kern w:val="0"/>
          <w:sz w:val="28"/>
          <w:szCs w:val="28"/>
        </w:rPr>
        <w:t>900%</w:t>
      </w:r>
      <w:r>
        <w:rPr>
          <w:rFonts w:hint="eastAsia" w:ascii="仿宋" w:hAnsi="仿宋" w:eastAsia="仿宋" w:cs="仿宋"/>
          <w:kern w:val="0"/>
          <w:sz w:val="28"/>
          <w:szCs w:val="28"/>
        </w:rPr>
        <w:t>以上。满意度指标：群众对生态环境的整体满意度不低于</w:t>
      </w:r>
      <w:r>
        <w:rPr>
          <w:rFonts w:ascii="仿宋" w:hAnsi="仿宋" w:eastAsia="仿宋" w:cs="仿宋"/>
          <w:kern w:val="0"/>
          <w:sz w:val="28"/>
          <w:szCs w:val="28"/>
        </w:rPr>
        <w:t>95%</w:t>
      </w:r>
      <w:r>
        <w:rPr>
          <w:rFonts w:hint="eastAsia" w:ascii="仿宋" w:hAnsi="仿宋" w:eastAsia="仿宋" w:cs="仿宋"/>
          <w:kern w:val="0"/>
          <w:sz w:val="28"/>
          <w:szCs w:val="28"/>
        </w:rPr>
        <w:t>。</w:t>
      </w:r>
    </w:p>
    <w:p>
      <w:pPr>
        <w:widowControl/>
        <w:tabs>
          <w:tab w:val="left" w:pos="2745"/>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s>
        <w:autoSpaceDE w:val="0"/>
        <w:autoSpaceDN w:val="0"/>
        <w:adjustRightInd w:val="0"/>
        <w:spacing w:line="580" w:lineRule="exact"/>
        <w:ind w:firstLine="630"/>
        <w:rPr>
          <w:rFonts w:ascii="宋体" w:hAnsi="宋体" w:cs="宋体"/>
          <w:b/>
          <w:bCs/>
          <w:kern w:val="0"/>
          <w:sz w:val="28"/>
          <w:szCs w:val="28"/>
        </w:rPr>
      </w:pPr>
      <w:r>
        <w:rPr>
          <w:rFonts w:hint="eastAsia" w:ascii="宋体" w:hAnsi="宋体" w:cs="宋体"/>
          <w:b/>
          <w:bCs/>
          <w:kern w:val="0"/>
          <w:sz w:val="28"/>
          <w:szCs w:val="28"/>
        </w:rPr>
        <w:t>（十一）办公楼地租及电费</w:t>
      </w:r>
    </w:p>
    <w:p>
      <w:pPr>
        <w:widowControl/>
        <w:tabs>
          <w:tab w:val="left" w:pos="2745"/>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s>
        <w:autoSpaceDE w:val="0"/>
        <w:autoSpaceDN w:val="0"/>
        <w:adjustRightInd w:val="0"/>
        <w:spacing w:line="580" w:lineRule="exact"/>
        <w:ind w:firstLine="630"/>
        <w:rPr>
          <w:rFonts w:ascii="仿宋" w:hAnsi="仿宋" w:eastAsia="仿宋" w:cs="仿宋"/>
          <w:kern w:val="0"/>
          <w:sz w:val="28"/>
          <w:szCs w:val="28"/>
        </w:rPr>
      </w:pPr>
      <w:r>
        <w:rPr>
          <w:rFonts w:hint="eastAsia" w:ascii="宋体" w:hAnsi="宋体" w:cs="宋体"/>
          <w:b/>
          <w:bCs/>
          <w:kern w:val="0"/>
          <w:sz w:val="28"/>
          <w:szCs w:val="28"/>
        </w:rPr>
        <w:t>绩效目标：</w:t>
      </w:r>
      <w:r>
        <w:rPr>
          <w:rFonts w:hint="eastAsia" w:ascii="仿宋" w:hAnsi="仿宋" w:eastAsia="仿宋" w:cs="仿宋"/>
          <w:kern w:val="0"/>
          <w:sz w:val="28"/>
          <w:szCs w:val="28"/>
        </w:rPr>
        <w:t>用于办公楼的租金和用电，加强科学化管理，不断完善我局各项节约机制，确保各项工作任务按期完成，提高工作效率。</w:t>
      </w:r>
    </w:p>
    <w:p>
      <w:pPr>
        <w:widowControl/>
        <w:tabs>
          <w:tab w:val="left" w:pos="2745"/>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s>
        <w:autoSpaceDE w:val="0"/>
        <w:autoSpaceDN w:val="0"/>
        <w:adjustRightInd w:val="0"/>
        <w:spacing w:line="580" w:lineRule="exact"/>
        <w:ind w:firstLine="630"/>
        <w:rPr>
          <w:rFonts w:ascii="仿宋" w:hAnsi="仿宋" w:eastAsia="仿宋" w:cs="仿宋"/>
          <w:kern w:val="0"/>
          <w:sz w:val="28"/>
          <w:szCs w:val="28"/>
        </w:rPr>
      </w:pPr>
      <w:r>
        <w:rPr>
          <w:rFonts w:hint="eastAsia" w:ascii="宋体" w:hAnsi="宋体" w:cs="宋体"/>
          <w:b/>
          <w:bCs/>
          <w:kern w:val="0"/>
          <w:sz w:val="28"/>
          <w:szCs w:val="28"/>
        </w:rPr>
        <w:t>绩效指标：</w:t>
      </w:r>
      <w:r>
        <w:rPr>
          <w:rFonts w:hint="eastAsia" w:ascii="仿宋" w:hAnsi="仿宋" w:eastAsia="仿宋" w:cs="仿宋"/>
          <w:kern w:val="0"/>
          <w:sz w:val="28"/>
          <w:szCs w:val="28"/>
        </w:rPr>
        <w:t>产出指标：保证各项工作任务顺利如期完成。效果指标：规范管理，节约能源，节约开支。满意度指标：服务对象满意度大于</w:t>
      </w:r>
      <w:r>
        <w:rPr>
          <w:rFonts w:ascii="仿宋" w:hAnsi="仿宋" w:eastAsia="仿宋" w:cs="仿宋"/>
          <w:kern w:val="0"/>
          <w:sz w:val="28"/>
          <w:szCs w:val="28"/>
        </w:rPr>
        <w:t>90%</w:t>
      </w:r>
      <w:r>
        <w:rPr>
          <w:rFonts w:hint="eastAsia" w:ascii="仿宋" w:hAnsi="仿宋" w:eastAsia="仿宋" w:cs="仿宋"/>
          <w:kern w:val="0"/>
          <w:sz w:val="28"/>
          <w:szCs w:val="28"/>
        </w:rPr>
        <w:t>。</w:t>
      </w:r>
    </w:p>
    <w:p>
      <w:pPr>
        <w:widowControl/>
        <w:tabs>
          <w:tab w:val="left" w:pos="2745"/>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s>
        <w:autoSpaceDE w:val="0"/>
        <w:autoSpaceDN w:val="0"/>
        <w:adjustRightInd w:val="0"/>
        <w:spacing w:line="580" w:lineRule="exact"/>
        <w:ind w:firstLine="630"/>
        <w:rPr>
          <w:rFonts w:ascii="宋体" w:hAnsi="宋体" w:cs="宋体"/>
          <w:b/>
          <w:bCs/>
          <w:kern w:val="0"/>
          <w:sz w:val="28"/>
          <w:szCs w:val="28"/>
        </w:rPr>
      </w:pPr>
      <w:r>
        <w:rPr>
          <w:rFonts w:hint="eastAsia" w:ascii="宋体" w:hAnsi="宋体" w:cs="宋体"/>
          <w:b/>
          <w:bCs/>
          <w:kern w:val="0"/>
          <w:sz w:val="28"/>
          <w:szCs w:val="28"/>
        </w:rPr>
        <w:t>（十二）编制藁城区地下水开发利用与保护规划工作资金</w:t>
      </w:r>
    </w:p>
    <w:p>
      <w:pPr>
        <w:widowControl/>
        <w:tabs>
          <w:tab w:val="left" w:pos="2745"/>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s>
        <w:autoSpaceDE w:val="0"/>
        <w:autoSpaceDN w:val="0"/>
        <w:adjustRightInd w:val="0"/>
        <w:spacing w:line="580" w:lineRule="exact"/>
        <w:ind w:firstLine="630"/>
        <w:rPr>
          <w:rFonts w:ascii="仿宋" w:hAnsi="仿宋" w:eastAsia="仿宋" w:cs="仿宋"/>
          <w:kern w:val="0"/>
          <w:sz w:val="28"/>
          <w:szCs w:val="28"/>
        </w:rPr>
      </w:pPr>
      <w:r>
        <w:rPr>
          <w:rFonts w:hint="eastAsia" w:ascii="宋体" w:hAnsi="宋体" w:cs="宋体"/>
          <w:b/>
          <w:bCs/>
          <w:kern w:val="0"/>
          <w:sz w:val="28"/>
          <w:szCs w:val="28"/>
        </w:rPr>
        <w:t>绩效目标：</w:t>
      </w:r>
      <w:r>
        <w:rPr>
          <w:rFonts w:ascii="仿宋" w:hAnsi="Times New Roman" w:eastAsia="仿宋" w:cs="仿宋"/>
          <w:kern w:val="0"/>
          <w:sz w:val="28"/>
          <w:szCs w:val="28"/>
        </w:rPr>
        <w:t>1</w:t>
      </w:r>
      <w:r>
        <w:rPr>
          <w:rFonts w:hint="eastAsia" w:ascii="仿宋" w:hAnsi="仿宋" w:eastAsia="仿宋" w:cs="仿宋"/>
          <w:kern w:val="0"/>
          <w:sz w:val="28"/>
          <w:szCs w:val="28"/>
        </w:rPr>
        <w:t>、进一步查清石家庄市藁城区地下水资源开发利用现状。</w:t>
      </w:r>
      <w:r>
        <w:rPr>
          <w:rFonts w:ascii="仿宋" w:hAnsi="仿宋" w:eastAsia="仿宋" w:cs="仿宋"/>
          <w:kern w:val="0"/>
          <w:sz w:val="28"/>
          <w:szCs w:val="28"/>
        </w:rPr>
        <w:t>2</w:t>
      </w:r>
      <w:r>
        <w:rPr>
          <w:rFonts w:hint="eastAsia" w:ascii="仿宋" w:hAnsi="仿宋" w:eastAsia="仿宋" w:cs="仿宋"/>
          <w:kern w:val="0"/>
          <w:sz w:val="28"/>
          <w:szCs w:val="28"/>
        </w:rPr>
        <w:t>、实现地下水的合理开发、高效利用、有效保护、修复治理和科学管理。</w:t>
      </w:r>
      <w:r>
        <w:rPr>
          <w:rFonts w:ascii="仿宋" w:hAnsi="仿宋" w:eastAsia="仿宋" w:cs="仿宋"/>
          <w:kern w:val="0"/>
          <w:sz w:val="28"/>
          <w:szCs w:val="28"/>
        </w:rPr>
        <w:t>3</w:t>
      </w:r>
      <w:r>
        <w:rPr>
          <w:rFonts w:hint="eastAsia" w:ascii="仿宋" w:hAnsi="仿宋" w:eastAsia="仿宋" w:cs="仿宋"/>
          <w:kern w:val="0"/>
          <w:sz w:val="28"/>
          <w:szCs w:val="28"/>
        </w:rPr>
        <w:t>、为藁城区地下水资源的合理利用与保护提供科学合理依据，促进地下水资源的可持续利用。</w:t>
      </w:r>
    </w:p>
    <w:p>
      <w:pPr>
        <w:widowControl/>
        <w:tabs>
          <w:tab w:val="left" w:pos="2745"/>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s>
        <w:autoSpaceDE w:val="0"/>
        <w:autoSpaceDN w:val="0"/>
        <w:adjustRightInd w:val="0"/>
        <w:spacing w:line="580" w:lineRule="exact"/>
        <w:ind w:firstLine="630"/>
        <w:rPr>
          <w:rFonts w:ascii="仿宋" w:hAnsi="仿宋" w:eastAsia="仿宋" w:cs="仿宋"/>
          <w:kern w:val="0"/>
          <w:sz w:val="28"/>
          <w:szCs w:val="28"/>
        </w:rPr>
      </w:pPr>
      <w:r>
        <w:rPr>
          <w:rFonts w:hint="eastAsia" w:ascii="宋体" w:hAnsi="宋体" w:cs="宋体"/>
          <w:b/>
          <w:bCs/>
          <w:kern w:val="0"/>
          <w:sz w:val="28"/>
          <w:szCs w:val="28"/>
        </w:rPr>
        <w:t>绩效指标：</w:t>
      </w:r>
      <w:r>
        <w:rPr>
          <w:rFonts w:hint="eastAsia" w:ascii="仿宋" w:hAnsi="仿宋" w:eastAsia="仿宋" w:cs="仿宋"/>
          <w:kern w:val="0"/>
          <w:sz w:val="28"/>
          <w:szCs w:val="28"/>
        </w:rPr>
        <w:t>数量指标</w:t>
      </w:r>
      <w:r>
        <w:rPr>
          <w:rFonts w:ascii="仿宋" w:hAnsi="仿宋" w:eastAsia="仿宋" w:cs="仿宋"/>
          <w:kern w:val="0"/>
          <w:sz w:val="28"/>
          <w:szCs w:val="28"/>
        </w:rPr>
        <w:t xml:space="preserve"> </w:t>
      </w:r>
      <w:r>
        <w:rPr>
          <w:rFonts w:hint="eastAsia" w:ascii="仿宋" w:hAnsi="仿宋" w:eastAsia="仿宋" w:cs="仿宋"/>
          <w:kern w:val="0"/>
          <w:sz w:val="28"/>
          <w:szCs w:val="28"/>
        </w:rPr>
        <w:t>完成项目编制勘察规划。</w:t>
      </w:r>
      <w:r>
        <w:rPr>
          <w:rFonts w:ascii="仿宋" w:hAnsi="仿宋" w:eastAsia="仿宋" w:cs="仿宋"/>
          <w:kern w:val="0"/>
          <w:sz w:val="28"/>
          <w:szCs w:val="28"/>
        </w:rPr>
        <w:t>2</w:t>
      </w:r>
      <w:r>
        <w:rPr>
          <w:rFonts w:hint="eastAsia" w:ascii="仿宋" w:hAnsi="仿宋" w:eastAsia="仿宋" w:cs="仿宋"/>
          <w:kern w:val="0"/>
          <w:sz w:val="28"/>
          <w:szCs w:val="28"/>
        </w:rPr>
        <w:t>、可持续影响指标</w:t>
      </w:r>
      <w:r>
        <w:rPr>
          <w:rFonts w:ascii="仿宋" w:hAnsi="仿宋" w:eastAsia="仿宋" w:cs="仿宋"/>
          <w:kern w:val="0"/>
          <w:sz w:val="28"/>
          <w:szCs w:val="28"/>
        </w:rPr>
        <w:t xml:space="preserve"> </w:t>
      </w:r>
      <w:r>
        <w:rPr>
          <w:rFonts w:hint="eastAsia" w:ascii="仿宋" w:hAnsi="仿宋" w:eastAsia="仿宋" w:cs="仿宋"/>
          <w:kern w:val="0"/>
          <w:sz w:val="28"/>
          <w:szCs w:val="28"/>
        </w:rPr>
        <w:t>为藁城区地下水资源的合理利用与保护提供科学依据。</w:t>
      </w:r>
      <w:r>
        <w:rPr>
          <w:rFonts w:ascii="仿宋" w:hAnsi="仿宋" w:eastAsia="仿宋" w:cs="仿宋"/>
          <w:kern w:val="0"/>
          <w:sz w:val="28"/>
          <w:szCs w:val="28"/>
        </w:rPr>
        <w:t>3</w:t>
      </w:r>
      <w:r>
        <w:rPr>
          <w:rFonts w:hint="eastAsia" w:ascii="仿宋" w:hAnsi="仿宋" w:eastAsia="仿宋" w:cs="仿宋"/>
          <w:kern w:val="0"/>
          <w:sz w:val="28"/>
          <w:szCs w:val="28"/>
        </w:rPr>
        <w:t>、满意度指标</w:t>
      </w:r>
      <w:r>
        <w:rPr>
          <w:rFonts w:ascii="仿宋" w:hAnsi="仿宋" w:eastAsia="仿宋" w:cs="仿宋"/>
          <w:kern w:val="0"/>
          <w:sz w:val="28"/>
          <w:szCs w:val="28"/>
        </w:rPr>
        <w:t xml:space="preserve"> </w:t>
      </w:r>
      <w:r>
        <w:rPr>
          <w:rFonts w:hint="eastAsia" w:ascii="仿宋" w:hAnsi="仿宋" w:eastAsia="仿宋" w:cs="仿宋"/>
          <w:kern w:val="0"/>
          <w:sz w:val="28"/>
          <w:szCs w:val="28"/>
        </w:rPr>
        <w:t>满意度达到</w:t>
      </w:r>
      <w:r>
        <w:rPr>
          <w:rFonts w:ascii="仿宋" w:hAnsi="仿宋" w:eastAsia="仿宋" w:cs="仿宋"/>
          <w:kern w:val="0"/>
          <w:sz w:val="28"/>
          <w:szCs w:val="28"/>
        </w:rPr>
        <w:t>100%</w:t>
      </w:r>
      <w:r>
        <w:rPr>
          <w:rFonts w:hint="eastAsia" w:ascii="仿宋" w:hAnsi="仿宋" w:eastAsia="仿宋" w:cs="仿宋"/>
          <w:kern w:val="0"/>
          <w:sz w:val="28"/>
          <w:szCs w:val="28"/>
        </w:rPr>
        <w:t>。</w:t>
      </w:r>
    </w:p>
    <w:p>
      <w:pPr>
        <w:widowControl/>
        <w:tabs>
          <w:tab w:val="left" w:pos="2745"/>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s>
        <w:autoSpaceDE w:val="0"/>
        <w:autoSpaceDN w:val="0"/>
        <w:adjustRightInd w:val="0"/>
        <w:spacing w:line="580" w:lineRule="exact"/>
        <w:ind w:firstLine="630"/>
        <w:rPr>
          <w:rFonts w:ascii="宋体" w:hAnsi="宋体" w:cs="宋体"/>
          <w:b/>
          <w:bCs/>
          <w:kern w:val="0"/>
          <w:sz w:val="28"/>
          <w:szCs w:val="28"/>
        </w:rPr>
      </w:pPr>
      <w:r>
        <w:rPr>
          <w:rFonts w:hint="eastAsia" w:ascii="宋体" w:hAnsi="宋体" w:cs="宋体"/>
          <w:b/>
          <w:bCs/>
          <w:kern w:val="0"/>
          <w:sz w:val="28"/>
          <w:szCs w:val="28"/>
        </w:rPr>
        <w:t>（十三）南水北调水费</w:t>
      </w:r>
    </w:p>
    <w:p>
      <w:pPr>
        <w:widowControl/>
        <w:tabs>
          <w:tab w:val="left" w:pos="2745"/>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s>
        <w:autoSpaceDE w:val="0"/>
        <w:autoSpaceDN w:val="0"/>
        <w:adjustRightInd w:val="0"/>
        <w:spacing w:line="580" w:lineRule="exact"/>
        <w:ind w:firstLine="630"/>
        <w:rPr>
          <w:rFonts w:ascii="仿宋" w:hAnsi="仿宋" w:eastAsia="仿宋" w:cs="仿宋"/>
          <w:kern w:val="0"/>
          <w:sz w:val="28"/>
          <w:szCs w:val="28"/>
        </w:rPr>
      </w:pPr>
      <w:r>
        <w:rPr>
          <w:rFonts w:ascii="宋体" w:hAnsi="Times New Roman" w:cs="宋体"/>
          <w:b/>
          <w:bCs/>
          <w:kern w:val="0"/>
          <w:sz w:val="28"/>
          <w:szCs w:val="28"/>
        </w:rPr>
        <w:t xml:space="preserve"> </w:t>
      </w:r>
      <w:r>
        <w:rPr>
          <w:rFonts w:hint="eastAsia" w:ascii="宋体" w:hAnsi="宋体" w:cs="宋体"/>
          <w:b/>
          <w:bCs/>
          <w:kern w:val="0"/>
          <w:sz w:val="28"/>
          <w:szCs w:val="28"/>
        </w:rPr>
        <w:t>绩效目标：</w:t>
      </w:r>
      <w:r>
        <w:rPr>
          <w:rFonts w:hint="eastAsia" w:ascii="仿宋" w:hAnsi="仿宋" w:eastAsia="仿宋" w:cs="仿宋"/>
          <w:kern w:val="0"/>
          <w:sz w:val="28"/>
          <w:szCs w:val="28"/>
        </w:rPr>
        <w:t>用于上交南水北调水费，按时足额缴纳南水北调水费。</w:t>
      </w:r>
    </w:p>
    <w:p>
      <w:pPr>
        <w:widowControl/>
        <w:tabs>
          <w:tab w:val="left" w:pos="2745"/>
          <w:tab w:val="left" w:pos="2940"/>
          <w:tab w:val="left" w:pos="3360"/>
          <w:tab w:val="left" w:pos="3780"/>
          <w:tab w:val="left" w:pos="4200"/>
          <w:tab w:val="left" w:pos="4620"/>
          <w:tab w:val="left" w:pos="5040"/>
          <w:tab w:val="left" w:pos="5460"/>
          <w:tab w:val="left" w:pos="5880"/>
          <w:tab w:val="left" w:pos="6300"/>
          <w:tab w:val="left" w:pos="6720"/>
          <w:tab w:val="left" w:pos="7140"/>
          <w:tab w:val="left" w:pos="7560"/>
          <w:tab w:val="left" w:pos="7980"/>
        </w:tabs>
        <w:autoSpaceDE w:val="0"/>
        <w:autoSpaceDN w:val="0"/>
        <w:adjustRightInd w:val="0"/>
        <w:spacing w:line="580" w:lineRule="exact"/>
        <w:ind w:firstLine="630"/>
        <w:rPr>
          <w:rFonts w:ascii="仿宋" w:hAnsi="仿宋" w:eastAsia="仿宋" w:cs="仿宋"/>
          <w:kern w:val="0"/>
          <w:sz w:val="28"/>
          <w:szCs w:val="28"/>
        </w:rPr>
      </w:pPr>
      <w:r>
        <w:rPr>
          <w:rFonts w:hint="eastAsia" w:ascii="宋体" w:hAnsi="宋体" w:cs="宋体"/>
          <w:b/>
          <w:bCs/>
          <w:kern w:val="0"/>
          <w:sz w:val="28"/>
          <w:szCs w:val="28"/>
        </w:rPr>
        <w:t>绩效指标：</w:t>
      </w:r>
      <w:r>
        <w:rPr>
          <w:rFonts w:hint="eastAsia" w:ascii="仿宋" w:hAnsi="仿宋" w:eastAsia="仿宋" w:cs="仿宋"/>
          <w:kern w:val="0"/>
          <w:sz w:val="28"/>
          <w:szCs w:val="28"/>
        </w:rPr>
        <w:t>产出指标：达到最低南水北调原水消纳量，</w:t>
      </w:r>
      <w:r>
        <w:rPr>
          <w:rFonts w:ascii="仿宋" w:hAnsi="仿宋" w:eastAsia="仿宋" w:cs="仿宋"/>
          <w:kern w:val="0"/>
          <w:sz w:val="28"/>
          <w:szCs w:val="28"/>
        </w:rPr>
        <w:t>2020</w:t>
      </w:r>
      <w:r>
        <w:rPr>
          <w:rFonts w:hint="eastAsia" w:ascii="仿宋" w:hAnsi="仿宋" w:eastAsia="仿宋" w:cs="仿宋"/>
          <w:kern w:val="0"/>
          <w:sz w:val="28"/>
          <w:szCs w:val="28"/>
        </w:rPr>
        <w:t>年南水北调最低消纳量不低于平均水量的</w:t>
      </w:r>
      <w:r>
        <w:rPr>
          <w:rFonts w:ascii="仿宋" w:hAnsi="仿宋" w:eastAsia="仿宋" w:cs="仿宋"/>
          <w:kern w:val="0"/>
          <w:sz w:val="28"/>
          <w:szCs w:val="28"/>
        </w:rPr>
        <w:t>60%</w:t>
      </w:r>
      <w:r>
        <w:rPr>
          <w:rFonts w:hint="eastAsia" w:ascii="仿宋" w:hAnsi="仿宋" w:eastAsia="仿宋" w:cs="仿宋"/>
          <w:kern w:val="0"/>
          <w:sz w:val="28"/>
          <w:szCs w:val="28"/>
        </w:rPr>
        <w:t>。效果指标：在全区产生重大影响得到广大受众的充分认可。满意度指标：群众对南水北调水质的整体满意度不低于</w:t>
      </w:r>
      <w:r>
        <w:rPr>
          <w:rFonts w:ascii="仿宋" w:hAnsi="仿宋" w:eastAsia="仿宋" w:cs="仿宋"/>
          <w:kern w:val="0"/>
          <w:sz w:val="28"/>
          <w:szCs w:val="28"/>
        </w:rPr>
        <w:t>90%</w:t>
      </w:r>
      <w:r>
        <w:rPr>
          <w:rFonts w:hint="eastAsia" w:ascii="仿宋" w:hAnsi="仿宋" w:eastAsia="仿宋" w:cs="仿宋"/>
          <w:kern w:val="0"/>
          <w:sz w:val="28"/>
          <w:szCs w:val="28"/>
        </w:rPr>
        <w:t>。</w:t>
      </w:r>
    </w:p>
    <w:p>
      <w:p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（三）工作保障措施</w:t>
      </w:r>
      <w:r>
        <w:rPr>
          <w:rFonts w:hint="eastAsia" w:ascii="Times New Roman" w:hAnsi="Times New Roman" w:eastAsia="方正仿宋_GBK" w:cs="Times New Roman"/>
          <w:b/>
          <w:sz w:val="32"/>
          <w:szCs w:val="32"/>
        </w:rPr>
        <w:fldChar w:fldCharType="begin"/>
      </w:r>
      <w:r>
        <w:rPr>
          <w:rFonts w:hint="eastAsia" w:ascii="Times New Roman" w:hAnsi="Times New Roman" w:eastAsia="方正仿宋_GBK" w:cs="Times New Roman"/>
          <w:b/>
          <w:sz w:val="32"/>
          <w:szCs w:val="32"/>
        </w:rPr>
        <w:instrText xml:space="preserve"> TC </w:instrText>
      </w:r>
      <w:bookmarkStart w:id="3" w:name="_Toc29484630"/>
      <w:r>
        <w:rPr>
          <w:rFonts w:hint="eastAsia" w:ascii="Times New Roman" w:hAnsi="Times New Roman" w:eastAsia="方正仿宋_GBK" w:cs="Times New Roman"/>
          <w:b/>
          <w:sz w:val="32"/>
          <w:szCs w:val="32"/>
        </w:rPr>
        <w:instrText xml:space="preserve">工作保障措施</w:instrText>
      </w:r>
      <w:bookmarkEnd w:id="3"/>
      <w:r>
        <w:rPr>
          <w:rFonts w:hint="eastAsia" w:ascii="Times New Roman" w:hAnsi="Times New Roman" w:eastAsia="方正仿宋_GBK" w:cs="Times New Roman"/>
          <w:b/>
          <w:sz w:val="32"/>
          <w:szCs w:val="32"/>
        </w:rPr>
        <w:instrText xml:space="preserve"> \f A \l 1 </w:instrText>
      </w:r>
      <w:r>
        <w:rPr>
          <w:rFonts w:hint="eastAsia" w:ascii="Times New Roman" w:hAnsi="Times New Roman" w:eastAsia="方正仿宋_GBK" w:cs="Times New Roman"/>
          <w:b/>
          <w:sz w:val="32"/>
          <w:szCs w:val="32"/>
        </w:rPr>
        <w:fldChar w:fldCharType="end"/>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spacing w:line="580" w:lineRule="exact"/>
        <w:ind w:firstLine="630"/>
        <w:rPr>
          <w:rFonts w:ascii="仿宋" w:hAnsi="仿宋" w:eastAsia="仿宋" w:cs="仿宋"/>
          <w:kern w:val="0"/>
          <w:sz w:val="28"/>
          <w:szCs w:val="28"/>
        </w:rPr>
      </w:pPr>
      <w:r>
        <w:rPr>
          <w:rFonts w:hint="eastAsia" w:ascii="宋体" w:hAnsi="宋体" w:cs="宋体"/>
          <w:b/>
          <w:bCs/>
          <w:kern w:val="0"/>
          <w:sz w:val="28"/>
          <w:szCs w:val="28"/>
        </w:rPr>
        <w:t>完善制度建设。</w:t>
      </w:r>
      <w:r>
        <w:rPr>
          <w:rFonts w:hint="eastAsia" w:ascii="仿宋" w:hAnsi="仿宋" w:eastAsia="仿宋" w:cs="仿宋"/>
          <w:kern w:val="0"/>
          <w:sz w:val="28"/>
          <w:szCs w:val="28"/>
        </w:rPr>
        <w:t>制定完善预算绩效管理制度、搭建绩效管理运行体系，科学设定绩效指标和目标，从源头上保障绩效管理的有效落实，制定各类资金使用和管理办法、工作保障制度等，确保资金支出有序进行，为全年预算绩效目标的实现奠定制度基础。</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spacing w:line="580" w:lineRule="exact"/>
        <w:ind w:firstLine="630"/>
        <w:rPr>
          <w:rFonts w:ascii="仿宋" w:hAnsi="仿宋" w:eastAsia="仿宋" w:cs="仿宋"/>
          <w:kern w:val="0"/>
          <w:sz w:val="28"/>
          <w:szCs w:val="28"/>
        </w:rPr>
      </w:pPr>
      <w:r>
        <w:rPr>
          <w:rFonts w:hint="eastAsia" w:ascii="宋体" w:hAnsi="宋体" w:cs="宋体"/>
          <w:b/>
          <w:bCs/>
          <w:kern w:val="0"/>
          <w:sz w:val="28"/>
          <w:szCs w:val="28"/>
        </w:rPr>
        <w:t>加强支出管理。</w:t>
      </w:r>
      <w:r>
        <w:rPr>
          <w:rFonts w:hint="eastAsia" w:ascii="仿宋" w:hAnsi="仿宋" w:eastAsia="仿宋" w:cs="仿宋"/>
          <w:kern w:val="0"/>
          <w:sz w:val="28"/>
          <w:szCs w:val="28"/>
        </w:rPr>
        <w:t>以项目预算绩效为依据，优化支出结构，编细编实预算，支出执行有章可循。严格履行政府采购手续、尽快启动项目、及时支付资金。降低预算支出的波动幅度，资金支出安排科学合理，为项目组织实施保驾护航。</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spacing w:line="580" w:lineRule="exact"/>
        <w:ind w:firstLine="630"/>
        <w:rPr>
          <w:rFonts w:ascii="仿宋" w:hAnsi="仿宋" w:eastAsia="仿宋" w:cs="仿宋"/>
          <w:kern w:val="0"/>
          <w:sz w:val="28"/>
          <w:szCs w:val="28"/>
        </w:rPr>
      </w:pPr>
      <w:r>
        <w:rPr>
          <w:rFonts w:hint="eastAsia" w:ascii="宋体" w:hAnsi="宋体" w:cs="宋体"/>
          <w:b/>
          <w:bCs/>
          <w:kern w:val="0"/>
          <w:sz w:val="28"/>
          <w:szCs w:val="28"/>
        </w:rPr>
        <w:t>加强绩效运行监控。</w:t>
      </w:r>
      <w:r>
        <w:rPr>
          <w:rFonts w:hint="eastAsia" w:ascii="仿宋" w:hAnsi="仿宋" w:eastAsia="仿宋" w:cs="仿宋"/>
          <w:kern w:val="0"/>
          <w:sz w:val="28"/>
          <w:szCs w:val="28"/>
        </w:rPr>
        <w:t>按要求开展绩效运行监控，对执行过程中发现的问题及时反馈，制定切实可行的举措，确保绩效目标如期保质实现。</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spacing w:line="580" w:lineRule="exact"/>
        <w:ind w:firstLine="630"/>
        <w:rPr>
          <w:rFonts w:ascii="仿宋" w:hAnsi="仿宋" w:eastAsia="仿宋" w:cs="仿宋"/>
          <w:kern w:val="0"/>
          <w:sz w:val="28"/>
          <w:szCs w:val="28"/>
        </w:rPr>
      </w:pPr>
      <w:r>
        <w:rPr>
          <w:rFonts w:hint="eastAsia" w:ascii="宋体" w:hAnsi="宋体" w:cs="宋体"/>
          <w:b/>
          <w:bCs/>
          <w:kern w:val="0"/>
          <w:sz w:val="28"/>
          <w:szCs w:val="28"/>
        </w:rPr>
        <w:t>做好绩效自评。</w:t>
      </w:r>
      <w:r>
        <w:rPr>
          <w:rFonts w:hint="eastAsia" w:ascii="仿宋" w:hAnsi="仿宋" w:eastAsia="仿宋" w:cs="仿宋"/>
          <w:kern w:val="0"/>
          <w:sz w:val="28"/>
          <w:szCs w:val="28"/>
        </w:rPr>
        <w:t>积极开展年度部门预算绩效自评工作，在自评中发现问题并及时整改解决，开展重点评价工作，调整优化重大项目支出结构，提高财政资金使用效益。</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spacing w:line="580" w:lineRule="exact"/>
        <w:ind w:firstLine="630"/>
        <w:rPr>
          <w:rFonts w:ascii="仿宋" w:hAnsi="仿宋" w:eastAsia="仿宋" w:cs="仿宋"/>
          <w:kern w:val="0"/>
          <w:sz w:val="28"/>
          <w:szCs w:val="28"/>
        </w:rPr>
      </w:pPr>
      <w:r>
        <w:rPr>
          <w:rFonts w:hint="eastAsia" w:ascii="宋体" w:hAnsi="宋体" w:cs="宋体"/>
          <w:b/>
          <w:bCs/>
          <w:kern w:val="0"/>
          <w:sz w:val="28"/>
          <w:szCs w:val="28"/>
        </w:rPr>
        <w:t>规范财务资产管理。</w:t>
      </w:r>
      <w:r>
        <w:rPr>
          <w:rFonts w:hint="eastAsia" w:ascii="仿宋" w:hAnsi="仿宋" w:eastAsia="仿宋" w:cs="仿宋"/>
          <w:kern w:val="0"/>
          <w:sz w:val="28"/>
          <w:szCs w:val="28"/>
        </w:rPr>
        <w:t>加强会计核算工作，严格执行财务资产管理相关制度，确保账面数字真实、完整，加强程序管理，严格审批程序，依照政府采购目录进行政府采购，加强固定资产登记、使用和报废处置管理，做到支出合理，物尽其用。</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spacing w:line="580" w:lineRule="exact"/>
        <w:ind w:firstLine="630"/>
        <w:rPr>
          <w:rFonts w:ascii="仿宋" w:hAnsi="Times New Roman" w:eastAsia="仿宋" w:cs="仿宋"/>
          <w:b/>
          <w:bCs/>
          <w:kern w:val="0"/>
          <w:sz w:val="28"/>
          <w:szCs w:val="28"/>
        </w:rPr>
      </w:pPr>
      <w:r>
        <w:rPr>
          <w:rFonts w:hint="eastAsia" w:ascii="宋体" w:hAnsi="宋体" w:cs="宋体"/>
          <w:b/>
          <w:bCs/>
          <w:kern w:val="0"/>
          <w:sz w:val="28"/>
          <w:szCs w:val="28"/>
        </w:rPr>
        <w:t>加强内部监督。</w:t>
      </w:r>
      <w:r>
        <w:rPr>
          <w:rFonts w:hint="eastAsia" w:ascii="仿宋" w:hAnsi="仿宋" w:eastAsia="仿宋" w:cs="仿宋"/>
          <w:kern w:val="0"/>
          <w:sz w:val="28"/>
          <w:szCs w:val="28"/>
        </w:rPr>
        <w:t>加强内部监督制度建设，对绩效运行情况、重大支出决策、对外投资、资产处置及其他重要经济业务事项的决策和执行进行督导，对会计资料进行内部审计，并配合做好审计、财政监督等外部监督工作，确保财政资金安全有效，最大限度发挥财政资金使用效益。</w:t>
      </w:r>
    </w:p>
    <w:p>
      <w:pPr>
        <w:widowControl/>
        <w:tabs>
          <w:tab w:val="left" w:pos="420"/>
          <w:tab w:val="left" w:pos="840"/>
          <w:tab w:val="left" w:pos="1260"/>
          <w:tab w:val="left" w:pos="1680"/>
          <w:tab w:val="left" w:pos="2100"/>
          <w:tab w:val="left" w:pos="2520"/>
          <w:tab w:val="left" w:pos="2940"/>
          <w:tab w:val="left" w:pos="3360"/>
          <w:tab w:val="left" w:pos="3780"/>
          <w:tab w:val="left" w:pos="4200"/>
          <w:tab w:val="left" w:pos="4620"/>
          <w:tab w:val="left" w:pos="5040"/>
          <w:tab w:val="left" w:pos="5460"/>
          <w:tab w:val="left" w:pos="5880"/>
        </w:tabs>
        <w:autoSpaceDE w:val="0"/>
        <w:autoSpaceDN w:val="0"/>
        <w:adjustRightInd w:val="0"/>
        <w:spacing w:before="156" w:after="156" w:line="580" w:lineRule="exact"/>
        <w:rPr>
          <w:rFonts w:ascii="仿宋" w:hAnsi="仿宋" w:eastAsia="仿宋" w:cs="仿宋"/>
          <w:kern w:val="0"/>
          <w:sz w:val="28"/>
          <w:szCs w:val="28"/>
        </w:rPr>
      </w:pPr>
      <w:r>
        <w:rPr>
          <w:rFonts w:ascii="仿宋" w:hAnsi="Times New Roman" w:eastAsia="仿宋" w:cs="仿宋"/>
          <w:b/>
          <w:bCs/>
          <w:kern w:val="0"/>
          <w:sz w:val="28"/>
          <w:szCs w:val="28"/>
        </w:rPr>
        <w:t xml:space="preserve">   </w:t>
      </w:r>
      <w:r>
        <w:rPr>
          <w:rFonts w:ascii="宋体" w:hAnsi="Times New Roman" w:cs="宋体"/>
          <w:b/>
          <w:bCs/>
          <w:kern w:val="0"/>
          <w:sz w:val="28"/>
          <w:szCs w:val="28"/>
        </w:rPr>
        <w:t xml:space="preserve">  </w:t>
      </w:r>
      <w:r>
        <w:rPr>
          <w:rFonts w:hint="eastAsia" w:ascii="宋体" w:hAnsi="宋体" w:cs="宋体"/>
          <w:b/>
          <w:bCs/>
          <w:kern w:val="0"/>
          <w:sz w:val="28"/>
          <w:szCs w:val="28"/>
        </w:rPr>
        <w:t>加强宣传培训调研等。</w:t>
      </w:r>
      <w:r>
        <w:rPr>
          <w:rFonts w:hint="eastAsia" w:ascii="仿宋" w:hAnsi="仿宋" w:eastAsia="仿宋" w:cs="仿宋"/>
          <w:kern w:val="0"/>
          <w:sz w:val="28"/>
          <w:szCs w:val="28"/>
        </w:rPr>
        <w:t>加强人员培训，提高本部门职工业务素质；加强调研，提出优化财政资金配置、提高资金使用效益的意见意见；加大宣传力度，强化预算绩效管理意识，促进预算绩效管理水平进一步提升。</w:t>
      </w:r>
    </w:p>
    <w:p>
      <w:pPr>
        <w:autoSpaceDE w:val="0"/>
        <w:autoSpaceDN w:val="0"/>
        <w:adjustRightInd w:val="0"/>
        <w:ind w:left="198" w:firstLine="640" w:firstLineChars="200"/>
        <w:jc w:val="left"/>
        <w:rPr>
          <w:rFonts w:ascii="Times New Roman" w:hAnsi="Times New Roman" w:eastAsia="仿宋" w:cs="Times New Roman"/>
          <w:sz w:val="32"/>
          <w:szCs w:val="32"/>
        </w:rPr>
      </w:pPr>
    </w:p>
    <w:p>
      <w:pPr>
        <w:autoSpaceDE w:val="0"/>
        <w:autoSpaceDN w:val="0"/>
        <w:adjustRightInd w:val="0"/>
        <w:ind w:left="198" w:firstLine="640" w:firstLineChars="200"/>
        <w:jc w:val="left"/>
        <w:rPr>
          <w:rFonts w:ascii="Times New Roman" w:hAnsi="Times New Roman" w:eastAsia="仿宋" w:cs="Times New Roman"/>
          <w:sz w:val="32"/>
          <w:szCs w:val="32"/>
        </w:rPr>
      </w:pPr>
    </w:p>
    <w:p>
      <w:pPr>
        <w:autoSpaceDE w:val="0"/>
        <w:autoSpaceDN w:val="0"/>
        <w:adjustRightInd w:val="0"/>
        <w:ind w:left="198" w:firstLine="640" w:firstLineChars="200"/>
        <w:jc w:val="left"/>
        <w:rPr>
          <w:rFonts w:ascii="Times New Roman" w:hAnsi="Times New Roman" w:eastAsia="仿宋" w:cs="Times New Roman"/>
          <w:sz w:val="32"/>
          <w:szCs w:val="32"/>
        </w:rPr>
      </w:pPr>
    </w:p>
    <w:p>
      <w:pPr>
        <w:autoSpaceDE w:val="0"/>
        <w:autoSpaceDN w:val="0"/>
        <w:adjustRightInd w:val="0"/>
        <w:ind w:left="198" w:firstLine="640" w:firstLineChars="200"/>
        <w:jc w:val="left"/>
        <w:rPr>
          <w:rFonts w:ascii="Times New Roman" w:hAnsi="Times New Roman" w:eastAsia="仿宋" w:cs="Times New Roman"/>
          <w:sz w:val="32"/>
          <w:szCs w:val="32"/>
        </w:rPr>
      </w:pPr>
    </w:p>
    <w:p>
      <w:pPr>
        <w:autoSpaceDE w:val="0"/>
        <w:autoSpaceDN w:val="0"/>
        <w:adjustRightInd w:val="0"/>
        <w:ind w:left="198" w:firstLine="640" w:firstLineChars="200"/>
        <w:jc w:val="left"/>
        <w:rPr>
          <w:rFonts w:ascii="Times New Roman" w:hAnsi="Times New Roman" w:eastAsia="仿宋" w:cs="Times New Roman"/>
          <w:sz w:val="32"/>
          <w:szCs w:val="32"/>
        </w:rPr>
      </w:pPr>
    </w:p>
    <w:p>
      <w:pPr>
        <w:autoSpaceDE w:val="0"/>
        <w:autoSpaceDN w:val="0"/>
        <w:adjustRightInd w:val="0"/>
        <w:ind w:left="198" w:firstLine="640" w:firstLineChars="200"/>
        <w:jc w:val="left"/>
        <w:rPr>
          <w:rFonts w:ascii="Times New Roman" w:hAnsi="Times New Roman" w:eastAsia="仿宋" w:cs="Times New Roman"/>
          <w:sz w:val="32"/>
          <w:szCs w:val="32"/>
        </w:rPr>
      </w:pPr>
    </w:p>
    <w:p>
      <w:pPr>
        <w:autoSpaceDE w:val="0"/>
        <w:autoSpaceDN w:val="0"/>
        <w:adjustRightInd w:val="0"/>
        <w:ind w:left="198" w:firstLine="640" w:firstLineChars="200"/>
        <w:jc w:val="left"/>
        <w:rPr>
          <w:rFonts w:ascii="Times New Roman" w:hAnsi="Times New Roman" w:eastAsia="仿宋" w:cs="Times New Roman"/>
          <w:sz w:val="32"/>
          <w:szCs w:val="32"/>
        </w:rPr>
      </w:pPr>
    </w:p>
    <w:p>
      <w:pPr>
        <w:autoSpaceDE w:val="0"/>
        <w:autoSpaceDN w:val="0"/>
        <w:adjustRightInd w:val="0"/>
        <w:jc w:val="left"/>
        <w:rPr>
          <w:rFonts w:ascii="Times New Roman" w:hAnsi="Times New Roman" w:eastAsia="仿宋" w:cs="Times New Roman"/>
          <w:sz w:val="32"/>
          <w:szCs w:val="32"/>
        </w:rPr>
      </w:pPr>
    </w:p>
    <w:p>
      <w:pPr>
        <w:numPr>
          <w:ilvl w:val="0"/>
          <w:numId w:val="1"/>
        </w:numPr>
        <w:autoSpaceDE w:val="0"/>
        <w:autoSpaceDN w:val="0"/>
        <w:adjustRightInd w:val="0"/>
        <w:ind w:left="198" w:firstLine="643" w:firstLineChars="200"/>
        <w:jc w:val="left"/>
        <w:rPr>
          <w:rFonts w:ascii="Times New Roman" w:hAnsi="Times New Roman" w:eastAsia="方正仿宋_GBK" w:cs="Times New Roman"/>
          <w:b/>
          <w:sz w:val="32"/>
          <w:szCs w:val="32"/>
        </w:rPr>
      </w:pPr>
      <w:r>
        <w:rPr>
          <w:rFonts w:hint="eastAsia" w:ascii="Times New Roman" w:hAnsi="Times New Roman" w:eastAsia="方正仿宋_GBK" w:cs="Times New Roman"/>
          <w:b/>
          <w:sz w:val="32"/>
          <w:szCs w:val="32"/>
        </w:rPr>
        <w:t>预算项目绩效目标</w:t>
      </w:r>
    </w:p>
    <w:p/>
    <w:p>
      <w:pPr>
        <w:ind w:firstLine="562" w:firstLineChars="200"/>
        <w:jc w:val="left"/>
        <w:outlineLvl w:val="1"/>
        <w:rPr>
          <w:rFonts w:hAnsi="宋体"/>
          <w:b/>
          <w:sz w:val="28"/>
        </w:rPr>
      </w:pPr>
      <w:r>
        <w:rPr>
          <w:rFonts w:hint="eastAsia" w:ascii="方正仿宋_GBK" w:eastAsia="方正仿宋_GBK"/>
          <w:b/>
          <w:sz w:val="28"/>
        </w:rPr>
        <w:t>1、办公楼地租及电费绩效目标表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4" w:name="_Toc29737531"/>
      <w:r>
        <w:rPr>
          <w:rFonts w:hint="eastAsia" w:ascii="方正仿宋_GBK" w:eastAsia="方正仿宋_GBK"/>
          <w:b/>
          <w:sz w:val="28"/>
        </w:rPr>
        <w:instrText xml:space="preserve">1、办公楼地租及电费绩效目标表</w:instrText>
      </w:r>
      <w:bookmarkEnd w:id="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332002</w:t>
            </w:r>
            <w:r>
              <w:rPr>
                <w:rFonts w:hint="eastAsia" w:ascii="方正书宋_GBK" w:eastAsia="方正书宋_GBK"/>
                <w:b/>
              </w:rPr>
              <w:t>石家庄市藁城区水利局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332-0702-JBN-2HC6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办公楼地租及电费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23.64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23.64</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用于办公楼的租金和用电。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74.00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74.00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、加强科学化管理，不断完善我局各项节约机制，增强全体工作人员节约意识，促使电费逐年下降。</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、加强内部管理和工作职责，确保各项工作任务按期完成，提高工作效率。</w:t>
            </w:r>
          </w:p>
        </w:tc>
      </w:tr>
    </w:tbl>
    <w:p>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保证各项工作顺利进行</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保证各项工作任务如期完成。</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保证各项工作顺利进行</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计划及历史标准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规范管理、节约能源</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节约开支</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节约能源</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计划及历史标准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服务对象满意程度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计划及历史标准</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2、编制藁城区地下水开发利用与保护规划工作资金绩效目标表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5" w:name="_Toc29737532"/>
      <w:r>
        <w:rPr>
          <w:rFonts w:hint="eastAsia" w:ascii="方正仿宋_GBK" w:eastAsia="方正仿宋_GBK"/>
          <w:b/>
          <w:sz w:val="28"/>
        </w:rPr>
        <w:instrText xml:space="preserve">2、编制藁城区地下水开发利用与保护规划工作资金绩效目标表</w:instrText>
      </w:r>
      <w:bookmarkEnd w:id="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332002</w:t>
            </w:r>
            <w:r>
              <w:rPr>
                <w:rFonts w:hint="eastAsia" w:ascii="方正书宋_GBK" w:eastAsia="方正书宋_GBK"/>
                <w:b/>
              </w:rPr>
              <w:t>石家庄市藁城区水利局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332-0201-YBN-9RT9</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编制藁城区地下水开发利用与保护规划工作资金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68.50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68.50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进一步查清石家庄市藁城区地下水资源开发利用现状，为藁城区水资源的合理利用与保护提供合理依据。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、进一步查清石家庄市藁城区地下水资源开发利用现状，实现地下水的合理开发、高效利用、有效保护、修复治理和科学管理。</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、为藁城区地下水资源的合理利用与保护提供科学合理依据，促进地下水资源的可持续利用。</w:t>
            </w:r>
          </w:p>
        </w:tc>
      </w:tr>
    </w:tbl>
    <w:p>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完成规划数量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按照要求和计划完成任务的项目规划</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完成项目编制勘察规划</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文件要求石水【</w:t>
            </w:r>
            <w:r>
              <w:rPr>
                <w:rFonts w:ascii="方正书宋_GBK" w:eastAsia="方正书宋_GBK"/>
              </w:rPr>
              <w:t>2019</w:t>
            </w:r>
            <w:r>
              <w:rPr>
                <w:rFonts w:hint="eastAsia" w:ascii="方正书宋_GBK" w:eastAsia="方正书宋_GBK"/>
              </w:rPr>
              <w:t>】</w:t>
            </w:r>
            <w:r>
              <w:rPr>
                <w:rFonts w:ascii="方正书宋_GBK" w:eastAsia="方正书宋_GBK"/>
              </w:rPr>
              <w:t>33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完成项目编制勘察规划</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为藁城区地下水资源的合理利用与保护提供科学依据。</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w:t>
            </w:r>
            <w:r>
              <w:rPr>
                <w:rFonts w:hint="eastAsia" w:ascii="方正书宋_GBK" w:eastAsia="方正书宋_GBK"/>
              </w:rPr>
              <w:t>完成项目编制勘察规划</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文件要求石水【</w:t>
            </w:r>
            <w:r>
              <w:rPr>
                <w:rFonts w:ascii="方正书宋_GBK" w:eastAsia="方正书宋_GBK"/>
              </w:rPr>
              <w:t>2019</w:t>
            </w:r>
            <w:r>
              <w:rPr>
                <w:rFonts w:hint="eastAsia" w:ascii="方正书宋_GBK" w:eastAsia="方正书宋_GBK"/>
              </w:rPr>
              <w:t>】</w:t>
            </w:r>
            <w:r>
              <w:rPr>
                <w:rFonts w:ascii="方正书宋_GBK" w:eastAsia="方正书宋_GBK"/>
              </w:rPr>
              <w:t>33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达到服务对象满意程度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完成项目编制勘察规划</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文件要求石水【</w:t>
            </w:r>
            <w:r>
              <w:rPr>
                <w:rFonts w:ascii="方正书宋_GBK" w:eastAsia="方正书宋_GBK"/>
              </w:rPr>
              <w:t>2019</w:t>
            </w:r>
            <w:r>
              <w:rPr>
                <w:rFonts w:hint="eastAsia" w:ascii="方正书宋_GBK" w:eastAsia="方正书宋_GBK"/>
              </w:rPr>
              <w:t>】</w:t>
            </w:r>
            <w:r>
              <w:rPr>
                <w:rFonts w:ascii="方正书宋_GBK" w:eastAsia="方正书宋_GBK"/>
              </w:rPr>
              <w:t>33</w:t>
            </w:r>
            <w:r>
              <w:rPr>
                <w:rFonts w:hint="eastAsia" w:ascii="方正书宋_GBK" w:eastAsia="方正书宋_GBK"/>
              </w:rPr>
              <w:t>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3、城区饮用水备用水源地绩效目标表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6" w:name="_Toc29737533"/>
      <w:r>
        <w:rPr>
          <w:rFonts w:hint="eastAsia" w:ascii="方正仿宋_GBK" w:eastAsia="方正仿宋_GBK"/>
          <w:b/>
          <w:sz w:val="28"/>
        </w:rPr>
        <w:instrText xml:space="preserve">3、城区饮用水备用水源地绩效目标表</w:instrText>
      </w:r>
      <w:bookmarkEnd w:id="6"/>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332002</w:t>
            </w:r>
            <w:r>
              <w:rPr>
                <w:rFonts w:hint="eastAsia" w:ascii="方正书宋_GBK" w:eastAsia="方正书宋_GBK"/>
                <w:b/>
              </w:rPr>
              <w:t>石家庄市藁城区水利局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332-0901-YBN-P6K3</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城区饮用水备用水源地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用于备用水源地项目科研、环评、勘测等前期费用。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、保证城区用水安全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、保证项目如期进行</w:t>
            </w:r>
          </w:p>
        </w:tc>
      </w:tr>
    </w:tbl>
    <w:p>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打井完成率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完成城区备用水源地水成井数量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13</w:t>
            </w:r>
            <w:r>
              <w:rPr>
                <w:rFonts w:hint="eastAsia" w:ascii="方正书宋_GBK" w:eastAsia="方正书宋_GBK"/>
              </w:rPr>
              <w:t>完成备用水源井</w:t>
            </w:r>
            <w:r>
              <w:rPr>
                <w:rFonts w:ascii="方正书宋_GBK" w:eastAsia="方正书宋_GBK"/>
              </w:rPr>
              <w:t>13</w:t>
            </w:r>
            <w:r>
              <w:rPr>
                <w:rFonts w:hint="eastAsia" w:ascii="方正书宋_GBK" w:eastAsia="方正书宋_GBK"/>
              </w:rPr>
              <w:t>眼</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可持续影响指标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长期使用性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能够长期较好地保证城区居民饮水安全</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保证水压符合国家标准</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收益率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本工程内部收益率</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9</w:t>
            </w:r>
            <w:r>
              <w:rPr>
                <w:rFonts w:hint="eastAsia" w:ascii="方正书宋_GBK" w:eastAsia="方正书宋_GBK"/>
              </w:rPr>
              <w:t>本工程内部收益率不低于</w:t>
            </w:r>
            <w:r>
              <w:rPr>
                <w:rFonts w:ascii="方正书宋_GBK" w:eastAsia="方正书宋_GBK"/>
              </w:rPr>
              <w:t>9%</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4、河长制工作经费（村级）绩效目标表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7" w:name="_Toc29737534"/>
      <w:r>
        <w:rPr>
          <w:rFonts w:hint="eastAsia" w:ascii="方正仿宋_GBK" w:eastAsia="方正仿宋_GBK"/>
          <w:b/>
          <w:sz w:val="28"/>
        </w:rPr>
        <w:instrText xml:space="preserve">4、河长制工作经费（村级）绩效目标表</w:instrText>
      </w:r>
      <w:bookmarkEnd w:id="7"/>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332002</w:t>
            </w:r>
            <w:r>
              <w:rPr>
                <w:rFonts w:hint="eastAsia" w:ascii="方正书宋_GBK" w:eastAsia="方正书宋_GBK"/>
                <w:b/>
              </w:rPr>
              <w:t>石家庄市藁城区水利局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332-0202-JCN-T36C</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河长制工作经费（村级）</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120.00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120.00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w:t>
            </w:r>
            <w:r>
              <w:rPr>
                <w:rFonts w:ascii="方正书宋_GBK" w:eastAsia="方正书宋_GBK"/>
              </w:rPr>
              <w:t>12</w:t>
            </w:r>
            <w:r>
              <w:rPr>
                <w:rFonts w:hint="eastAsia" w:ascii="方正书宋_GBK" w:eastAsia="方正书宋_GBK"/>
              </w:rPr>
              <w:t>个乡镇</w:t>
            </w:r>
            <w:r>
              <w:rPr>
                <w:rFonts w:ascii="方正书宋_GBK" w:eastAsia="方正书宋_GBK"/>
              </w:rPr>
              <w:t>67</w:t>
            </w:r>
            <w:r>
              <w:rPr>
                <w:rFonts w:hint="eastAsia" w:ascii="方正书宋_GBK" w:eastAsia="方正书宋_GBK"/>
              </w:rPr>
              <w:t>名村级河长补贴。</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60.00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、按时发放村级河长补贴</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、完成对河道的日常监管</w:t>
            </w:r>
          </w:p>
        </w:tc>
      </w:tr>
    </w:tbl>
    <w:p>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w:t>
            </w:r>
            <w:r>
              <w:rPr>
                <w:rFonts w:ascii="方正书宋_GBK" w:eastAsia="方正书宋_GBK"/>
              </w:rPr>
              <w:t>6</w:t>
            </w:r>
            <w:r>
              <w:rPr>
                <w:rFonts w:hint="eastAsia" w:ascii="方正书宋_GBK" w:eastAsia="方正书宋_GBK"/>
              </w:rPr>
              <w:t>条河道日常监管率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达到规定巡河率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104</w:t>
            </w:r>
            <w:r>
              <w:rPr>
                <w:rFonts w:hint="eastAsia" w:ascii="方正书宋_GBK" w:eastAsia="方正书宋_GBK"/>
              </w:rPr>
              <w:t>每位河长每周巡河次数不低于</w:t>
            </w:r>
            <w:r>
              <w:rPr>
                <w:rFonts w:ascii="方正书宋_GBK" w:eastAsia="方正书宋_GBK"/>
              </w:rPr>
              <w:t>2</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及时率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处理突发问题及时率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发现问题及时处理</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群众对当的整体满意度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群众对河道生态环境的满意度</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5、河长制工作经费（县级日常公用）绩效目标表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8" w:name="_Toc29737535"/>
      <w:r>
        <w:rPr>
          <w:rFonts w:hint="eastAsia" w:ascii="方正仿宋_GBK" w:eastAsia="方正仿宋_GBK"/>
          <w:b/>
          <w:sz w:val="28"/>
        </w:rPr>
        <w:instrText xml:space="preserve">5、河长制工作经费（县级日常公用）绩效目标表</w:instrText>
      </w:r>
      <w:bookmarkEnd w:id="8"/>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332002</w:t>
            </w:r>
            <w:r>
              <w:rPr>
                <w:rFonts w:hint="eastAsia" w:ascii="方正书宋_GBK" w:eastAsia="方正书宋_GBK"/>
                <w:b/>
              </w:rPr>
              <w:t>石家庄市藁城区水利局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332-0202-JCN-ZZQ5</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河长制工作经费（县级日常公用）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用于滹沱河、木刀沟日常巡河及突发事件处理车油费及办公费用。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、确保河道生态环境安全</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、确保河道违法案件逐年减少</w:t>
            </w:r>
          </w:p>
        </w:tc>
      </w:tr>
    </w:tbl>
    <w:p>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日常巡查次数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每天巡查不低于</w:t>
            </w:r>
            <w:r>
              <w:rPr>
                <w:rFonts w:ascii="方正书宋_GBK" w:eastAsia="方正书宋_GBK"/>
              </w:rPr>
              <w:t>2</w:t>
            </w:r>
            <w:r>
              <w:rPr>
                <w:rFonts w:hint="eastAsia" w:ascii="方正书宋_GBK" w:eastAsia="方正书宋_GBK"/>
              </w:rPr>
              <w:t>次</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730</w:t>
            </w:r>
            <w:r>
              <w:rPr>
                <w:rFonts w:hint="eastAsia" w:ascii="方正书宋_GBK" w:eastAsia="方正书宋_GBK"/>
              </w:rPr>
              <w:t>全年巡查次数不低于</w:t>
            </w:r>
            <w:r>
              <w:rPr>
                <w:rFonts w:ascii="方正书宋_GBK" w:eastAsia="方正书宋_GBK"/>
              </w:rPr>
              <w:t>730</w:t>
            </w:r>
            <w:r>
              <w:rPr>
                <w:rFonts w:hint="eastAsia" w:ascii="方正书宋_GBK" w:eastAsia="方正书宋_GBK"/>
              </w:rPr>
              <w:t>次</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巡查记录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河道违法案件数量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加强河道巡查，确保违法案件逐年降低</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15</w:t>
            </w:r>
            <w:r>
              <w:rPr>
                <w:rFonts w:hint="eastAsia" w:ascii="方正书宋_GBK" w:eastAsia="方正书宋_GBK"/>
              </w:rPr>
              <w:t>河道违法案件不超过</w:t>
            </w:r>
            <w:r>
              <w:rPr>
                <w:rFonts w:ascii="方正书宋_GBK" w:eastAsia="方正书宋_GBK"/>
              </w:rPr>
              <w:t>15</w:t>
            </w:r>
            <w:r>
              <w:rPr>
                <w:rFonts w:hint="eastAsia" w:ascii="方正书宋_GBK" w:eastAsia="方正书宋_GBK"/>
              </w:rPr>
              <w:t>件</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违法案件档案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群众满意数量占调查总数的比例。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群众对生态环境满意度</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群众举报减少</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6、南水北调配套一期贷款本息绩效目标表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9" w:name="_Toc29737536"/>
      <w:r>
        <w:rPr>
          <w:rFonts w:hint="eastAsia" w:ascii="方正仿宋_GBK" w:eastAsia="方正仿宋_GBK"/>
          <w:b/>
          <w:sz w:val="28"/>
        </w:rPr>
        <w:instrText xml:space="preserve">6、南水北调配套一期贷款本息绩效目标表</w:instrText>
      </w:r>
      <w:bookmarkEnd w:id="9"/>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332002</w:t>
            </w:r>
            <w:r>
              <w:rPr>
                <w:rFonts w:hint="eastAsia" w:ascii="方正书宋_GBK" w:eastAsia="方正书宋_GBK"/>
                <w:b/>
              </w:rPr>
              <w:t>石家庄市藁城区水利局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332-0201-JBN-OWEY</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南水北调配套一期贷款本息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155.00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155.00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归还南水北调一期工程（地表水厂）贷农发行款本息。</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45.00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95.00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、按期归还农发行贷款本金</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、按期归还农发行贷款利息</w:t>
            </w:r>
          </w:p>
        </w:tc>
      </w:tr>
    </w:tbl>
    <w:p>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按合同约定日期偿还</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按合同约定日期偿还本金和利息</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按合同约定日期偿还</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合同约定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保证地表水厂正常运行</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保证地表水厂正常运行、保证用水户用水安全、及时解决用水问题。</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w:t>
            </w:r>
            <w:r>
              <w:rPr>
                <w:rFonts w:hint="eastAsia" w:ascii="方正书宋_GBK" w:eastAsia="方正书宋_GBK"/>
              </w:rPr>
              <w:t>群众投诉次数不超过</w:t>
            </w:r>
            <w:r>
              <w:rPr>
                <w:rFonts w:ascii="方正书宋_GBK" w:eastAsia="方正书宋_GBK"/>
              </w:rPr>
              <w:t>10</w:t>
            </w:r>
            <w:r>
              <w:rPr>
                <w:rFonts w:hint="eastAsia" w:ascii="方正书宋_GBK" w:eastAsia="方正书宋_GBK"/>
              </w:rPr>
              <w:t>次</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市长热线记录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接受满意程度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服务对象满意度</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合同约定</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7、南水北调配套一期工程款绩效目标表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0" w:name="_Toc29737537"/>
      <w:r>
        <w:rPr>
          <w:rFonts w:hint="eastAsia" w:ascii="方正仿宋_GBK" w:eastAsia="方正仿宋_GBK"/>
          <w:b/>
          <w:sz w:val="28"/>
        </w:rPr>
        <w:instrText xml:space="preserve">7、南水北调配套一期工程款绩效目标表</w:instrText>
      </w:r>
      <w:bookmarkEnd w:id="10"/>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332002</w:t>
            </w:r>
            <w:r>
              <w:rPr>
                <w:rFonts w:hint="eastAsia" w:ascii="方正书宋_GBK" w:eastAsia="方正书宋_GBK"/>
                <w:b/>
              </w:rPr>
              <w:t>石家庄市藁城区水利局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332-0901-YBN-G7SD</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南水北调配套一期工程款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归还南水北调一期工程（地表水厂）尾款。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、使城区供水能力得到提高，创造了良好的自然环境。</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、提高居民生活质量和健康水平，为藁城工业开发区的投资环境带来了很好的改善和提高。</w:t>
            </w:r>
          </w:p>
        </w:tc>
      </w:tr>
    </w:tbl>
    <w:p>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地表水厂一座</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地表水厂按期竣工</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如期完成一座</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计划和方案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提高城区供水能力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供水能力为整个藁城城区及藁城工业开发区</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提高城区供水能力</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计划和方案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群众对整体满意度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群众对整体满意度</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计划</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8、南水北调水费绩效目标表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1" w:name="_Toc29737538"/>
      <w:r>
        <w:rPr>
          <w:rFonts w:hint="eastAsia" w:ascii="方正仿宋_GBK" w:eastAsia="方正仿宋_GBK"/>
          <w:b/>
          <w:sz w:val="28"/>
        </w:rPr>
        <w:instrText xml:space="preserve">8、南水北调水费绩效目标表</w:instrText>
      </w:r>
      <w:bookmarkEnd w:id="11"/>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332002</w:t>
            </w:r>
            <w:r>
              <w:rPr>
                <w:rFonts w:hint="eastAsia" w:ascii="方正书宋_GBK" w:eastAsia="方正书宋_GBK"/>
                <w:b/>
              </w:rPr>
              <w:t>石家庄市藁城区水利局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332-0402-JBN-TUAQ</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南水北调水费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5132.82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5132.82</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用于上交南水北调水费。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、按时缴纳南水北调水费</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、足额缴纳南水北调水费</w:t>
            </w:r>
          </w:p>
        </w:tc>
      </w:tr>
    </w:tbl>
    <w:p>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原水消纳量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达到最低南水北调原水消纳量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602020</w:t>
            </w:r>
            <w:r>
              <w:rPr>
                <w:rFonts w:hint="eastAsia" w:ascii="方正书宋_GBK" w:eastAsia="方正书宋_GBK"/>
              </w:rPr>
              <w:t>年南水北调最低消纳量不低于平均水量的</w:t>
            </w:r>
            <w:r>
              <w:rPr>
                <w:rFonts w:ascii="方正书宋_GBK" w:eastAsia="方正书宋_GBK"/>
              </w:rPr>
              <w:t>60%</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社会影响力</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在全区产生重大影响得到广大受众的充分认可。</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群众对南水北调的认可度不低于</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群众对南水北调水质的整体满意度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群众对南水北调水质的整体满意度不低于</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9、生态修复二期(垫付）绩效目标表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2" w:name="_Toc29737539"/>
      <w:r>
        <w:rPr>
          <w:rFonts w:hint="eastAsia" w:ascii="方正仿宋_GBK" w:eastAsia="方正仿宋_GBK"/>
          <w:b/>
          <w:sz w:val="28"/>
        </w:rPr>
        <w:instrText xml:space="preserve">9、生态修复二期(垫付）绩效目标表</w:instrText>
      </w:r>
      <w:bookmarkEnd w:id="12"/>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332002</w:t>
            </w:r>
            <w:r>
              <w:rPr>
                <w:rFonts w:hint="eastAsia" w:ascii="方正书宋_GBK" w:eastAsia="方正书宋_GBK"/>
                <w:b/>
              </w:rPr>
              <w:t>石家庄市藁城区水利局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332-0202-YXN-3V5H</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生态修复二期</w:t>
            </w:r>
            <w:r>
              <w:rPr>
                <w:rFonts w:ascii="方正书宋_GBK" w:eastAsia="方正书宋_GBK"/>
              </w:rPr>
              <w:t>(</w:t>
            </w:r>
            <w:r>
              <w:rPr>
                <w:rFonts w:hint="eastAsia" w:ascii="方正书宋_GBK" w:eastAsia="方正书宋_GBK"/>
              </w:rPr>
              <w:t>垫付）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用于滹沱河生态修复二期工程征迁、施工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、保证滹沱河生态修复二期工程顺利实施</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、保证河道生态环境得到显著提升</w:t>
            </w:r>
          </w:p>
        </w:tc>
      </w:tr>
    </w:tbl>
    <w:p>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完成治理河道</w:t>
            </w:r>
          </w:p>
        </w:tc>
        <w:tc>
          <w:tcPr>
            <w:tcW w:w="2891" w:type="dxa"/>
            <w:shd w:val="clear" w:color="auto" w:fill="auto"/>
            <w:vAlign w:val="center"/>
          </w:tcPr>
          <w:p>
            <w:pPr>
              <w:spacing w:line="300" w:lineRule="exact"/>
              <w:jc w:val="left"/>
              <w:rPr>
                <w:rFonts w:ascii="方正书宋_GBK" w:eastAsia="方正书宋_GBK"/>
              </w:rPr>
            </w:pPr>
          </w:p>
          <w:p>
            <w:pPr>
              <w:spacing w:line="300" w:lineRule="exact"/>
              <w:jc w:val="left"/>
              <w:rPr>
                <w:rFonts w:ascii="方正书宋_GBK" w:eastAsia="方正书宋_GBK"/>
              </w:rPr>
            </w:pPr>
            <w:r>
              <w:rPr>
                <w:rFonts w:hint="eastAsia" w:ascii="方正书宋_GBK" w:eastAsia="方正书宋_GBK"/>
              </w:rPr>
              <w:t>治理河道</w:t>
            </w:r>
            <w:r>
              <w:rPr>
                <w:rFonts w:ascii="方正书宋_GBK" w:eastAsia="方正书宋_GBK"/>
              </w:rPr>
              <w:t>8.8</w:t>
            </w:r>
            <w:r>
              <w:rPr>
                <w:rFonts w:hint="eastAsia" w:ascii="方正书宋_GBK" w:eastAsia="方正书宋_GBK"/>
              </w:rPr>
              <w:t>公里</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治理完成量</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绿化率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绿化占征迁土地的比率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绿化占征迁土地的比率</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群众对生态环境的整体满意度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问卷调查群众满意度不低于</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10、石财农[2019]88号关于提前下达2020年中央水库移民后期扶持基金预算的通知绩效目标表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3" w:name="_Toc29737540"/>
      <w:r>
        <w:rPr>
          <w:rFonts w:hint="eastAsia" w:ascii="方正仿宋_GBK" w:eastAsia="方正仿宋_GBK"/>
          <w:b/>
          <w:sz w:val="28"/>
        </w:rPr>
        <w:instrText xml:space="preserve">10、石财农[2019]88号关于提前下达2020年中央水库移民后期扶持基金预算的通知绩效目标表</w:instrText>
      </w:r>
      <w:bookmarkEnd w:id="13"/>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332002</w:t>
            </w:r>
            <w:r>
              <w:rPr>
                <w:rFonts w:hint="eastAsia" w:ascii="方正书宋_GBK" w:eastAsia="方正书宋_GBK"/>
                <w:b/>
              </w:rPr>
              <w:t>石家庄市藁城区水利局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332-0405-JBN-TNRH</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石财农</w:t>
            </w:r>
            <w:r>
              <w:rPr>
                <w:rFonts w:ascii="方正书宋_GBK" w:eastAsia="方正书宋_GBK"/>
              </w:rPr>
              <w:t>[2019]88</w:t>
            </w:r>
            <w:r>
              <w:rPr>
                <w:rFonts w:hint="eastAsia" w:ascii="方正书宋_GBK" w:eastAsia="方正书宋_GBK"/>
              </w:rPr>
              <w:t>号关于提前下达</w:t>
            </w:r>
            <w:r>
              <w:rPr>
                <w:rFonts w:ascii="方正书宋_GBK" w:eastAsia="方正书宋_GBK"/>
              </w:rPr>
              <w:t>2020</w:t>
            </w:r>
            <w:r>
              <w:rPr>
                <w:rFonts w:hint="eastAsia" w:ascii="方正书宋_GBK" w:eastAsia="方正书宋_GBK"/>
              </w:rPr>
              <w:t>年中央水库移民后期扶持基金预算的通知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2.94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2.94</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用于发放移民补助资金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、按时发放资金给补助人</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、按标准足额发放给补助人</w:t>
            </w:r>
          </w:p>
        </w:tc>
      </w:tr>
    </w:tbl>
    <w:p>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资金直补受益移民（人）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资金直补受益移民</w:t>
            </w:r>
            <w:r>
              <w:rPr>
                <w:rFonts w:ascii="方正书宋_GBK" w:eastAsia="方正书宋_GBK"/>
              </w:rPr>
              <w:t>45</w:t>
            </w:r>
            <w:r>
              <w:rPr>
                <w:rFonts w:hint="eastAsia" w:ascii="方正书宋_GBK" w:eastAsia="方正书宋_GBK"/>
              </w:rPr>
              <w:t>人</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45</w:t>
            </w:r>
            <w:r>
              <w:rPr>
                <w:rFonts w:hint="eastAsia" w:ascii="方正书宋_GBK" w:eastAsia="方正书宋_GBK"/>
              </w:rPr>
              <w:t>资金直补受益移民</w:t>
            </w:r>
            <w:r>
              <w:rPr>
                <w:rFonts w:ascii="方正书宋_GBK" w:eastAsia="方正书宋_GBK"/>
              </w:rPr>
              <w:t>45</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直补资金按时发放率（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直补资金一季度发放完成</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直补资金一季度全部发放到位</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增加移民人均可支配收入（元）</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增加移民人均可支配收入</w:t>
            </w:r>
            <w:r>
              <w:rPr>
                <w:rFonts w:ascii="方正书宋_GBK" w:eastAsia="方正书宋_GBK"/>
              </w:rPr>
              <w:t>600</w:t>
            </w:r>
            <w:r>
              <w:rPr>
                <w:rFonts w:hint="eastAsia" w:ascii="方正书宋_GBK" w:eastAsia="方正书宋_GBK"/>
              </w:rPr>
              <w:t>元</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600</w:t>
            </w:r>
            <w:r>
              <w:rPr>
                <w:rFonts w:hint="eastAsia" w:ascii="方正书宋_GBK" w:eastAsia="方正书宋_GBK"/>
              </w:rPr>
              <w:t>移民资金补贴标准</w:t>
            </w:r>
            <w:r>
              <w:rPr>
                <w:rFonts w:ascii="方正书宋_GBK" w:eastAsia="方正书宋_GBK"/>
              </w:rPr>
              <w:t>600</w:t>
            </w:r>
            <w:r>
              <w:rPr>
                <w:rFonts w:hint="eastAsia" w:ascii="方正书宋_GBK" w:eastAsia="方正书宋_GBK"/>
              </w:rPr>
              <w:t>元</w:t>
            </w:r>
            <w:r>
              <w:rPr>
                <w:rFonts w:ascii="方正书宋_GBK" w:eastAsia="方正书宋_GBK"/>
              </w:rPr>
              <w:t>/</w:t>
            </w:r>
            <w:r>
              <w:rPr>
                <w:rFonts w:hint="eastAsia" w:ascii="方正书宋_GBK" w:eastAsia="方正书宋_GBK"/>
              </w:rPr>
              <w:t>人</w:t>
            </w:r>
            <w:r>
              <w:rPr>
                <w:rFonts w:ascii="方正书宋_GBK" w:eastAsia="方正书宋_GBK"/>
              </w:rPr>
              <w:t>/</w:t>
            </w:r>
            <w:r>
              <w:rPr>
                <w:rFonts w:hint="eastAsia" w:ascii="方正书宋_GBK" w:eastAsia="方正书宋_GBK"/>
              </w:rPr>
              <w:t>年</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11、石财农[2019]95号关于提前下达2020年中央水利发展资金预算的通知绩效目标表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4" w:name="_Toc29737541"/>
      <w:r>
        <w:rPr>
          <w:rFonts w:hint="eastAsia" w:ascii="方正仿宋_GBK" w:eastAsia="方正仿宋_GBK"/>
          <w:b/>
          <w:sz w:val="28"/>
        </w:rPr>
        <w:instrText xml:space="preserve">11、石财农[2019]95号关于提前下达2020年中央水利发展资金预算的通知绩效目标表</w:instrText>
      </w:r>
      <w:bookmarkEnd w:id="14"/>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332002</w:t>
            </w:r>
            <w:r>
              <w:rPr>
                <w:rFonts w:hint="eastAsia" w:ascii="方正书宋_GBK" w:eastAsia="方正书宋_GBK"/>
                <w:b/>
              </w:rPr>
              <w:t>石家庄市藁城区水利局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332-0402-YBN-8CXD</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石财农</w:t>
            </w:r>
            <w:r>
              <w:rPr>
                <w:rFonts w:ascii="方正书宋_GBK" w:eastAsia="方正书宋_GBK"/>
              </w:rPr>
              <w:t>[2019]95</w:t>
            </w:r>
            <w:r>
              <w:rPr>
                <w:rFonts w:hint="eastAsia" w:ascii="方正书宋_GBK" w:eastAsia="方正书宋_GBK"/>
              </w:rPr>
              <w:t>号关于提前下达</w:t>
            </w:r>
            <w:r>
              <w:rPr>
                <w:rFonts w:ascii="方正书宋_GBK" w:eastAsia="方正书宋_GBK"/>
              </w:rPr>
              <w:t>2020</w:t>
            </w:r>
            <w:r>
              <w:rPr>
                <w:rFonts w:hint="eastAsia" w:ascii="方正书宋_GBK" w:eastAsia="方正书宋_GBK"/>
              </w:rPr>
              <w:t>年中央水利发展资金预算的通知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85.00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85.00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农村饮水安全维修养护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、按方案实施项目</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、按时支付资金</w:t>
            </w:r>
          </w:p>
        </w:tc>
      </w:tr>
    </w:tbl>
    <w:p>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支付率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资金支付率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保证资金按时支付</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群众对监测系统满意度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群众对监测系统满意度不低于</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群众满意数量占总数的比例不低于</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12、石财农[2019]96号关于提前下达2020年省级水库移民后期扶持基预算的通知绩效目标表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5" w:name="_Toc29737542"/>
      <w:r>
        <w:rPr>
          <w:rFonts w:hint="eastAsia" w:ascii="方正仿宋_GBK" w:eastAsia="方正仿宋_GBK"/>
          <w:b/>
          <w:sz w:val="28"/>
        </w:rPr>
        <w:instrText xml:space="preserve">12、石财农[2019]96号关于提前下达2020年省级水库移民后期扶持基预算的通知绩效目标表</w:instrText>
      </w:r>
      <w:bookmarkEnd w:id="15"/>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332002</w:t>
            </w:r>
            <w:r>
              <w:rPr>
                <w:rFonts w:hint="eastAsia" w:ascii="方正书宋_GBK" w:eastAsia="方正书宋_GBK"/>
                <w:b/>
              </w:rPr>
              <w:t>石家庄市藁城区水利局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332-0405-JBN-MFSC</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石财农</w:t>
            </w:r>
            <w:r>
              <w:rPr>
                <w:rFonts w:ascii="方正书宋_GBK" w:eastAsia="方正书宋_GBK"/>
              </w:rPr>
              <w:t>[2019]96</w:t>
            </w:r>
            <w:r>
              <w:rPr>
                <w:rFonts w:hint="eastAsia" w:ascii="方正书宋_GBK" w:eastAsia="方正书宋_GBK"/>
              </w:rPr>
              <w:t>号关于提前下达</w:t>
            </w:r>
            <w:r>
              <w:rPr>
                <w:rFonts w:ascii="方正书宋_GBK" w:eastAsia="方正书宋_GBK"/>
              </w:rPr>
              <w:t>2020</w:t>
            </w:r>
            <w:r>
              <w:rPr>
                <w:rFonts w:hint="eastAsia" w:ascii="方正书宋_GBK" w:eastAsia="方正书宋_GBK"/>
              </w:rPr>
              <w:t>年省级水库移民后期扶持基预算的通知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0.30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0.30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用于发放水库移民补助资金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、按时发放补助资金</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、按标准足额发放补助资金</w:t>
            </w:r>
          </w:p>
        </w:tc>
      </w:tr>
    </w:tbl>
    <w:p>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资金直补受益移民（人）</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资金直补受益人</w:t>
            </w:r>
            <w:r>
              <w:rPr>
                <w:rFonts w:ascii="方正书宋_GBK" w:eastAsia="方正书宋_GBK"/>
              </w:rPr>
              <w:t>5</w:t>
            </w:r>
            <w:r>
              <w:rPr>
                <w:rFonts w:hint="eastAsia" w:ascii="方正书宋_GBK" w:eastAsia="方正书宋_GBK"/>
              </w:rPr>
              <w:t>人</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w:t>
            </w:r>
            <w:r>
              <w:rPr>
                <w:rFonts w:hint="eastAsia" w:ascii="方正书宋_GBK" w:eastAsia="方正书宋_GBK"/>
              </w:rPr>
              <w:t>资金直补受益人</w:t>
            </w:r>
            <w:r>
              <w:rPr>
                <w:rFonts w:ascii="方正书宋_GBK" w:eastAsia="方正书宋_GBK"/>
              </w:rPr>
              <w:t>5</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直补资金按时发放率（</w:t>
            </w:r>
            <w:r>
              <w:rPr>
                <w:rFonts w:ascii="方正书宋_GBK" w:eastAsia="方正书宋_GBK"/>
              </w:rPr>
              <w:t>%</w:t>
            </w:r>
            <w:r>
              <w:rPr>
                <w:rFonts w:hint="eastAsia" w:ascii="方正书宋_GBK" w:eastAsia="方正书宋_GBK"/>
              </w:rPr>
              <w:t>）</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直补资金按时发放率</w:t>
            </w:r>
            <w:r>
              <w:rPr>
                <w:rFonts w:ascii="方正书宋_GBK" w:eastAsia="方正书宋_GBK"/>
              </w:rPr>
              <w:t>100%</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直补资金按时发放率</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增加移民人均可支配收入（元）</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增加移民人均可支配收入</w:t>
            </w:r>
            <w:r>
              <w:rPr>
                <w:rFonts w:ascii="方正书宋_GBK" w:eastAsia="方正书宋_GBK"/>
              </w:rPr>
              <w:t>600</w:t>
            </w:r>
            <w:r>
              <w:rPr>
                <w:rFonts w:hint="eastAsia" w:ascii="方正书宋_GBK" w:eastAsia="方正书宋_GBK"/>
              </w:rPr>
              <w:t>元</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600</w:t>
            </w:r>
            <w:r>
              <w:rPr>
                <w:rFonts w:hint="eastAsia" w:ascii="方正书宋_GBK" w:eastAsia="方正书宋_GBK"/>
              </w:rPr>
              <w:t>补助资金发放标准</w:t>
            </w:r>
            <w:r>
              <w:rPr>
                <w:rFonts w:ascii="方正书宋_GBK" w:eastAsia="方正书宋_GBK"/>
              </w:rPr>
              <w:t>600</w:t>
            </w:r>
            <w:r>
              <w:rPr>
                <w:rFonts w:hint="eastAsia" w:ascii="方正书宋_GBK" w:eastAsia="方正书宋_GBK"/>
              </w:rPr>
              <w:t>元</w:t>
            </w:r>
            <w:r>
              <w:rPr>
                <w:rFonts w:ascii="方正书宋_GBK" w:eastAsia="方正书宋_GBK"/>
              </w:rPr>
              <w:t>/</w:t>
            </w:r>
            <w:r>
              <w:rPr>
                <w:rFonts w:hint="eastAsia" w:ascii="方正书宋_GBK" w:eastAsia="方正书宋_GBK"/>
              </w:rPr>
              <w:t>年</w:t>
            </w:r>
            <w:r>
              <w:rPr>
                <w:rFonts w:ascii="方正书宋_GBK" w:eastAsia="方正书宋_GBK"/>
              </w:rPr>
              <w:t>/</w:t>
            </w:r>
            <w:r>
              <w:rPr>
                <w:rFonts w:hint="eastAsia" w:ascii="方正书宋_GBK" w:eastAsia="方正书宋_GBK"/>
              </w:rPr>
              <w:t>人</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13、石财农[2019]97号关于提起下达2020年中央水利发展资金（地下水超采综合治理）预算的通知绩效目标表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6" w:name="_Toc29737543"/>
      <w:r>
        <w:rPr>
          <w:rFonts w:hint="eastAsia" w:ascii="方正仿宋_GBK" w:eastAsia="方正仿宋_GBK"/>
          <w:b/>
          <w:sz w:val="28"/>
        </w:rPr>
        <w:instrText xml:space="preserve">13、石财农[2019]97号关于提起下达2020年中央水利发展资金（地下水超采综合治理）预算的通知绩效目标表</w:instrText>
      </w:r>
      <w:bookmarkEnd w:id="16"/>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332002</w:t>
            </w:r>
            <w:r>
              <w:rPr>
                <w:rFonts w:hint="eastAsia" w:ascii="方正书宋_GBK" w:eastAsia="方正书宋_GBK"/>
                <w:b/>
              </w:rPr>
              <w:t>石家庄市藁城区水利局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332-0402-YBN-XD8E</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石财农</w:t>
            </w:r>
            <w:r>
              <w:rPr>
                <w:rFonts w:ascii="方正书宋_GBK" w:eastAsia="方正书宋_GBK"/>
              </w:rPr>
              <w:t>[2019]97</w:t>
            </w:r>
            <w:r>
              <w:rPr>
                <w:rFonts w:hint="eastAsia" w:ascii="方正书宋_GBK" w:eastAsia="方正书宋_GBK"/>
              </w:rPr>
              <w:t>号关于提起下达</w:t>
            </w:r>
            <w:r>
              <w:rPr>
                <w:rFonts w:ascii="方正书宋_GBK" w:eastAsia="方正书宋_GBK"/>
              </w:rPr>
              <w:t>2020</w:t>
            </w:r>
            <w:r>
              <w:rPr>
                <w:rFonts w:hint="eastAsia" w:ascii="方正书宋_GBK" w:eastAsia="方正书宋_GBK"/>
              </w:rPr>
              <w:t>年中央水利发展资金（地下水超采综合治理）预算的通知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102.00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102.00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非农取水在线监测建设及封停自备井补助资金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、按时完成非农取水在线监测建设</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、保证按要求自备井关停</w:t>
            </w:r>
          </w:p>
        </w:tc>
      </w:tr>
    </w:tbl>
    <w:p>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眼数</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关停自备井眼数</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w:t>
            </w:r>
            <w:r>
              <w:rPr>
                <w:rFonts w:hint="eastAsia" w:ascii="方正书宋_GBK" w:eastAsia="方正书宋_GBK"/>
              </w:rPr>
              <w:t>按方案关停</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关停自备井完成率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按上级要求关停自备井</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群众满意数量占总数的比例不低于</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14、水利行业节水机关建设资金绩效目标表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7" w:name="_Toc29737544"/>
      <w:r>
        <w:rPr>
          <w:rFonts w:hint="eastAsia" w:ascii="方正仿宋_GBK" w:eastAsia="方正仿宋_GBK"/>
          <w:b/>
          <w:sz w:val="28"/>
        </w:rPr>
        <w:instrText xml:space="preserve">14、水利行业节水机关建设资金绩效目标表</w:instrText>
      </w:r>
      <w:bookmarkEnd w:id="17"/>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332002</w:t>
            </w:r>
            <w:r>
              <w:rPr>
                <w:rFonts w:hint="eastAsia" w:ascii="方正书宋_GBK" w:eastAsia="方正书宋_GBK"/>
                <w:b/>
              </w:rPr>
              <w:t>石家庄市藁城区水利局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332-0201-YBN-YN0N</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水利行业节水机关建设资金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35.44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35.44</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对机关计量设施检测平台安装，雨水、灰水收集利用改造，节水器具的安装改造。</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、完成检测平台及计量设施安装。</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、完成雨水、灰水收集利用改造。</w:t>
            </w:r>
          </w:p>
        </w:tc>
      </w:tr>
    </w:tbl>
    <w:p>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节水器具改造数量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节水器具改造数量</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92</w:t>
            </w:r>
            <w:r>
              <w:rPr>
                <w:rFonts w:hint="eastAsia" w:ascii="方正书宋_GBK" w:eastAsia="方正书宋_GBK"/>
              </w:rPr>
              <w:t>完成机关节水器具安装改造</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冀水节【</w:t>
            </w:r>
            <w:r>
              <w:rPr>
                <w:rFonts w:ascii="方正书宋_GBK" w:eastAsia="方正书宋_GBK"/>
              </w:rPr>
              <w:t>2019</w:t>
            </w:r>
            <w:r>
              <w:rPr>
                <w:rFonts w:hint="eastAsia" w:ascii="方正书宋_GBK" w:eastAsia="方正书宋_GBK"/>
              </w:rPr>
              <w:t>】</w:t>
            </w:r>
            <w:r>
              <w:rPr>
                <w:rFonts w:ascii="方正书宋_GBK" w:eastAsia="方正书宋_GBK"/>
              </w:rPr>
              <w:t>13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经济效益指标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完成机关节水改造建设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达到国家节水标准</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年节水量达到</w:t>
            </w:r>
            <w:r>
              <w:rPr>
                <w:rFonts w:ascii="方正书宋_GBK" w:eastAsia="方正书宋_GBK"/>
              </w:rPr>
              <w:t>1000</w:t>
            </w:r>
            <w:r>
              <w:rPr>
                <w:rFonts w:hint="eastAsia" w:ascii="方正书宋_GBK" w:eastAsia="方正书宋_GBK"/>
              </w:rPr>
              <w:t>立方米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冀水节【</w:t>
            </w:r>
            <w:r>
              <w:rPr>
                <w:rFonts w:ascii="方正书宋_GBK" w:eastAsia="方正书宋_GBK"/>
              </w:rPr>
              <w:t>2019</w:t>
            </w:r>
            <w:r>
              <w:rPr>
                <w:rFonts w:hint="eastAsia" w:ascii="方正书宋_GBK" w:eastAsia="方正书宋_GBK"/>
              </w:rPr>
              <w:t>】</w:t>
            </w:r>
            <w:r>
              <w:rPr>
                <w:rFonts w:ascii="方正书宋_GBK" w:eastAsia="方正书宋_GBK"/>
              </w:rPr>
              <w:t>13</w:t>
            </w:r>
            <w:r>
              <w:rPr>
                <w:rFonts w:hint="eastAsia" w:ascii="方正书宋_GBK" w:eastAsia="方正书宋_GBK"/>
              </w:rPr>
              <w:t>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达到机关节水标准</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年节水量达到</w:t>
            </w:r>
            <w:r>
              <w:rPr>
                <w:rFonts w:ascii="方正书宋_GBK" w:eastAsia="方正书宋_GBK"/>
              </w:rPr>
              <w:t>1000</w:t>
            </w:r>
            <w:r>
              <w:rPr>
                <w:rFonts w:hint="eastAsia" w:ascii="方正书宋_GBK" w:eastAsia="方正书宋_GBK"/>
              </w:rPr>
              <w:t>立方米</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冀水节【</w:t>
            </w:r>
            <w:r>
              <w:rPr>
                <w:rFonts w:ascii="方正书宋_GBK" w:eastAsia="方正书宋_GBK"/>
              </w:rPr>
              <w:t>2019</w:t>
            </w:r>
            <w:r>
              <w:rPr>
                <w:rFonts w:hint="eastAsia" w:ascii="方正书宋_GBK" w:eastAsia="方正书宋_GBK"/>
              </w:rPr>
              <w:t>】</w:t>
            </w:r>
            <w:r>
              <w:rPr>
                <w:rFonts w:ascii="方正书宋_GBK" w:eastAsia="方正书宋_GBK"/>
              </w:rPr>
              <w:t>13</w:t>
            </w:r>
            <w:r>
              <w:rPr>
                <w:rFonts w:hint="eastAsia" w:ascii="方正书宋_GBK" w:eastAsia="方正书宋_GBK"/>
              </w:rPr>
              <w:t>号</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15、兴安明渠打井绩效目标表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8" w:name="_Toc29737545"/>
      <w:r>
        <w:rPr>
          <w:rFonts w:hint="eastAsia" w:ascii="方正仿宋_GBK" w:eastAsia="方正仿宋_GBK"/>
          <w:b/>
          <w:sz w:val="28"/>
        </w:rPr>
        <w:instrText xml:space="preserve">15、兴安明渠打井绩效目标表</w:instrText>
      </w:r>
      <w:bookmarkEnd w:id="18"/>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332002</w:t>
            </w:r>
            <w:r>
              <w:rPr>
                <w:rFonts w:hint="eastAsia" w:ascii="方正书宋_GBK" w:eastAsia="方正书宋_GBK"/>
                <w:b/>
              </w:rPr>
              <w:t>石家庄市藁城区水利局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332-0404-YBN-ZMDM</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兴安明渠打井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52.64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52.64</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用于兴安镇</w:t>
            </w:r>
            <w:r>
              <w:rPr>
                <w:rFonts w:ascii="方正书宋_GBK" w:eastAsia="方正书宋_GBK"/>
              </w:rPr>
              <w:t>5</w:t>
            </w:r>
            <w:r>
              <w:rPr>
                <w:rFonts w:hint="eastAsia" w:ascii="方正书宋_GBK" w:eastAsia="方正书宋_GBK"/>
              </w:rPr>
              <w:t>个村</w:t>
            </w:r>
            <w:r>
              <w:rPr>
                <w:rFonts w:ascii="方正书宋_GBK" w:eastAsia="方正书宋_GBK"/>
              </w:rPr>
              <w:t>31</w:t>
            </w:r>
            <w:r>
              <w:rPr>
                <w:rFonts w:hint="eastAsia" w:ascii="方正书宋_GBK" w:eastAsia="方正书宋_GBK"/>
              </w:rPr>
              <w:t>眼井的工程费。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、按时完成</w:t>
            </w:r>
            <w:r>
              <w:rPr>
                <w:rFonts w:ascii="方正书宋_GBK" w:eastAsia="方正书宋_GBK"/>
              </w:rPr>
              <w:t>31</w:t>
            </w:r>
            <w:r>
              <w:rPr>
                <w:rFonts w:hint="eastAsia" w:ascii="方正书宋_GBK" w:eastAsia="方正书宋_GBK"/>
              </w:rPr>
              <w:t>眼井成井</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、解决当地农民浇地难状况</w:t>
            </w:r>
          </w:p>
        </w:tc>
      </w:tr>
    </w:tbl>
    <w:p>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打井数量</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完成打井</w:t>
            </w:r>
            <w:r>
              <w:rPr>
                <w:rFonts w:ascii="方正书宋_GBK" w:eastAsia="方正书宋_GBK"/>
              </w:rPr>
              <w:t>31</w:t>
            </w:r>
            <w:r>
              <w:rPr>
                <w:rFonts w:hint="eastAsia" w:ascii="方正书宋_GBK" w:eastAsia="方正书宋_GBK"/>
              </w:rPr>
              <w:t>眼</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31</w:t>
            </w:r>
            <w:r>
              <w:rPr>
                <w:rFonts w:hint="eastAsia" w:ascii="方正书宋_GBK" w:eastAsia="方正书宋_GBK"/>
              </w:rPr>
              <w:t>完成打井</w:t>
            </w:r>
            <w:r>
              <w:rPr>
                <w:rFonts w:ascii="方正书宋_GBK" w:eastAsia="方正书宋_GBK"/>
              </w:rPr>
              <w:t>31</w:t>
            </w:r>
            <w:r>
              <w:rPr>
                <w:rFonts w:hint="eastAsia" w:ascii="方正书宋_GBK" w:eastAsia="方正书宋_GBK"/>
              </w:rPr>
              <w:t>眼</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质量指标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成井合格率</w:t>
            </w:r>
          </w:p>
        </w:tc>
        <w:tc>
          <w:tcPr>
            <w:tcW w:w="2891" w:type="dxa"/>
            <w:shd w:val="clear" w:color="auto" w:fill="auto"/>
            <w:vAlign w:val="center"/>
          </w:tcPr>
          <w:p>
            <w:pPr>
              <w:spacing w:line="300" w:lineRule="exact"/>
              <w:jc w:val="left"/>
              <w:rPr>
                <w:rFonts w:ascii="方正书宋_GBK" w:eastAsia="方正书宋_GBK"/>
              </w:rPr>
            </w:pPr>
            <w:r>
              <w:rPr>
                <w:rFonts w:ascii="方正书宋_GBK" w:eastAsia="方正书宋_GBK"/>
              </w:rPr>
              <w:t>31</w:t>
            </w:r>
            <w:r>
              <w:rPr>
                <w:rFonts w:hint="eastAsia" w:ascii="方正书宋_GBK" w:eastAsia="方正书宋_GBK"/>
              </w:rPr>
              <w:t>眼井全部合格</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成井合格率</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社会稳定水平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通过打井解决当地群众浇地难状况</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解决群众浇地难状况，维护社会稳定</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16、周汉河汪洋沟长期占地绩效目标表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19" w:name="_Toc29737546"/>
      <w:r>
        <w:rPr>
          <w:rFonts w:hint="eastAsia" w:ascii="方正仿宋_GBK" w:eastAsia="方正仿宋_GBK"/>
          <w:b/>
          <w:sz w:val="28"/>
        </w:rPr>
        <w:instrText xml:space="preserve">16、周汉河汪洋沟长期占地绩效目标表</w:instrText>
      </w:r>
      <w:bookmarkEnd w:id="19"/>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332002</w:t>
            </w:r>
            <w:r>
              <w:rPr>
                <w:rFonts w:hint="eastAsia" w:ascii="方正书宋_GBK" w:eastAsia="方正书宋_GBK"/>
                <w:b/>
              </w:rPr>
              <w:t>石家庄市藁城区水利局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332-0401-JBN-UH2T</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周汉河汪洋沟长期占地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73.64</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73.64</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用于汪洋沟、周汉河占用南营、梅花、贾市庄、九门</w:t>
            </w:r>
            <w:r>
              <w:rPr>
                <w:rFonts w:ascii="方正书宋_GBK" w:eastAsia="方正书宋_GBK"/>
              </w:rPr>
              <w:t>4</w:t>
            </w:r>
            <w:r>
              <w:rPr>
                <w:rFonts w:hint="eastAsia" w:ascii="方正书宋_GBK" w:eastAsia="方正书宋_GBK"/>
              </w:rPr>
              <w:t>个乡镇长期占地赔偿。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、完成汪洋沟长期占地赔偿。</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、完成周汉河长期占地赔偿。</w:t>
            </w:r>
          </w:p>
        </w:tc>
      </w:tr>
    </w:tbl>
    <w:p>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资金赔付率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赔付资金占全部资金的比率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资金全部赔付到位</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排涝标准合格率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达到设计排涝标准合格率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不低于设计排涝标准合格率的</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群众对工程的整体满意度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群众对工程的整体满意度不低于</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17、滹沱河生态修复工程岗上镇承包形式占地租金绩效目标表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0" w:name="_Toc29737547"/>
      <w:r>
        <w:rPr>
          <w:rFonts w:hint="eastAsia" w:ascii="方正仿宋_GBK" w:eastAsia="方正仿宋_GBK"/>
          <w:b/>
          <w:sz w:val="28"/>
        </w:rPr>
        <w:instrText xml:space="preserve">17、滹沱河生态修复工程岗上镇承包形式占地租金绩效目标表</w:instrText>
      </w:r>
      <w:bookmarkEnd w:id="20"/>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332002</w:t>
            </w:r>
            <w:r>
              <w:rPr>
                <w:rFonts w:hint="eastAsia" w:ascii="方正书宋_GBK" w:eastAsia="方正书宋_GBK"/>
                <w:b/>
              </w:rPr>
              <w:t>石家庄市藁城区水利局</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332-0202-JBN-0RZM</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滹沱河生态修复工程岗上镇承包形式占地租金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50.16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50.16</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用于支付滹沱河生态修复一期工程占用岗上土地</w:t>
            </w:r>
            <w:r>
              <w:rPr>
                <w:rFonts w:ascii="方正书宋_GBK" w:eastAsia="方正书宋_GBK"/>
              </w:rPr>
              <w:t>627</w:t>
            </w:r>
            <w:r>
              <w:rPr>
                <w:rFonts w:hint="eastAsia" w:ascii="方正书宋_GBK" w:eastAsia="方正书宋_GBK"/>
              </w:rPr>
              <w:t>亩，每年每亩超付上级租金标准</w:t>
            </w:r>
            <w:r>
              <w:rPr>
                <w:rFonts w:ascii="方正书宋_GBK" w:eastAsia="方正书宋_GBK"/>
              </w:rPr>
              <w:t>800</w:t>
            </w:r>
            <w:r>
              <w:rPr>
                <w:rFonts w:hint="eastAsia" w:ascii="方正书宋_GBK" w:eastAsia="方正书宋_GBK"/>
              </w:rPr>
              <w:t>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、保证生态修复工程顺利实施</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、保证河道生态环境得到显著提升</w:t>
            </w:r>
          </w:p>
        </w:tc>
      </w:tr>
    </w:tbl>
    <w:p>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绿化率</w:t>
            </w:r>
          </w:p>
        </w:tc>
        <w:tc>
          <w:tcPr>
            <w:tcW w:w="2891" w:type="dxa"/>
            <w:shd w:val="clear" w:color="auto" w:fill="auto"/>
            <w:vAlign w:val="center"/>
          </w:tcPr>
          <w:p>
            <w:pPr>
              <w:spacing w:line="300" w:lineRule="exact"/>
              <w:jc w:val="left"/>
              <w:rPr>
                <w:rFonts w:ascii="方正书宋_GBK" w:eastAsia="方正书宋_GBK"/>
              </w:rPr>
            </w:pPr>
          </w:p>
          <w:p>
            <w:pPr>
              <w:spacing w:line="300" w:lineRule="exact"/>
              <w:jc w:val="left"/>
              <w:rPr>
                <w:rFonts w:ascii="方正书宋_GBK" w:eastAsia="方正书宋_GBK"/>
              </w:rPr>
            </w:pPr>
            <w:r>
              <w:rPr>
                <w:rFonts w:hint="eastAsia" w:ascii="方正书宋_GBK" w:eastAsia="方正书宋_GBK"/>
              </w:rPr>
              <w:t>绿化占征用土地的比率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河道绿化率不低于征地的</w:t>
            </w:r>
            <w:r>
              <w:rPr>
                <w:rFonts w:ascii="方正书宋_GBK" w:eastAsia="方正书宋_GBK"/>
              </w:rPr>
              <w:t>90%</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补贴发放率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补贴发放占应发放比例</w:t>
            </w:r>
          </w:p>
        </w:tc>
        <w:tc>
          <w:tcPr>
            <w:tcW w:w="1276" w:type="dxa"/>
            <w:shd w:val="clear" w:color="auto" w:fill="auto"/>
            <w:vAlign w:val="center"/>
          </w:tcPr>
          <w:p>
            <w:pPr>
              <w:spacing w:line="300" w:lineRule="exact"/>
              <w:jc w:val="left"/>
              <w:rPr>
                <w:rFonts w:hint="eastAsia" w:ascii="方正书宋_GBK" w:eastAsia="方正书宋_GBK"/>
              </w:rPr>
            </w:pPr>
            <w:r>
              <w:rPr>
                <w:rFonts w:ascii="方正书宋_GBK" w:eastAsia="方正书宋_GBK"/>
              </w:rPr>
              <w:t>100</w:t>
            </w:r>
            <w:r>
              <w:rPr>
                <w:rFonts w:hint="eastAsia" w:ascii="方正书宋_GBK" w:eastAsia="方正书宋_GBK"/>
              </w:rPr>
              <w:t>占地户补贴全部到位</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群众对生态环境满意度</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调查问卷满意度不低于</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18、河道办工作经费绩效目标表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1" w:name="_Toc29737548"/>
      <w:r>
        <w:rPr>
          <w:rFonts w:hint="eastAsia" w:ascii="方正仿宋_GBK" w:eastAsia="方正仿宋_GBK"/>
          <w:b/>
          <w:sz w:val="28"/>
        </w:rPr>
        <w:instrText xml:space="preserve">18、河道办工作经费绩效目标表</w:instrText>
      </w:r>
      <w:bookmarkEnd w:id="21"/>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332003</w:t>
            </w:r>
            <w:r>
              <w:rPr>
                <w:rFonts w:hint="eastAsia" w:ascii="方正书宋_GBK" w:eastAsia="方正书宋_GBK"/>
                <w:b/>
              </w:rPr>
              <w:t>石家庄市藁城区河道管理中心</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332-0401-JCN-G8CG</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河道办工作经费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8.46</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8.46</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保证河道管理中心正常运行。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、保证河道管理中心正常运</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、保证服务群众满意</w:t>
            </w:r>
          </w:p>
        </w:tc>
      </w:tr>
    </w:tbl>
    <w:p>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资金支出率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按时按进度支付各项费用</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资金支付率达到</w:t>
            </w:r>
            <w:r>
              <w:rPr>
                <w:rFonts w:ascii="方正书宋_GBK" w:eastAsia="方正书宋_GBK"/>
              </w:rPr>
              <w:t>100%</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按要求及时支付各项费用</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及时支付各项费用</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群众满意度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群众满意数量占总数的比例。</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群众对工作态度满意度不低于</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19、河道人员工资绩效目标表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2" w:name="_Toc29737549"/>
      <w:r>
        <w:rPr>
          <w:rFonts w:hint="eastAsia" w:ascii="方正仿宋_GBK" w:eastAsia="方正仿宋_GBK"/>
          <w:b/>
          <w:sz w:val="28"/>
        </w:rPr>
        <w:instrText xml:space="preserve">19、河道人员工资绩效目标表</w:instrText>
      </w:r>
      <w:bookmarkEnd w:id="22"/>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332003</w:t>
            </w:r>
            <w:r>
              <w:rPr>
                <w:rFonts w:hint="eastAsia" w:ascii="方正书宋_GBK" w:eastAsia="方正书宋_GBK"/>
                <w:b/>
              </w:rPr>
              <w:t>石家庄市藁城区河道管理中心</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332-0401-JBN-2WV3</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河道人员工资</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98.62</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98.62</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用于发放河道人员工资及上交五险一金。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19.00</w:t>
            </w: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38.00</w:t>
            </w: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57.00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、按时发放工资，及时上交五险一金</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、保证不出现不安定因素</w:t>
            </w:r>
          </w:p>
        </w:tc>
      </w:tr>
    </w:tbl>
    <w:p>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工资发放</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按时发放人员工资</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0</w:t>
            </w:r>
            <w:r>
              <w:rPr>
                <w:rFonts w:hint="eastAsia" w:ascii="方正书宋_GBK" w:eastAsia="方正书宋_GBK"/>
              </w:rPr>
              <w:t>保证按时发放工资，及时上交五险一金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效果指标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社会效益指标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社会稳定水平</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保证不出现不安定因素</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保证不出现不安定因素</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河道人员满意度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对工资发放及时率调查</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100</w:t>
            </w:r>
            <w:r>
              <w:rPr>
                <w:rFonts w:hint="eastAsia" w:ascii="方正书宋_GBK" w:eastAsia="方正书宋_GBK"/>
              </w:rPr>
              <w:t>工资发放及时</w:t>
            </w:r>
          </w:p>
        </w:tc>
        <w:tc>
          <w:tcPr>
            <w:tcW w:w="1701" w:type="dxa"/>
            <w:shd w:val="clear" w:color="auto" w:fill="auto"/>
            <w:vAlign w:val="center"/>
          </w:tcPr>
          <w:p>
            <w:pPr>
              <w:spacing w:line="300" w:lineRule="exact"/>
              <w:jc w:val="left"/>
              <w:rPr>
                <w:rFonts w:ascii="方正书宋_GBK" w:eastAsia="方正书宋_GBK"/>
              </w:rPr>
            </w:pP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20、办公设备购置绩效目标表</w:t>
      </w:r>
      <w:r>
        <w:fldChar w:fldCharType="begin"/>
      </w:r>
      <w:r>
        <w:rPr>
          <w:rFonts w:ascii="方正仿宋_GBK" w:eastAsia="方正仿宋_GBK"/>
          <w:b/>
          <w:sz w:val="28"/>
        </w:rPr>
        <w:instrText xml:space="preserve"> </w:instrText>
      </w:r>
      <w:r>
        <w:rPr>
          <w:rFonts w:hint="eastAsia" w:ascii="方正仿宋_GBK" w:eastAsia="方正仿宋_GBK"/>
          <w:b/>
          <w:sz w:val="28"/>
        </w:rPr>
        <w:instrText xml:space="preserve">TC </w:instrText>
      </w:r>
      <w:bookmarkStart w:id="23" w:name="_Toc29737550"/>
      <w:r>
        <w:rPr>
          <w:rFonts w:hint="eastAsia" w:ascii="方正仿宋_GBK" w:eastAsia="方正仿宋_GBK"/>
          <w:b/>
          <w:sz w:val="28"/>
        </w:rPr>
        <w:instrText xml:space="preserve">20、办公设备购置绩效目标表</w:instrText>
      </w:r>
      <w:bookmarkEnd w:id="23"/>
      <w:r>
        <w:rPr>
          <w:rFonts w:hint="eastAsia" w:ascii="方正仿宋_GBK" w:eastAsia="方正仿宋_GBK"/>
          <w:b/>
          <w:sz w:val="28"/>
        </w:rPr>
        <w:instrText xml:space="preserve"> \f C \l 1</w:instrText>
      </w:r>
      <w:r>
        <w:rPr>
          <w:rFonts w:ascii="方正仿宋_GBK" w:eastAsia="方正仿宋_GBK"/>
          <w:b/>
          <w:sz w:val="28"/>
        </w:rPr>
        <w:instrText xml:space="preserve"> </w:instrText>
      </w:r>
      <w:r>
        <w:rPr>
          <w:rFonts w:ascii="方正仿宋_GBK" w:eastAsia="方正仿宋_GBK"/>
          <w:b/>
          <w:sz w:val="28"/>
        </w:rPr>
        <w:fldChar w:fldCharType="end"/>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书宋_GBK" w:eastAsia="方正书宋_GBK"/>
                <w:b/>
              </w:rPr>
            </w:pPr>
            <w:r>
              <w:rPr>
                <w:rFonts w:ascii="方正书宋_GBK" w:eastAsia="方正书宋_GBK"/>
                <w:b/>
              </w:rPr>
              <w:t>332006</w:t>
            </w:r>
            <w:r>
              <w:rPr>
                <w:rFonts w:hint="eastAsia" w:ascii="方正书宋_GBK" w:eastAsia="方正书宋_GBK"/>
                <w:b/>
              </w:rPr>
              <w:t>石家庄市藁城区水政监察大队</w:t>
            </w:r>
          </w:p>
        </w:tc>
        <w:tc>
          <w:tcPr>
            <w:tcW w:w="1701" w:type="dxa"/>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vAlign w:val="center"/>
          </w:tcPr>
          <w:p>
            <w:pPr>
              <w:spacing w:line="300" w:lineRule="exact"/>
              <w:jc w:val="left"/>
              <w:rPr>
                <w:rFonts w:ascii="方正书宋_GBK" w:eastAsia="方正书宋_GBK"/>
              </w:rPr>
            </w:pPr>
            <w:r>
              <w:rPr>
                <w:rFonts w:ascii="方正书宋_GBK" w:eastAsia="方正书宋_GBK"/>
              </w:rPr>
              <w:t>332-0801-YBN-GEKS</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vAlign w:val="center"/>
          </w:tcPr>
          <w:p>
            <w:pPr>
              <w:spacing w:line="300" w:lineRule="exact"/>
              <w:jc w:val="left"/>
              <w:rPr>
                <w:rFonts w:ascii="方正书宋_GBK" w:eastAsia="方正书宋_GBK"/>
              </w:rPr>
            </w:pPr>
            <w:r>
              <w:rPr>
                <w:rFonts w:hint="eastAsia" w:ascii="方正书宋_GBK" w:eastAsia="方正书宋_GBK"/>
              </w:rPr>
              <w:t>办公设备购置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vAlign w:val="center"/>
          </w:tcPr>
          <w:p>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shd w:val="clear" w:color="auto" w:fill="auto"/>
            <w:vAlign w:val="center"/>
          </w:tcPr>
          <w:p>
            <w:pPr>
              <w:spacing w:line="300" w:lineRule="exact"/>
              <w:jc w:val="left"/>
              <w:outlineLvl w:val="1"/>
            </w:pPr>
          </w:p>
        </w:tc>
        <w:tc>
          <w:tcPr>
            <w:tcW w:w="8278" w:type="dxa"/>
            <w:gridSpan w:val="6"/>
            <w:shd w:val="clear" w:color="auto" w:fill="auto"/>
            <w:vAlign w:val="center"/>
          </w:tcPr>
          <w:p>
            <w:pPr>
              <w:spacing w:line="300" w:lineRule="exact"/>
              <w:jc w:val="left"/>
              <w:rPr>
                <w:rFonts w:ascii="方正书宋_GBK" w:eastAsia="方正书宋_GBK"/>
              </w:rPr>
            </w:pPr>
            <w:r>
              <w:rPr>
                <w:rFonts w:hint="eastAsia" w:ascii="方正书宋_GBK" w:eastAsia="方正书宋_GBK"/>
              </w:rPr>
              <w:t>用于办公设备购置等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vAlign w:val="center"/>
          </w:tcPr>
          <w:p>
            <w:pPr>
              <w:spacing w:line="300" w:lineRule="exact"/>
              <w:jc w:val="left"/>
              <w:outlineLvl w:val="1"/>
            </w:pPr>
          </w:p>
        </w:tc>
        <w:tc>
          <w:tcPr>
            <w:tcW w:w="2410"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587" w:type="dxa"/>
            <w:tcBorders>
              <w:bottom w:val="single" w:color="000000" w:sz="6" w:space="0"/>
            </w:tcBorders>
            <w:shd w:val="clear" w:color="auto" w:fill="auto"/>
            <w:vAlign w:val="center"/>
          </w:tcPr>
          <w:p>
            <w:pPr>
              <w:spacing w:line="300" w:lineRule="exact"/>
              <w:jc w:val="center"/>
              <w:rPr>
                <w:rFonts w:ascii="方正书宋_GBK" w:eastAsia="方正书宋_GBK"/>
              </w:rPr>
            </w:pPr>
          </w:p>
        </w:tc>
        <w:tc>
          <w:tcPr>
            <w:tcW w:w="1304" w:type="dxa"/>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c>
          <w:tcPr>
            <w:tcW w:w="2977" w:type="dxa"/>
            <w:gridSpan w:val="2"/>
            <w:tcBorders>
              <w:bottom w:val="single" w:color="000000" w:sz="6" w:space="0"/>
            </w:tcBorders>
            <w:shd w:val="clear" w:color="auto" w:fill="auto"/>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、保证日常办公正常运行</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、保证折法工作有序运行</w:t>
            </w:r>
          </w:p>
        </w:tc>
      </w:tr>
    </w:tbl>
    <w:p>
      <w:pPr>
        <w:spacing w:line="14" w:lineRule="exact"/>
        <w:ind w:firstLine="420" w:firstLineChars="200"/>
        <w:jc w:val="center"/>
        <w:rPr>
          <w:rFonts w:hAnsi="宋体"/>
        </w:rPr>
      </w:pPr>
      <w:r>
        <w:rPr>
          <w:rFonts w:ascii="方正书宋_GBK" w:eastAsia="方正书宋_GBK"/>
        </w:rPr>
        <w:t xml:space="preserve"> </w:t>
      </w:r>
    </w:p>
    <w:tbl>
      <w:tblPr>
        <w:tblStyle w:val="9"/>
        <w:tblW w:w="941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97" w:hRule="atLeast"/>
          <w:tblHeader/>
          <w:jc w:val="center"/>
        </w:trPr>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shd w:val="clear" w:color="auto" w:fill="auto"/>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完成率</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保证办案结案完成率</w:t>
            </w:r>
          </w:p>
        </w:tc>
        <w:tc>
          <w:tcPr>
            <w:tcW w:w="1276"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保证办案结案完成率不低于</w:t>
            </w:r>
            <w:r>
              <w:rPr>
                <w:rFonts w:ascii="方正书宋_GBK" w:eastAsia="方正书宋_GBK"/>
              </w:rPr>
              <w:t>95%</w:t>
            </w:r>
          </w:p>
        </w:tc>
        <w:tc>
          <w:tcPr>
            <w:tcW w:w="170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restart"/>
            <w:shd w:val="clear" w:color="auto" w:fill="auto"/>
            <w:vAlign w:val="center"/>
          </w:tcPr>
          <w:p>
            <w:pPr>
              <w:spacing w:line="300" w:lineRule="exact"/>
              <w:jc w:val="center"/>
              <w:rPr>
                <w:rFonts w:hint="eastAsia" w:ascii="方正书宋_GBK" w:eastAsia="方正书宋_GBK"/>
              </w:rPr>
            </w:pPr>
            <w:r>
              <w:rPr>
                <w:rFonts w:hint="eastAsia" w:ascii="方正书宋_GBK" w:eastAsia="方正书宋_GBK"/>
              </w:rPr>
              <w:t>满意度指标</w:t>
            </w: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群众对滹沱河生态环境满意度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调查周边群众对滹沱河生态环境满意度不低于</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领导批示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9" w:hRule="atLeast"/>
          <w:jc w:val="center"/>
        </w:trPr>
        <w:tc>
          <w:tcPr>
            <w:tcW w:w="1134" w:type="dxa"/>
            <w:vMerge w:val="continue"/>
            <w:shd w:val="clear" w:color="auto" w:fill="auto"/>
            <w:vAlign w:val="center"/>
          </w:tcPr>
          <w:p>
            <w:pPr>
              <w:spacing w:line="300" w:lineRule="exact"/>
              <w:jc w:val="center"/>
              <w:rPr>
                <w:rFonts w:hint="eastAsia" w:ascii="方正书宋_GBK" w:eastAsia="方正书宋_GBK"/>
              </w:rPr>
            </w:pPr>
          </w:p>
        </w:tc>
        <w:tc>
          <w:tcPr>
            <w:tcW w:w="1134"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服务对象满意度指标</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服务对象满意度</w:t>
            </w:r>
          </w:p>
        </w:tc>
        <w:tc>
          <w:tcPr>
            <w:tcW w:w="2891" w:type="dxa"/>
            <w:shd w:val="clear" w:color="auto" w:fill="auto"/>
            <w:vAlign w:val="center"/>
          </w:tcPr>
          <w:p>
            <w:pPr>
              <w:spacing w:line="300" w:lineRule="exact"/>
              <w:jc w:val="left"/>
              <w:rPr>
                <w:rFonts w:ascii="方正书宋_GBK" w:eastAsia="方正书宋_GBK"/>
              </w:rPr>
            </w:pPr>
            <w:r>
              <w:rPr>
                <w:rFonts w:hint="eastAsia" w:ascii="方正书宋_GBK" w:eastAsia="方正书宋_GBK"/>
              </w:rPr>
              <w:t>群众对执法效率满意度</w:t>
            </w:r>
          </w:p>
        </w:tc>
        <w:tc>
          <w:tcPr>
            <w:tcW w:w="1276"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w:t>
            </w:r>
            <w:r>
              <w:rPr>
                <w:rFonts w:ascii="方正书宋_GBK" w:eastAsia="方正书宋_GBK"/>
              </w:rPr>
              <w:t>95</w:t>
            </w:r>
            <w:r>
              <w:rPr>
                <w:rFonts w:hint="eastAsia" w:ascii="方正书宋_GBK" w:eastAsia="方正书宋_GBK"/>
              </w:rPr>
              <w:t>群众对执法效率满意度不低于</w:t>
            </w:r>
            <w:r>
              <w:rPr>
                <w:rFonts w:ascii="方正书宋_GBK" w:eastAsia="方正书宋_GBK"/>
              </w:rPr>
              <w:t>95%</w:t>
            </w:r>
          </w:p>
        </w:tc>
        <w:tc>
          <w:tcPr>
            <w:tcW w:w="1701" w:type="dxa"/>
            <w:shd w:val="clear" w:color="auto" w:fill="auto"/>
            <w:vAlign w:val="center"/>
          </w:tcPr>
          <w:p>
            <w:pPr>
              <w:spacing w:line="300" w:lineRule="exact"/>
              <w:jc w:val="left"/>
              <w:rPr>
                <w:rFonts w:hint="eastAsia" w:ascii="方正书宋_GBK" w:eastAsia="方正书宋_GBK"/>
              </w:rPr>
            </w:pPr>
            <w:r>
              <w:rPr>
                <w:rFonts w:hint="eastAsia" w:ascii="方正书宋_GBK" w:eastAsia="方正书宋_GBK"/>
              </w:rPr>
              <w:t>领导批示</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autoSpaceDE w:val="0"/>
        <w:autoSpaceDN w:val="0"/>
        <w:adjustRightInd w:val="0"/>
        <w:jc w:val="left"/>
        <w:rPr>
          <w:rFonts w:ascii="Times New Roman" w:hAnsi="Times New Roman" w:eastAsia="方正仿宋_GBK" w:cs="Times New Roman"/>
          <w:b/>
          <w:sz w:val="32"/>
          <w:szCs w:val="32"/>
        </w:rPr>
      </w:pPr>
    </w:p>
    <w:bookmarkEnd w:id="0"/>
    <w:p>
      <w:pPr>
        <w:numPr>
          <w:ilvl w:val="0"/>
          <w:numId w:val="0"/>
        </w:numPr>
        <w:autoSpaceDE w:val="0"/>
        <w:autoSpaceDN w:val="0"/>
        <w:adjustRightInd w:val="0"/>
        <w:ind w:leftChars="200" w:firstLine="320" w:firstLineChars="100"/>
        <w:jc w:val="left"/>
        <w:rPr>
          <w:rFonts w:ascii="黑体" w:hAnsi="黑体" w:eastAsia="黑体" w:cs="Times New Roman"/>
          <w:sz w:val="32"/>
          <w:szCs w:val="32"/>
        </w:rPr>
      </w:pPr>
      <w:r>
        <w:rPr>
          <w:rFonts w:hint="eastAsia" w:ascii="黑体" w:hAnsi="黑体" w:eastAsia="黑体" w:cs="Times New Roman"/>
          <w:sz w:val="32"/>
          <w:szCs w:val="32"/>
          <w:lang w:val="en-US" w:eastAsia="zh-CN"/>
        </w:rPr>
        <w:t>六、</w:t>
      </w:r>
      <w:r>
        <w:rPr>
          <w:rFonts w:hint="eastAsia" w:ascii="黑体" w:hAnsi="黑体" w:eastAsia="黑体" w:cs="Times New Roman"/>
          <w:sz w:val="32"/>
          <w:szCs w:val="32"/>
        </w:rPr>
        <w:t>政府采购预算情况</w:t>
      </w:r>
    </w:p>
    <w:p>
      <w:pPr>
        <w:ind w:firstLine="640" w:firstLineChars="200"/>
        <w:outlineLvl w:val="0"/>
        <w:rPr>
          <w:rFonts w:ascii="Times New Roman" w:hAnsi="Times New Roman" w:eastAsia="仿宋" w:cs="Times New Roman"/>
          <w:sz w:val="32"/>
          <w:szCs w:val="24"/>
        </w:rPr>
      </w:pPr>
      <w:bookmarkStart w:id="24" w:name="_Toc471398468"/>
      <w:r>
        <w:rPr>
          <w:rFonts w:ascii="Times New Roman" w:hAnsi="Times New Roman" w:eastAsia="仿宋" w:cs="Times New Roman"/>
          <w:sz w:val="32"/>
          <w:szCs w:val="24"/>
        </w:rPr>
        <w:t xml:space="preserve"> 20</w:t>
      </w:r>
      <w:r>
        <w:rPr>
          <w:rFonts w:hint="eastAsia" w:ascii="Times New Roman" w:hAnsi="Times New Roman" w:eastAsia="仿宋" w:cs="Times New Roman"/>
          <w:sz w:val="32"/>
          <w:szCs w:val="24"/>
        </w:rPr>
        <w:t>20</w:t>
      </w:r>
      <w:r>
        <w:rPr>
          <w:rFonts w:ascii="Times New Roman" w:hAnsi="Times New Roman" w:eastAsia="仿宋" w:cs="Times New Roman"/>
          <w:sz w:val="32"/>
          <w:szCs w:val="24"/>
        </w:rPr>
        <w:t>年，</w:t>
      </w:r>
      <w:r>
        <w:rPr>
          <w:rFonts w:hint="eastAsia" w:ascii="Times New Roman" w:hAnsi="Times New Roman" w:eastAsia="仿宋" w:cs="Times New Roman"/>
          <w:sz w:val="32"/>
          <w:szCs w:val="24"/>
        </w:rPr>
        <w:t>我部门</w:t>
      </w:r>
      <w:r>
        <w:rPr>
          <w:rFonts w:ascii="Times New Roman" w:hAnsi="Times New Roman" w:eastAsia="仿宋" w:cs="Times New Roman"/>
          <w:sz w:val="32"/>
          <w:szCs w:val="24"/>
        </w:rPr>
        <w:t>安排政府采购预算</w:t>
      </w:r>
      <w:r>
        <w:rPr>
          <w:rFonts w:hint="eastAsia" w:ascii="Times New Roman" w:hAnsi="Times New Roman" w:eastAsia="仿宋" w:cs="Times New Roman"/>
          <w:sz w:val="32"/>
          <w:szCs w:val="24"/>
        </w:rPr>
        <w:t xml:space="preserve">187 </w:t>
      </w:r>
      <w:r>
        <w:rPr>
          <w:rFonts w:ascii="Times New Roman" w:hAnsi="Times New Roman" w:eastAsia="仿宋" w:cs="Times New Roman"/>
          <w:sz w:val="32"/>
          <w:szCs w:val="24"/>
        </w:rPr>
        <w:t>万元。具体内容见下表。</w:t>
      </w:r>
      <w:bookmarkEnd w:id="24"/>
    </w:p>
    <w:p>
      <w:pPr>
        <w:ind w:firstLine="640" w:firstLineChars="200"/>
        <w:jc w:val="center"/>
        <w:outlineLvl w:val="0"/>
        <w:rPr>
          <w:rFonts w:ascii="Times New Roman" w:hAnsi="宋体"/>
          <w:sz w:val="32"/>
        </w:rPr>
      </w:pPr>
      <w:r>
        <w:rPr>
          <w:rFonts w:hint="eastAsia" w:ascii="方正小标宋_GBK" w:eastAsia="方正小标宋_GBK"/>
          <w:sz w:val="32"/>
        </w:rPr>
        <w:t>部门政府采购预算</w:t>
      </w:r>
      <w:r>
        <w:fldChar w:fldCharType="begin"/>
      </w:r>
      <w:r>
        <w:rPr>
          <w:rFonts w:ascii="方正小标宋_GBK" w:eastAsia="方正小标宋_GBK"/>
          <w:sz w:val="32"/>
        </w:rPr>
        <w:instrText xml:space="preserve"> </w:instrText>
      </w:r>
      <w:r>
        <w:rPr>
          <w:rFonts w:hint="eastAsia" w:ascii="方正小标宋_GBK" w:eastAsia="方正小标宋_GBK"/>
          <w:sz w:val="32"/>
        </w:rPr>
        <w:instrText xml:space="preserve">TC </w:instrText>
      </w:r>
      <w:bookmarkStart w:id="25" w:name="_Toc28848395"/>
      <w:r>
        <w:rPr>
          <w:rFonts w:hint="eastAsia" w:ascii="方正小标宋_GBK" w:eastAsia="方正小标宋_GBK"/>
          <w:sz w:val="32"/>
        </w:rPr>
        <w:instrText xml:space="preserve">部门政府采购预算</w:instrText>
      </w:r>
      <w:bookmarkEnd w:id="25"/>
      <w:r>
        <w:rPr>
          <w:rFonts w:hint="eastAsia" w:ascii="方正小标宋_GBK" w:eastAsia="方正小标宋_GBK"/>
          <w:sz w:val="32"/>
        </w:rPr>
        <w:instrText xml:space="preserve"> \f A \l 1</w:instrText>
      </w:r>
      <w:r>
        <w:rPr>
          <w:rFonts w:ascii="方正小标宋_GBK" w:eastAsia="方正小标宋_GBK"/>
          <w:sz w:val="32"/>
        </w:rPr>
        <w:instrText xml:space="preserve"> </w:instrText>
      </w:r>
      <w:r>
        <w:rPr>
          <w:rFonts w:ascii="方正小标宋_GBK" w:eastAsia="方正小标宋_GBK"/>
          <w:sz w:val="32"/>
        </w:rPr>
        <w:fldChar w:fldCharType="end"/>
      </w:r>
    </w:p>
    <w:tbl>
      <w:tblPr>
        <w:tblStyle w:val="9"/>
        <w:tblW w:w="937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855"/>
        <w:gridCol w:w="504"/>
        <w:gridCol w:w="1023"/>
        <w:gridCol w:w="995"/>
        <w:gridCol w:w="396"/>
        <w:gridCol w:w="641"/>
        <w:gridCol w:w="573"/>
        <w:gridCol w:w="503"/>
        <w:gridCol w:w="724"/>
        <w:gridCol w:w="450"/>
        <w:gridCol w:w="671"/>
        <w:gridCol w:w="501"/>
        <w:gridCol w:w="543"/>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24" w:hRule="atLeast"/>
          <w:tblHeader/>
          <w:jc w:val="center"/>
        </w:trPr>
        <w:tc>
          <w:tcPr>
            <w:tcW w:w="5987" w:type="dxa"/>
            <w:gridSpan w:val="7"/>
            <w:tcBorders>
              <w:top w:val="single" w:color="FFFFFF" w:sz="6" w:space="0"/>
              <w:left w:val="single" w:color="FFFFFF" w:sz="6" w:space="0"/>
              <w:right w:val="single" w:color="FFFFFF" w:sz="6" w:space="0"/>
            </w:tcBorders>
            <w:vAlign w:val="center"/>
          </w:tcPr>
          <w:p>
            <w:pPr>
              <w:spacing w:line="300" w:lineRule="exact"/>
              <w:jc w:val="left"/>
              <w:rPr>
                <w:rFonts w:ascii="方正小标宋_GBK" w:eastAsia="方正小标宋_GBK"/>
                <w:sz w:val="24"/>
              </w:rPr>
            </w:pPr>
            <w:r>
              <w:rPr>
                <w:rFonts w:hint="eastAsia" w:ascii="方正小标宋_GBK" w:eastAsia="方正小标宋_GBK"/>
                <w:sz w:val="24"/>
              </w:rPr>
              <w:t>332水利部门</w:t>
            </w:r>
          </w:p>
        </w:tc>
        <w:tc>
          <w:tcPr>
            <w:tcW w:w="3392" w:type="dxa"/>
            <w:gridSpan w:val="6"/>
            <w:tcBorders>
              <w:top w:val="single" w:color="FFFFFF" w:sz="6" w:space="0"/>
              <w:left w:val="single" w:color="FFFFFF" w:sz="6" w:space="0"/>
              <w:right w:val="single" w:color="FFFFFF" w:sz="6" w:space="0"/>
            </w:tcBorders>
            <w:vAlign w:val="center"/>
          </w:tcPr>
          <w:p>
            <w:pPr>
              <w:spacing w:line="300" w:lineRule="exact"/>
              <w:jc w:val="right"/>
              <w:rPr>
                <w:rFonts w:ascii="方正书宋_GBK" w:eastAsia="方正书宋_GBK"/>
                <w:sz w:val="24"/>
              </w:rPr>
            </w:pPr>
            <w:r>
              <w:rPr>
                <w:rFonts w:hint="eastAsia" w:ascii="方正书宋_GBK" w:eastAsia="方正书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619" w:hRule="atLeast"/>
          <w:tblHeader/>
          <w:jc w:val="center"/>
        </w:trPr>
        <w:tc>
          <w:tcPr>
            <w:tcW w:w="2359" w:type="dxa"/>
            <w:gridSpan w:val="2"/>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023" w:type="dxa"/>
            <w:vMerge w:val="restart"/>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995" w:type="dxa"/>
            <w:vMerge w:val="restart"/>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396" w:type="dxa"/>
            <w:vMerge w:val="restart"/>
            <w:vAlign w:val="center"/>
          </w:tcPr>
          <w:p>
            <w:pPr>
              <w:spacing w:line="300" w:lineRule="exact"/>
              <w:jc w:val="center"/>
              <w:rPr>
                <w:rFonts w:ascii="方正书宋_GBK" w:eastAsia="方正书宋_GBK"/>
                <w:b/>
              </w:rPr>
            </w:pPr>
            <w:r>
              <w:rPr>
                <w:rFonts w:hint="eastAsia" w:ascii="方正书宋_GBK" w:eastAsia="方正书宋_GBK"/>
                <w:b/>
              </w:rPr>
              <w:t>计量  单位</w:t>
            </w:r>
          </w:p>
        </w:tc>
        <w:tc>
          <w:tcPr>
            <w:tcW w:w="641" w:type="dxa"/>
            <w:vMerge w:val="restart"/>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573" w:type="dxa"/>
            <w:vMerge w:val="restart"/>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3392" w:type="dxa"/>
            <w:gridSpan w:val="6"/>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2387" w:hRule="atLeast"/>
          <w:tblHeader/>
          <w:jc w:val="center"/>
        </w:trPr>
        <w:tc>
          <w:tcPr>
            <w:tcW w:w="1855" w:type="dxa"/>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504" w:type="dxa"/>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023" w:type="dxa"/>
            <w:vMerge w:val="continue"/>
            <w:vAlign w:val="center"/>
          </w:tcPr>
          <w:p>
            <w:pPr>
              <w:spacing w:line="300" w:lineRule="exact"/>
              <w:jc w:val="left"/>
              <w:outlineLvl w:val="0"/>
              <w:rPr>
                <w:rFonts w:ascii="Times New Roman" w:eastAsia="方正仿宋_GBK"/>
                <w:sz w:val="28"/>
              </w:rPr>
            </w:pPr>
          </w:p>
        </w:tc>
        <w:tc>
          <w:tcPr>
            <w:tcW w:w="995" w:type="dxa"/>
            <w:vMerge w:val="continue"/>
            <w:vAlign w:val="center"/>
          </w:tcPr>
          <w:p>
            <w:pPr>
              <w:spacing w:line="300" w:lineRule="exact"/>
              <w:jc w:val="left"/>
              <w:outlineLvl w:val="0"/>
              <w:rPr>
                <w:rFonts w:ascii="Times New Roman" w:eastAsia="方正仿宋_GBK"/>
                <w:sz w:val="28"/>
              </w:rPr>
            </w:pPr>
          </w:p>
        </w:tc>
        <w:tc>
          <w:tcPr>
            <w:tcW w:w="396" w:type="dxa"/>
            <w:vMerge w:val="continue"/>
            <w:vAlign w:val="center"/>
          </w:tcPr>
          <w:p>
            <w:pPr>
              <w:spacing w:line="300" w:lineRule="exact"/>
              <w:jc w:val="left"/>
              <w:outlineLvl w:val="0"/>
              <w:rPr>
                <w:rFonts w:ascii="Times New Roman" w:eastAsia="方正仿宋_GBK"/>
                <w:sz w:val="28"/>
              </w:rPr>
            </w:pPr>
          </w:p>
        </w:tc>
        <w:tc>
          <w:tcPr>
            <w:tcW w:w="641" w:type="dxa"/>
            <w:vMerge w:val="continue"/>
            <w:vAlign w:val="center"/>
          </w:tcPr>
          <w:p>
            <w:pPr>
              <w:spacing w:line="300" w:lineRule="exact"/>
              <w:jc w:val="left"/>
              <w:outlineLvl w:val="0"/>
              <w:rPr>
                <w:rFonts w:ascii="Times New Roman" w:eastAsia="方正仿宋_GBK"/>
                <w:sz w:val="28"/>
              </w:rPr>
            </w:pPr>
          </w:p>
        </w:tc>
        <w:tc>
          <w:tcPr>
            <w:tcW w:w="573" w:type="dxa"/>
            <w:vMerge w:val="continue"/>
            <w:vAlign w:val="center"/>
          </w:tcPr>
          <w:p>
            <w:pPr>
              <w:spacing w:line="300" w:lineRule="exact"/>
              <w:jc w:val="left"/>
              <w:outlineLvl w:val="0"/>
              <w:rPr>
                <w:rFonts w:ascii="Times New Roman" w:eastAsia="方正仿宋_GBK"/>
                <w:sz w:val="28"/>
              </w:rPr>
            </w:pPr>
          </w:p>
        </w:tc>
        <w:tc>
          <w:tcPr>
            <w:tcW w:w="503" w:type="dxa"/>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724" w:type="dxa"/>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450" w:type="dxa"/>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671" w:type="dxa"/>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501" w:type="dxa"/>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543" w:type="dxa"/>
            <w:vAlign w:val="center"/>
          </w:tcPr>
          <w:p>
            <w:pPr>
              <w:spacing w:line="300" w:lineRule="exact"/>
              <w:jc w:val="center"/>
              <w:rPr>
                <w:rFonts w:ascii="方正书宋_GBK" w:eastAsia="方正书宋_GBK"/>
                <w:b/>
              </w:rPr>
            </w:pPr>
            <w:r>
              <w:rPr>
                <w:rFonts w:hint="eastAsia" w:ascii="方正书宋_GBK" w:eastAsia="方正书宋_GBK"/>
                <w:b/>
              </w:rPr>
              <w:t>其他来源收入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24" w:hRule="atLeast"/>
          <w:jc w:val="center"/>
        </w:trPr>
        <w:tc>
          <w:tcPr>
            <w:tcW w:w="1855" w:type="dxa"/>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504" w:type="dxa"/>
            <w:vAlign w:val="center"/>
          </w:tcPr>
          <w:p>
            <w:pPr>
              <w:spacing w:line="300" w:lineRule="exact"/>
              <w:jc w:val="right"/>
              <w:rPr>
                <w:rFonts w:ascii="方正书宋_GBK" w:eastAsia="方正书宋_GBK"/>
                <w:b/>
              </w:rPr>
            </w:pPr>
          </w:p>
        </w:tc>
        <w:tc>
          <w:tcPr>
            <w:tcW w:w="1023" w:type="dxa"/>
            <w:vAlign w:val="center"/>
          </w:tcPr>
          <w:p>
            <w:pPr>
              <w:spacing w:line="300" w:lineRule="exact"/>
              <w:jc w:val="left"/>
              <w:rPr>
                <w:rFonts w:ascii="方正书宋_GBK" w:eastAsia="方正书宋_GBK"/>
                <w:b/>
              </w:rPr>
            </w:pPr>
          </w:p>
        </w:tc>
        <w:tc>
          <w:tcPr>
            <w:tcW w:w="995" w:type="dxa"/>
            <w:vAlign w:val="center"/>
          </w:tcPr>
          <w:p>
            <w:pPr>
              <w:spacing w:line="300" w:lineRule="exact"/>
              <w:jc w:val="left"/>
              <w:rPr>
                <w:rFonts w:ascii="方正书宋_GBK" w:eastAsia="方正书宋_GBK"/>
                <w:b/>
              </w:rPr>
            </w:pPr>
          </w:p>
        </w:tc>
        <w:tc>
          <w:tcPr>
            <w:tcW w:w="396" w:type="dxa"/>
            <w:vAlign w:val="center"/>
          </w:tcPr>
          <w:p>
            <w:pPr>
              <w:spacing w:line="300" w:lineRule="exact"/>
              <w:jc w:val="left"/>
              <w:rPr>
                <w:rFonts w:ascii="方正书宋_GBK" w:eastAsia="方正书宋_GBK"/>
                <w:b/>
              </w:rPr>
            </w:pPr>
          </w:p>
        </w:tc>
        <w:tc>
          <w:tcPr>
            <w:tcW w:w="641" w:type="dxa"/>
            <w:vAlign w:val="center"/>
          </w:tcPr>
          <w:p>
            <w:pPr>
              <w:spacing w:line="300" w:lineRule="exact"/>
              <w:jc w:val="right"/>
              <w:rPr>
                <w:rFonts w:ascii="方正书宋_GBK" w:eastAsia="方正书宋_GBK"/>
                <w:b/>
              </w:rPr>
            </w:pPr>
          </w:p>
        </w:tc>
        <w:tc>
          <w:tcPr>
            <w:tcW w:w="573" w:type="dxa"/>
            <w:vAlign w:val="center"/>
          </w:tcPr>
          <w:p>
            <w:pPr>
              <w:spacing w:line="300" w:lineRule="exact"/>
              <w:jc w:val="right"/>
              <w:rPr>
                <w:rFonts w:ascii="方正书宋_GBK" w:eastAsia="方正书宋_GBK"/>
                <w:b/>
              </w:rPr>
            </w:pPr>
          </w:p>
        </w:tc>
        <w:tc>
          <w:tcPr>
            <w:tcW w:w="503" w:type="dxa"/>
            <w:vAlign w:val="center"/>
          </w:tcPr>
          <w:p>
            <w:pPr>
              <w:adjustRightInd w:val="0"/>
              <w:snapToGrid w:val="0"/>
              <w:jc w:val="right"/>
              <w:rPr>
                <w:rFonts w:ascii="方正书宋_GBK" w:hAnsi="宋体" w:eastAsia="方正书宋_GBK" w:cs="宋体"/>
                <w:b/>
                <w:bCs/>
                <w:color w:val="000000"/>
                <w:szCs w:val="21"/>
              </w:rPr>
            </w:pPr>
            <w:r>
              <w:rPr>
                <w:rFonts w:hint="eastAsia" w:ascii="方正书宋_GBK" w:eastAsia="方正书宋_GBK"/>
                <w:b/>
                <w:bCs/>
                <w:color w:val="000000"/>
                <w:szCs w:val="21"/>
              </w:rPr>
              <w:t>187</w:t>
            </w:r>
          </w:p>
        </w:tc>
        <w:tc>
          <w:tcPr>
            <w:tcW w:w="724" w:type="dxa"/>
            <w:vAlign w:val="center"/>
          </w:tcPr>
          <w:p>
            <w:pPr>
              <w:adjustRightInd w:val="0"/>
              <w:snapToGrid w:val="0"/>
              <w:jc w:val="right"/>
              <w:rPr>
                <w:rFonts w:ascii="方正书宋_GBK" w:hAnsi="宋体" w:eastAsia="方正书宋_GBK" w:cs="宋体"/>
                <w:b/>
                <w:bCs/>
                <w:color w:val="000000"/>
                <w:szCs w:val="21"/>
              </w:rPr>
            </w:pPr>
            <w:r>
              <w:rPr>
                <w:rFonts w:hint="eastAsia" w:ascii="方正书宋_GBK" w:eastAsia="方正书宋_GBK"/>
                <w:b/>
                <w:bCs/>
                <w:color w:val="000000"/>
                <w:szCs w:val="21"/>
              </w:rPr>
              <w:t>187</w:t>
            </w:r>
          </w:p>
        </w:tc>
        <w:tc>
          <w:tcPr>
            <w:tcW w:w="450" w:type="dxa"/>
            <w:vAlign w:val="center"/>
          </w:tcPr>
          <w:p>
            <w:pPr>
              <w:spacing w:line="300" w:lineRule="exact"/>
              <w:jc w:val="right"/>
              <w:rPr>
                <w:rFonts w:ascii="方正书宋_GBK" w:eastAsia="方正书宋_GBK"/>
                <w:b/>
              </w:rPr>
            </w:pPr>
          </w:p>
        </w:tc>
        <w:tc>
          <w:tcPr>
            <w:tcW w:w="671" w:type="dxa"/>
            <w:vAlign w:val="center"/>
          </w:tcPr>
          <w:p>
            <w:pPr>
              <w:spacing w:line="300" w:lineRule="exact"/>
              <w:jc w:val="right"/>
              <w:rPr>
                <w:rFonts w:ascii="方正书宋_GBK" w:eastAsia="方正书宋_GBK"/>
                <w:b/>
              </w:rPr>
            </w:pPr>
          </w:p>
        </w:tc>
        <w:tc>
          <w:tcPr>
            <w:tcW w:w="501" w:type="dxa"/>
            <w:vAlign w:val="center"/>
          </w:tcPr>
          <w:p>
            <w:pPr>
              <w:spacing w:line="300" w:lineRule="exact"/>
              <w:jc w:val="right"/>
              <w:rPr>
                <w:rFonts w:ascii="方正书宋_GBK" w:eastAsia="方正书宋_GBK"/>
                <w:b/>
              </w:rPr>
            </w:pPr>
          </w:p>
        </w:tc>
        <w:tc>
          <w:tcPr>
            <w:tcW w:w="54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24" w:hRule="atLeast"/>
          <w:jc w:val="center"/>
        </w:trPr>
        <w:tc>
          <w:tcPr>
            <w:tcW w:w="1855" w:type="dxa"/>
            <w:vAlign w:val="center"/>
          </w:tcPr>
          <w:p>
            <w:pPr>
              <w:spacing w:line="300" w:lineRule="exact"/>
              <w:jc w:val="center"/>
              <w:rPr>
                <w:rFonts w:ascii="方正书宋_GBK" w:eastAsia="方正书宋_GBK"/>
                <w:b/>
              </w:rPr>
            </w:pPr>
            <w:r>
              <w:rPr>
                <w:rFonts w:hint="eastAsia" w:ascii="方正书宋_GBK" w:eastAsia="方正书宋_GBK"/>
                <w:b/>
              </w:rPr>
              <w:t>藁城区水利局小计</w:t>
            </w:r>
          </w:p>
        </w:tc>
        <w:tc>
          <w:tcPr>
            <w:tcW w:w="504" w:type="dxa"/>
            <w:vAlign w:val="center"/>
          </w:tcPr>
          <w:p>
            <w:pPr>
              <w:spacing w:line="300" w:lineRule="exact"/>
              <w:jc w:val="right"/>
              <w:rPr>
                <w:rFonts w:ascii="方正书宋_GBK" w:eastAsia="方正书宋_GBK"/>
                <w:b/>
              </w:rPr>
            </w:pPr>
          </w:p>
        </w:tc>
        <w:tc>
          <w:tcPr>
            <w:tcW w:w="1023" w:type="dxa"/>
            <w:vAlign w:val="center"/>
          </w:tcPr>
          <w:p>
            <w:pPr>
              <w:spacing w:line="300" w:lineRule="exact"/>
              <w:jc w:val="left"/>
              <w:rPr>
                <w:rFonts w:ascii="方正书宋_GBK" w:eastAsia="方正书宋_GBK"/>
                <w:b/>
              </w:rPr>
            </w:pPr>
          </w:p>
        </w:tc>
        <w:tc>
          <w:tcPr>
            <w:tcW w:w="995" w:type="dxa"/>
            <w:vAlign w:val="center"/>
          </w:tcPr>
          <w:p>
            <w:pPr>
              <w:spacing w:line="300" w:lineRule="exact"/>
              <w:jc w:val="left"/>
              <w:rPr>
                <w:rFonts w:ascii="方正书宋_GBK" w:eastAsia="方正书宋_GBK"/>
                <w:b/>
              </w:rPr>
            </w:pPr>
          </w:p>
        </w:tc>
        <w:tc>
          <w:tcPr>
            <w:tcW w:w="396" w:type="dxa"/>
            <w:vAlign w:val="center"/>
          </w:tcPr>
          <w:p>
            <w:pPr>
              <w:spacing w:line="300" w:lineRule="exact"/>
              <w:jc w:val="left"/>
              <w:rPr>
                <w:rFonts w:ascii="方正书宋_GBK" w:eastAsia="方正书宋_GBK"/>
                <w:b/>
              </w:rPr>
            </w:pPr>
          </w:p>
        </w:tc>
        <w:tc>
          <w:tcPr>
            <w:tcW w:w="641" w:type="dxa"/>
            <w:vAlign w:val="center"/>
          </w:tcPr>
          <w:p>
            <w:pPr>
              <w:spacing w:line="300" w:lineRule="exact"/>
              <w:jc w:val="right"/>
              <w:rPr>
                <w:rFonts w:ascii="方正书宋_GBK" w:eastAsia="方正书宋_GBK"/>
                <w:b/>
              </w:rPr>
            </w:pPr>
          </w:p>
        </w:tc>
        <w:tc>
          <w:tcPr>
            <w:tcW w:w="573" w:type="dxa"/>
            <w:vAlign w:val="center"/>
          </w:tcPr>
          <w:p>
            <w:pPr>
              <w:spacing w:line="300" w:lineRule="exact"/>
              <w:jc w:val="right"/>
              <w:rPr>
                <w:rFonts w:ascii="方正书宋_GBK" w:eastAsia="方正书宋_GBK"/>
                <w:b/>
              </w:rPr>
            </w:pPr>
          </w:p>
        </w:tc>
        <w:tc>
          <w:tcPr>
            <w:tcW w:w="503" w:type="dxa"/>
            <w:vAlign w:val="center"/>
          </w:tcPr>
          <w:p>
            <w:pPr>
              <w:adjustRightInd w:val="0"/>
              <w:snapToGrid w:val="0"/>
              <w:jc w:val="right"/>
              <w:rPr>
                <w:rFonts w:ascii="方正书宋_GBK" w:hAnsi="宋体" w:eastAsia="方正书宋_GBK" w:cs="宋体"/>
                <w:b/>
                <w:bCs/>
                <w:color w:val="000000"/>
                <w:szCs w:val="21"/>
              </w:rPr>
            </w:pPr>
            <w:r>
              <w:rPr>
                <w:rFonts w:hint="eastAsia" w:ascii="方正书宋_GBK" w:eastAsia="方正书宋_GBK"/>
                <w:b/>
                <w:bCs/>
                <w:color w:val="000000"/>
                <w:szCs w:val="21"/>
              </w:rPr>
              <w:t>187</w:t>
            </w:r>
          </w:p>
        </w:tc>
        <w:tc>
          <w:tcPr>
            <w:tcW w:w="724" w:type="dxa"/>
            <w:vAlign w:val="center"/>
          </w:tcPr>
          <w:p>
            <w:pPr>
              <w:adjustRightInd w:val="0"/>
              <w:snapToGrid w:val="0"/>
              <w:jc w:val="right"/>
              <w:rPr>
                <w:rFonts w:ascii="方正书宋_GBK" w:hAnsi="宋体" w:eastAsia="方正书宋_GBK" w:cs="宋体"/>
                <w:b/>
                <w:bCs/>
                <w:color w:val="000000"/>
                <w:szCs w:val="21"/>
              </w:rPr>
            </w:pPr>
            <w:r>
              <w:rPr>
                <w:rFonts w:hint="eastAsia" w:ascii="方正书宋_GBK" w:eastAsia="方正书宋_GBK"/>
                <w:b/>
                <w:bCs/>
                <w:color w:val="000000"/>
                <w:szCs w:val="21"/>
              </w:rPr>
              <w:t>187</w:t>
            </w:r>
          </w:p>
        </w:tc>
        <w:tc>
          <w:tcPr>
            <w:tcW w:w="450" w:type="dxa"/>
            <w:vAlign w:val="center"/>
          </w:tcPr>
          <w:p>
            <w:pPr>
              <w:spacing w:line="300" w:lineRule="exact"/>
              <w:jc w:val="right"/>
              <w:rPr>
                <w:rFonts w:ascii="方正书宋_GBK" w:eastAsia="方正书宋_GBK"/>
                <w:b/>
              </w:rPr>
            </w:pPr>
          </w:p>
        </w:tc>
        <w:tc>
          <w:tcPr>
            <w:tcW w:w="671" w:type="dxa"/>
            <w:vAlign w:val="center"/>
          </w:tcPr>
          <w:p>
            <w:pPr>
              <w:spacing w:line="300" w:lineRule="exact"/>
              <w:jc w:val="right"/>
              <w:rPr>
                <w:rFonts w:ascii="方正书宋_GBK" w:eastAsia="方正书宋_GBK"/>
                <w:b/>
              </w:rPr>
            </w:pPr>
          </w:p>
        </w:tc>
        <w:tc>
          <w:tcPr>
            <w:tcW w:w="501" w:type="dxa"/>
            <w:vAlign w:val="center"/>
          </w:tcPr>
          <w:p>
            <w:pPr>
              <w:spacing w:line="300" w:lineRule="exact"/>
              <w:jc w:val="right"/>
              <w:rPr>
                <w:rFonts w:ascii="方正书宋_GBK" w:eastAsia="方正书宋_GBK"/>
                <w:b/>
              </w:rPr>
            </w:pPr>
          </w:p>
        </w:tc>
        <w:tc>
          <w:tcPr>
            <w:tcW w:w="543" w:type="dxa"/>
            <w:vAlign w:val="center"/>
          </w:tcPr>
          <w:p>
            <w:pPr>
              <w:spacing w:line="300" w:lineRule="exact"/>
              <w:jc w:val="right"/>
              <w:rPr>
                <w:rFonts w:ascii="方正书宋_GBK" w:eastAsia="方正书宋_GBK"/>
                <w:b/>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1502" w:hRule="atLeast"/>
          <w:jc w:val="center"/>
        </w:trPr>
        <w:tc>
          <w:tcPr>
            <w:tcW w:w="1855" w:type="dxa"/>
            <w:vAlign w:val="center"/>
          </w:tcPr>
          <w:p>
            <w:pPr>
              <w:spacing w:line="300" w:lineRule="exact"/>
              <w:jc w:val="left"/>
              <w:rPr>
                <w:rFonts w:ascii="方正书宋_GBK" w:eastAsia="方正书宋_GBK"/>
              </w:rPr>
            </w:pPr>
            <w:r>
              <w:rPr>
                <w:rFonts w:hint="eastAsia" w:ascii="方正书宋_GBK" w:eastAsia="方正书宋_GBK"/>
              </w:rPr>
              <w:t>石财农[2019]97号关于提起下达2020年中央水利发展资金（地下水超采综合治理）</w:t>
            </w:r>
          </w:p>
        </w:tc>
        <w:tc>
          <w:tcPr>
            <w:tcW w:w="504" w:type="dxa"/>
            <w:vAlign w:val="center"/>
          </w:tcPr>
          <w:p>
            <w:pPr>
              <w:spacing w:line="300" w:lineRule="exact"/>
              <w:jc w:val="right"/>
              <w:rPr>
                <w:rFonts w:ascii="方正书宋_GBK" w:eastAsia="方正书宋_GBK"/>
              </w:rPr>
            </w:pPr>
            <w:r>
              <w:rPr>
                <w:rFonts w:hint="eastAsia" w:ascii="方正书宋_GBK" w:eastAsia="方正书宋_GBK"/>
              </w:rPr>
              <w:t>102</w:t>
            </w:r>
          </w:p>
        </w:tc>
        <w:tc>
          <w:tcPr>
            <w:tcW w:w="1023" w:type="dxa"/>
            <w:vAlign w:val="center"/>
          </w:tcPr>
          <w:p>
            <w:pPr>
              <w:spacing w:line="300" w:lineRule="exact"/>
              <w:jc w:val="left"/>
              <w:rPr>
                <w:rFonts w:ascii="方正书宋_GBK" w:eastAsia="方正书宋_GBK"/>
              </w:rPr>
            </w:pPr>
            <w:r>
              <w:rPr>
                <w:rFonts w:hint="eastAsia" w:ascii="方正书宋_GBK" w:eastAsia="方正书宋_GBK"/>
              </w:rPr>
              <w:t>软件集成实施服务</w:t>
            </w:r>
          </w:p>
        </w:tc>
        <w:tc>
          <w:tcPr>
            <w:tcW w:w="995" w:type="dxa"/>
            <w:vAlign w:val="center"/>
          </w:tcPr>
          <w:p>
            <w:pPr>
              <w:spacing w:line="300" w:lineRule="exact"/>
              <w:jc w:val="left"/>
              <w:rPr>
                <w:rFonts w:ascii="方正书宋_GBK" w:eastAsia="方正书宋_GBK"/>
              </w:rPr>
            </w:pPr>
            <w:r>
              <w:rPr>
                <w:rFonts w:ascii="方正书宋_GBK" w:eastAsia="方正书宋_GBK"/>
              </w:rPr>
              <w:t>C020203</w:t>
            </w:r>
          </w:p>
        </w:tc>
        <w:tc>
          <w:tcPr>
            <w:tcW w:w="396" w:type="dxa"/>
            <w:vAlign w:val="center"/>
          </w:tcPr>
          <w:p>
            <w:pPr>
              <w:spacing w:line="300" w:lineRule="exact"/>
              <w:jc w:val="left"/>
              <w:rPr>
                <w:rFonts w:ascii="方正书宋_GBK" w:eastAsia="方正书宋_GBK"/>
              </w:rPr>
            </w:pPr>
            <w:r>
              <w:rPr>
                <w:rFonts w:hint="eastAsia" w:ascii="方正书宋_GBK" w:eastAsia="方正书宋_GBK"/>
              </w:rPr>
              <w:t>套</w:t>
            </w:r>
          </w:p>
        </w:tc>
        <w:tc>
          <w:tcPr>
            <w:tcW w:w="641" w:type="dxa"/>
            <w:vAlign w:val="center"/>
          </w:tcPr>
          <w:p>
            <w:pPr>
              <w:spacing w:line="300" w:lineRule="exact"/>
              <w:jc w:val="right"/>
              <w:rPr>
                <w:rFonts w:ascii="方正书宋_GBK" w:eastAsia="方正书宋_GBK"/>
              </w:rPr>
            </w:pPr>
            <w:r>
              <w:rPr>
                <w:rFonts w:ascii="方正书宋_GBK" w:eastAsia="方正书宋_GBK"/>
              </w:rPr>
              <w:t>1.00</w:t>
            </w:r>
          </w:p>
        </w:tc>
        <w:tc>
          <w:tcPr>
            <w:tcW w:w="573" w:type="dxa"/>
            <w:vAlign w:val="center"/>
          </w:tcPr>
          <w:p>
            <w:pPr>
              <w:spacing w:line="300" w:lineRule="exact"/>
              <w:jc w:val="right"/>
              <w:rPr>
                <w:rFonts w:ascii="方正书宋_GBK" w:eastAsia="方正书宋_GBK"/>
              </w:rPr>
            </w:pPr>
            <w:r>
              <w:rPr>
                <w:rFonts w:ascii="方正书宋_GBK" w:eastAsia="方正书宋_GBK"/>
              </w:rPr>
              <w:t>650.00</w:t>
            </w:r>
          </w:p>
        </w:tc>
        <w:tc>
          <w:tcPr>
            <w:tcW w:w="503" w:type="dxa"/>
            <w:vAlign w:val="center"/>
          </w:tcPr>
          <w:p>
            <w:pPr>
              <w:spacing w:line="300" w:lineRule="exact"/>
              <w:jc w:val="right"/>
              <w:rPr>
                <w:rFonts w:ascii="方正书宋_GBK" w:eastAsia="方正书宋_GBK"/>
              </w:rPr>
            </w:pPr>
            <w:r>
              <w:rPr>
                <w:rFonts w:hint="eastAsia" w:ascii="方正书宋_GBK" w:eastAsia="方正书宋_GBK"/>
              </w:rPr>
              <w:t>102</w:t>
            </w:r>
          </w:p>
        </w:tc>
        <w:tc>
          <w:tcPr>
            <w:tcW w:w="724" w:type="dxa"/>
            <w:vAlign w:val="center"/>
          </w:tcPr>
          <w:p>
            <w:pPr>
              <w:spacing w:line="300" w:lineRule="exact"/>
              <w:jc w:val="right"/>
              <w:rPr>
                <w:rFonts w:ascii="方正书宋_GBK" w:eastAsia="方正书宋_GBK"/>
              </w:rPr>
            </w:pPr>
            <w:r>
              <w:rPr>
                <w:rFonts w:hint="eastAsia" w:ascii="方正书宋_GBK" w:eastAsia="方正书宋_GBK"/>
              </w:rPr>
              <w:t>102</w:t>
            </w:r>
          </w:p>
        </w:tc>
        <w:tc>
          <w:tcPr>
            <w:tcW w:w="450" w:type="dxa"/>
            <w:vAlign w:val="center"/>
          </w:tcPr>
          <w:p>
            <w:pPr>
              <w:spacing w:line="300" w:lineRule="exact"/>
              <w:jc w:val="right"/>
              <w:rPr>
                <w:rFonts w:ascii="方正书宋_GBK" w:eastAsia="方正书宋_GBK"/>
              </w:rPr>
            </w:pPr>
          </w:p>
        </w:tc>
        <w:tc>
          <w:tcPr>
            <w:tcW w:w="671" w:type="dxa"/>
            <w:vAlign w:val="center"/>
          </w:tcPr>
          <w:p>
            <w:pPr>
              <w:spacing w:line="300" w:lineRule="exact"/>
              <w:jc w:val="right"/>
              <w:rPr>
                <w:rFonts w:ascii="方正书宋_GBK" w:eastAsia="方正书宋_GBK"/>
              </w:rPr>
            </w:pPr>
          </w:p>
        </w:tc>
        <w:tc>
          <w:tcPr>
            <w:tcW w:w="501" w:type="dxa"/>
            <w:vAlign w:val="center"/>
          </w:tcPr>
          <w:p>
            <w:pPr>
              <w:spacing w:line="300" w:lineRule="exact"/>
              <w:jc w:val="right"/>
              <w:rPr>
                <w:rFonts w:ascii="方正书宋_GBK" w:eastAsia="方正书宋_GBK"/>
              </w:rPr>
            </w:pPr>
          </w:p>
        </w:tc>
        <w:tc>
          <w:tcPr>
            <w:tcW w:w="54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1208" w:hRule="atLeast"/>
          <w:jc w:val="center"/>
        </w:trPr>
        <w:tc>
          <w:tcPr>
            <w:tcW w:w="1855" w:type="dxa"/>
            <w:vAlign w:val="center"/>
          </w:tcPr>
          <w:p>
            <w:pPr>
              <w:spacing w:line="300" w:lineRule="exact"/>
              <w:jc w:val="left"/>
              <w:rPr>
                <w:rFonts w:ascii="方正书宋_GBK" w:eastAsia="方正书宋_GBK"/>
              </w:rPr>
            </w:pPr>
            <w:r>
              <w:rPr>
                <w:rFonts w:hint="eastAsia" w:ascii="方正书宋_GBK" w:eastAsia="方正书宋_GBK"/>
              </w:rPr>
              <w:t>石财农[2019]95号关于提前下达2020年中央水利发展资金预算的通知</w:t>
            </w:r>
          </w:p>
        </w:tc>
        <w:tc>
          <w:tcPr>
            <w:tcW w:w="504" w:type="dxa"/>
            <w:vAlign w:val="center"/>
          </w:tcPr>
          <w:p>
            <w:pPr>
              <w:spacing w:line="300" w:lineRule="exact"/>
              <w:jc w:val="right"/>
              <w:rPr>
                <w:rFonts w:ascii="方正书宋_GBK" w:eastAsia="方正书宋_GBK"/>
              </w:rPr>
            </w:pPr>
            <w:r>
              <w:rPr>
                <w:rFonts w:hint="eastAsia" w:ascii="方正书宋_GBK" w:eastAsia="方正书宋_GBK"/>
              </w:rPr>
              <w:t>85</w:t>
            </w:r>
          </w:p>
        </w:tc>
        <w:tc>
          <w:tcPr>
            <w:tcW w:w="1023" w:type="dxa"/>
            <w:vAlign w:val="center"/>
          </w:tcPr>
          <w:p>
            <w:pPr>
              <w:spacing w:line="300" w:lineRule="exact"/>
              <w:jc w:val="left"/>
              <w:rPr>
                <w:rFonts w:ascii="方正书宋_GBK" w:eastAsia="方正书宋_GBK"/>
              </w:rPr>
            </w:pPr>
            <w:r>
              <w:rPr>
                <w:rFonts w:hint="eastAsia" w:ascii="方正书宋_GBK" w:eastAsia="方正书宋_GBK"/>
              </w:rPr>
              <w:t>堤坝工程施工</w:t>
            </w:r>
          </w:p>
        </w:tc>
        <w:tc>
          <w:tcPr>
            <w:tcW w:w="995" w:type="dxa"/>
            <w:vAlign w:val="center"/>
          </w:tcPr>
          <w:p>
            <w:pPr>
              <w:spacing w:line="300" w:lineRule="exact"/>
              <w:jc w:val="left"/>
              <w:rPr>
                <w:rFonts w:ascii="方正书宋_GBK" w:eastAsia="方正书宋_GBK"/>
              </w:rPr>
            </w:pPr>
            <w:r>
              <w:rPr>
                <w:rFonts w:ascii="方正书宋_GBK" w:eastAsia="方正书宋_GBK"/>
              </w:rPr>
              <w:t>B020902</w:t>
            </w:r>
          </w:p>
        </w:tc>
        <w:tc>
          <w:tcPr>
            <w:tcW w:w="396" w:type="dxa"/>
            <w:vAlign w:val="center"/>
          </w:tcPr>
          <w:p>
            <w:pPr>
              <w:spacing w:line="300" w:lineRule="exact"/>
              <w:jc w:val="left"/>
              <w:rPr>
                <w:rFonts w:ascii="方正书宋_GBK" w:eastAsia="方正书宋_GBK"/>
              </w:rPr>
            </w:pPr>
            <w:r>
              <w:rPr>
                <w:rFonts w:hint="eastAsia" w:ascii="方正书宋_GBK" w:eastAsia="方正书宋_GBK"/>
              </w:rPr>
              <w:t>项</w:t>
            </w:r>
          </w:p>
        </w:tc>
        <w:tc>
          <w:tcPr>
            <w:tcW w:w="641" w:type="dxa"/>
            <w:vAlign w:val="center"/>
          </w:tcPr>
          <w:p>
            <w:pPr>
              <w:spacing w:line="300" w:lineRule="exact"/>
              <w:jc w:val="right"/>
              <w:rPr>
                <w:rFonts w:ascii="方正书宋_GBK" w:eastAsia="方正书宋_GBK"/>
              </w:rPr>
            </w:pPr>
            <w:r>
              <w:rPr>
                <w:rFonts w:ascii="方正书宋_GBK" w:eastAsia="方正书宋_GBK"/>
              </w:rPr>
              <w:t>1.00</w:t>
            </w:r>
          </w:p>
        </w:tc>
        <w:tc>
          <w:tcPr>
            <w:tcW w:w="573" w:type="dxa"/>
            <w:vAlign w:val="center"/>
          </w:tcPr>
          <w:p>
            <w:pPr>
              <w:spacing w:line="300" w:lineRule="exact"/>
              <w:jc w:val="right"/>
              <w:rPr>
                <w:rFonts w:ascii="方正书宋_GBK" w:eastAsia="方正书宋_GBK"/>
              </w:rPr>
            </w:pPr>
            <w:r>
              <w:rPr>
                <w:rFonts w:ascii="方正书宋_GBK" w:eastAsia="方正书宋_GBK"/>
              </w:rPr>
              <w:t>360.00</w:t>
            </w:r>
          </w:p>
        </w:tc>
        <w:tc>
          <w:tcPr>
            <w:tcW w:w="503" w:type="dxa"/>
            <w:vAlign w:val="center"/>
          </w:tcPr>
          <w:p>
            <w:pPr>
              <w:spacing w:line="300" w:lineRule="exact"/>
              <w:jc w:val="right"/>
              <w:rPr>
                <w:rFonts w:ascii="方正书宋_GBK" w:eastAsia="方正书宋_GBK"/>
              </w:rPr>
            </w:pPr>
            <w:r>
              <w:rPr>
                <w:rFonts w:hint="eastAsia" w:ascii="方正书宋_GBK" w:eastAsia="方正书宋_GBK"/>
              </w:rPr>
              <w:t>85</w:t>
            </w:r>
          </w:p>
        </w:tc>
        <w:tc>
          <w:tcPr>
            <w:tcW w:w="724" w:type="dxa"/>
            <w:vAlign w:val="center"/>
          </w:tcPr>
          <w:p>
            <w:pPr>
              <w:spacing w:line="300" w:lineRule="exact"/>
              <w:jc w:val="right"/>
              <w:rPr>
                <w:rFonts w:ascii="方正书宋_GBK" w:eastAsia="方正书宋_GBK"/>
              </w:rPr>
            </w:pPr>
            <w:r>
              <w:rPr>
                <w:rFonts w:hint="eastAsia" w:ascii="方正书宋_GBK" w:eastAsia="方正书宋_GBK"/>
              </w:rPr>
              <w:t>85</w:t>
            </w:r>
          </w:p>
        </w:tc>
        <w:tc>
          <w:tcPr>
            <w:tcW w:w="450" w:type="dxa"/>
            <w:vAlign w:val="center"/>
          </w:tcPr>
          <w:p>
            <w:pPr>
              <w:spacing w:line="300" w:lineRule="exact"/>
              <w:jc w:val="right"/>
              <w:rPr>
                <w:rFonts w:ascii="方正书宋_GBK" w:eastAsia="方正书宋_GBK"/>
              </w:rPr>
            </w:pPr>
          </w:p>
        </w:tc>
        <w:tc>
          <w:tcPr>
            <w:tcW w:w="671" w:type="dxa"/>
            <w:vAlign w:val="center"/>
          </w:tcPr>
          <w:p>
            <w:pPr>
              <w:spacing w:line="300" w:lineRule="exact"/>
              <w:jc w:val="right"/>
              <w:rPr>
                <w:rFonts w:ascii="方正书宋_GBK" w:eastAsia="方正书宋_GBK"/>
              </w:rPr>
            </w:pPr>
          </w:p>
        </w:tc>
        <w:tc>
          <w:tcPr>
            <w:tcW w:w="501" w:type="dxa"/>
            <w:vAlign w:val="center"/>
          </w:tcPr>
          <w:p>
            <w:pPr>
              <w:spacing w:line="300" w:lineRule="exact"/>
              <w:jc w:val="right"/>
              <w:rPr>
                <w:rFonts w:ascii="方正书宋_GBK" w:eastAsia="方正书宋_GBK"/>
              </w:rPr>
            </w:pPr>
          </w:p>
        </w:tc>
        <w:tc>
          <w:tcPr>
            <w:tcW w:w="54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24" w:hRule="atLeast"/>
          <w:jc w:val="center"/>
        </w:trPr>
        <w:tc>
          <w:tcPr>
            <w:tcW w:w="1855" w:type="dxa"/>
            <w:vAlign w:val="center"/>
          </w:tcPr>
          <w:p>
            <w:pPr>
              <w:spacing w:line="300" w:lineRule="exact"/>
              <w:jc w:val="left"/>
              <w:rPr>
                <w:rFonts w:ascii="方正书宋_GBK" w:eastAsia="方正书宋_GBK"/>
              </w:rPr>
            </w:pPr>
          </w:p>
        </w:tc>
        <w:tc>
          <w:tcPr>
            <w:tcW w:w="504" w:type="dxa"/>
            <w:vAlign w:val="center"/>
          </w:tcPr>
          <w:p>
            <w:pPr>
              <w:spacing w:line="300" w:lineRule="exact"/>
              <w:jc w:val="right"/>
              <w:rPr>
                <w:rFonts w:ascii="方正书宋_GBK" w:eastAsia="方正书宋_GBK"/>
              </w:rPr>
            </w:pPr>
          </w:p>
        </w:tc>
        <w:tc>
          <w:tcPr>
            <w:tcW w:w="1023" w:type="dxa"/>
            <w:vAlign w:val="center"/>
          </w:tcPr>
          <w:p>
            <w:pPr>
              <w:spacing w:line="300" w:lineRule="exact"/>
              <w:jc w:val="left"/>
              <w:rPr>
                <w:rFonts w:ascii="方正书宋_GBK" w:eastAsia="方正书宋_GBK"/>
              </w:rPr>
            </w:pPr>
          </w:p>
        </w:tc>
        <w:tc>
          <w:tcPr>
            <w:tcW w:w="995" w:type="dxa"/>
            <w:vAlign w:val="center"/>
          </w:tcPr>
          <w:p>
            <w:pPr>
              <w:spacing w:line="300" w:lineRule="exact"/>
              <w:jc w:val="left"/>
              <w:rPr>
                <w:rFonts w:ascii="方正书宋_GBK" w:eastAsia="方正书宋_GBK"/>
              </w:rPr>
            </w:pPr>
          </w:p>
        </w:tc>
        <w:tc>
          <w:tcPr>
            <w:tcW w:w="396" w:type="dxa"/>
            <w:vAlign w:val="center"/>
          </w:tcPr>
          <w:p>
            <w:pPr>
              <w:spacing w:line="300" w:lineRule="exact"/>
              <w:jc w:val="left"/>
              <w:rPr>
                <w:rFonts w:ascii="方正书宋_GBK" w:eastAsia="方正书宋_GBK"/>
              </w:rPr>
            </w:pPr>
          </w:p>
        </w:tc>
        <w:tc>
          <w:tcPr>
            <w:tcW w:w="641" w:type="dxa"/>
            <w:vAlign w:val="center"/>
          </w:tcPr>
          <w:p>
            <w:pPr>
              <w:spacing w:line="300" w:lineRule="exact"/>
              <w:jc w:val="right"/>
              <w:rPr>
                <w:rFonts w:ascii="方正书宋_GBK" w:eastAsia="方正书宋_GBK"/>
              </w:rPr>
            </w:pPr>
          </w:p>
        </w:tc>
        <w:tc>
          <w:tcPr>
            <w:tcW w:w="573" w:type="dxa"/>
            <w:vAlign w:val="center"/>
          </w:tcPr>
          <w:p>
            <w:pPr>
              <w:spacing w:line="300" w:lineRule="exact"/>
              <w:jc w:val="right"/>
              <w:rPr>
                <w:rFonts w:ascii="方正书宋_GBK" w:eastAsia="方正书宋_GBK"/>
              </w:rPr>
            </w:pPr>
          </w:p>
        </w:tc>
        <w:tc>
          <w:tcPr>
            <w:tcW w:w="503" w:type="dxa"/>
            <w:vAlign w:val="center"/>
          </w:tcPr>
          <w:p>
            <w:pPr>
              <w:spacing w:line="300" w:lineRule="exact"/>
              <w:jc w:val="right"/>
              <w:rPr>
                <w:rFonts w:ascii="方正书宋_GBK" w:eastAsia="方正书宋_GBK"/>
              </w:rPr>
            </w:pPr>
          </w:p>
        </w:tc>
        <w:tc>
          <w:tcPr>
            <w:tcW w:w="724" w:type="dxa"/>
            <w:vAlign w:val="center"/>
          </w:tcPr>
          <w:p>
            <w:pPr>
              <w:spacing w:line="300" w:lineRule="exact"/>
              <w:jc w:val="right"/>
              <w:rPr>
                <w:rFonts w:ascii="方正书宋_GBK" w:eastAsia="方正书宋_GBK"/>
              </w:rPr>
            </w:pPr>
          </w:p>
        </w:tc>
        <w:tc>
          <w:tcPr>
            <w:tcW w:w="450" w:type="dxa"/>
            <w:vAlign w:val="center"/>
          </w:tcPr>
          <w:p>
            <w:pPr>
              <w:spacing w:line="300" w:lineRule="exact"/>
              <w:jc w:val="right"/>
              <w:rPr>
                <w:rFonts w:ascii="方正书宋_GBK" w:eastAsia="方正书宋_GBK"/>
              </w:rPr>
            </w:pPr>
          </w:p>
        </w:tc>
        <w:tc>
          <w:tcPr>
            <w:tcW w:w="671" w:type="dxa"/>
            <w:vAlign w:val="center"/>
          </w:tcPr>
          <w:p>
            <w:pPr>
              <w:spacing w:line="300" w:lineRule="exact"/>
              <w:jc w:val="right"/>
              <w:rPr>
                <w:rFonts w:ascii="方正书宋_GBK" w:eastAsia="方正书宋_GBK"/>
              </w:rPr>
            </w:pPr>
          </w:p>
        </w:tc>
        <w:tc>
          <w:tcPr>
            <w:tcW w:w="501" w:type="dxa"/>
            <w:vAlign w:val="center"/>
          </w:tcPr>
          <w:p>
            <w:pPr>
              <w:spacing w:line="300" w:lineRule="exact"/>
              <w:jc w:val="right"/>
              <w:rPr>
                <w:rFonts w:ascii="方正书宋_GBK" w:eastAsia="方正书宋_GBK"/>
              </w:rPr>
            </w:pPr>
          </w:p>
        </w:tc>
        <w:tc>
          <w:tcPr>
            <w:tcW w:w="543" w:type="dxa"/>
            <w:vAlign w:val="center"/>
          </w:tcPr>
          <w:p>
            <w:pPr>
              <w:spacing w:line="300" w:lineRule="exact"/>
              <w:jc w:val="righ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rHeight w:val="360" w:hRule="atLeast"/>
          <w:jc w:val="center"/>
        </w:trPr>
        <w:tc>
          <w:tcPr>
            <w:tcW w:w="1855" w:type="dxa"/>
            <w:vAlign w:val="center"/>
          </w:tcPr>
          <w:p>
            <w:pPr>
              <w:spacing w:line="300" w:lineRule="exact"/>
              <w:jc w:val="left"/>
              <w:rPr>
                <w:rFonts w:ascii="方正书宋_GBK" w:eastAsia="方正书宋_GBK"/>
              </w:rPr>
            </w:pPr>
          </w:p>
        </w:tc>
        <w:tc>
          <w:tcPr>
            <w:tcW w:w="504" w:type="dxa"/>
            <w:vAlign w:val="center"/>
          </w:tcPr>
          <w:p>
            <w:pPr>
              <w:spacing w:line="300" w:lineRule="exact"/>
              <w:jc w:val="right"/>
              <w:rPr>
                <w:rFonts w:ascii="方正书宋_GBK" w:eastAsia="方正书宋_GBK"/>
              </w:rPr>
            </w:pPr>
          </w:p>
        </w:tc>
        <w:tc>
          <w:tcPr>
            <w:tcW w:w="1023" w:type="dxa"/>
            <w:vAlign w:val="center"/>
          </w:tcPr>
          <w:p>
            <w:pPr>
              <w:spacing w:line="300" w:lineRule="exact"/>
              <w:jc w:val="left"/>
              <w:rPr>
                <w:rFonts w:ascii="方正书宋_GBK" w:eastAsia="方正书宋_GBK"/>
              </w:rPr>
            </w:pPr>
          </w:p>
        </w:tc>
        <w:tc>
          <w:tcPr>
            <w:tcW w:w="995" w:type="dxa"/>
            <w:vAlign w:val="center"/>
          </w:tcPr>
          <w:p>
            <w:pPr>
              <w:spacing w:line="300" w:lineRule="exact"/>
              <w:jc w:val="left"/>
              <w:rPr>
                <w:rFonts w:ascii="方正书宋_GBK" w:eastAsia="方正书宋_GBK"/>
              </w:rPr>
            </w:pPr>
          </w:p>
        </w:tc>
        <w:tc>
          <w:tcPr>
            <w:tcW w:w="396" w:type="dxa"/>
            <w:vAlign w:val="center"/>
          </w:tcPr>
          <w:p>
            <w:pPr>
              <w:spacing w:line="300" w:lineRule="exact"/>
              <w:jc w:val="left"/>
              <w:rPr>
                <w:rFonts w:ascii="方正书宋_GBK" w:eastAsia="方正书宋_GBK"/>
              </w:rPr>
            </w:pPr>
          </w:p>
        </w:tc>
        <w:tc>
          <w:tcPr>
            <w:tcW w:w="641" w:type="dxa"/>
            <w:vAlign w:val="center"/>
          </w:tcPr>
          <w:p>
            <w:pPr>
              <w:spacing w:line="300" w:lineRule="exact"/>
              <w:jc w:val="right"/>
              <w:rPr>
                <w:rFonts w:ascii="方正书宋_GBK" w:eastAsia="方正书宋_GBK"/>
              </w:rPr>
            </w:pPr>
          </w:p>
        </w:tc>
        <w:tc>
          <w:tcPr>
            <w:tcW w:w="573" w:type="dxa"/>
            <w:vAlign w:val="center"/>
          </w:tcPr>
          <w:p>
            <w:pPr>
              <w:spacing w:line="300" w:lineRule="exact"/>
              <w:jc w:val="right"/>
              <w:rPr>
                <w:rFonts w:ascii="方正书宋_GBK" w:eastAsia="方正书宋_GBK"/>
              </w:rPr>
            </w:pPr>
          </w:p>
        </w:tc>
        <w:tc>
          <w:tcPr>
            <w:tcW w:w="503" w:type="dxa"/>
            <w:vAlign w:val="center"/>
          </w:tcPr>
          <w:p>
            <w:pPr>
              <w:spacing w:line="300" w:lineRule="exact"/>
              <w:jc w:val="right"/>
              <w:rPr>
                <w:rFonts w:ascii="方正书宋_GBK" w:eastAsia="方正书宋_GBK"/>
              </w:rPr>
            </w:pPr>
          </w:p>
        </w:tc>
        <w:tc>
          <w:tcPr>
            <w:tcW w:w="724" w:type="dxa"/>
            <w:vAlign w:val="center"/>
          </w:tcPr>
          <w:p>
            <w:pPr>
              <w:spacing w:line="300" w:lineRule="exact"/>
              <w:jc w:val="right"/>
              <w:rPr>
                <w:rFonts w:ascii="方正书宋_GBK" w:eastAsia="方正书宋_GBK"/>
              </w:rPr>
            </w:pPr>
          </w:p>
        </w:tc>
        <w:tc>
          <w:tcPr>
            <w:tcW w:w="450" w:type="dxa"/>
            <w:vAlign w:val="center"/>
          </w:tcPr>
          <w:p>
            <w:pPr>
              <w:spacing w:line="300" w:lineRule="exact"/>
              <w:jc w:val="right"/>
              <w:rPr>
                <w:rFonts w:ascii="方正书宋_GBK" w:eastAsia="方正书宋_GBK"/>
              </w:rPr>
            </w:pPr>
          </w:p>
        </w:tc>
        <w:tc>
          <w:tcPr>
            <w:tcW w:w="671" w:type="dxa"/>
            <w:vAlign w:val="center"/>
          </w:tcPr>
          <w:p>
            <w:pPr>
              <w:spacing w:line="300" w:lineRule="exact"/>
              <w:jc w:val="right"/>
              <w:rPr>
                <w:rFonts w:ascii="方正书宋_GBK" w:eastAsia="方正书宋_GBK"/>
              </w:rPr>
            </w:pPr>
          </w:p>
        </w:tc>
        <w:tc>
          <w:tcPr>
            <w:tcW w:w="501" w:type="dxa"/>
            <w:vAlign w:val="center"/>
          </w:tcPr>
          <w:p>
            <w:pPr>
              <w:spacing w:line="300" w:lineRule="exact"/>
              <w:jc w:val="right"/>
              <w:rPr>
                <w:rFonts w:ascii="方正书宋_GBK" w:eastAsia="方正书宋_GBK"/>
              </w:rPr>
            </w:pPr>
          </w:p>
        </w:tc>
        <w:tc>
          <w:tcPr>
            <w:tcW w:w="543" w:type="dxa"/>
            <w:vAlign w:val="center"/>
          </w:tcPr>
          <w:p>
            <w:pPr>
              <w:spacing w:line="300" w:lineRule="exact"/>
              <w:jc w:val="right"/>
              <w:rPr>
                <w:rFonts w:ascii="方正书宋_GBK" w:eastAsia="方正书宋_GBK"/>
              </w:rPr>
            </w:pPr>
          </w:p>
        </w:tc>
      </w:tr>
    </w:tbl>
    <w:p>
      <w:pPr>
        <w:autoSpaceDE w:val="0"/>
        <w:autoSpaceDN w:val="0"/>
        <w:adjustRightInd w:val="0"/>
        <w:ind w:firstLine="640" w:firstLineChars="200"/>
        <w:jc w:val="left"/>
        <w:rPr>
          <w:rFonts w:hint="eastAsia" w:ascii="黑体" w:hAnsi="黑体" w:eastAsia="黑体"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七、国有资产信息</w:t>
      </w:r>
    </w:p>
    <w:p>
      <w:pPr>
        <w:ind w:firstLine="640"/>
        <w:rPr>
          <w:rFonts w:hint="eastAsia" w:ascii="Times New Roman" w:hAnsi="Times New Roman" w:eastAsia="仿宋" w:cs="Times New Roman"/>
          <w:color w:val="000000"/>
          <w:sz w:val="32"/>
          <w:szCs w:val="32"/>
          <w:lang w:val="en-US" w:eastAsia="zh-CN"/>
        </w:rPr>
      </w:pPr>
      <w:r>
        <w:rPr>
          <w:rFonts w:hint="eastAsia" w:ascii="Times New Roman" w:hAnsi="Times New Roman" w:eastAsia="仿宋" w:cs="Times New Roman"/>
          <w:color w:val="000000"/>
          <w:sz w:val="32"/>
          <w:szCs w:val="32"/>
        </w:rPr>
        <w:t>水利部门2019</w:t>
      </w:r>
      <w:r>
        <w:rPr>
          <w:rFonts w:ascii="Times New Roman" w:hAnsi="Times New Roman" w:eastAsia="仿宋" w:cs="Times New Roman"/>
          <w:color w:val="000000"/>
          <w:sz w:val="32"/>
          <w:szCs w:val="32"/>
        </w:rPr>
        <w:t>年末固定资产金额为</w:t>
      </w:r>
      <w:r>
        <w:rPr>
          <w:rFonts w:hint="eastAsia" w:ascii="Times New Roman" w:hAnsi="Times New Roman" w:eastAsia="仿宋" w:cs="Times New Roman"/>
          <w:color w:val="000000"/>
          <w:sz w:val="32"/>
          <w:szCs w:val="32"/>
        </w:rPr>
        <w:t xml:space="preserve"> </w:t>
      </w:r>
      <w:r>
        <w:rPr>
          <w:rFonts w:hint="eastAsia" w:ascii="Times New Roman" w:hAnsi="Times New Roman" w:eastAsia="仿宋" w:cs="Times New Roman"/>
          <w:color w:val="000000"/>
          <w:sz w:val="32"/>
          <w:szCs w:val="32"/>
          <w:lang w:val="en-US" w:eastAsia="zh-CN"/>
        </w:rPr>
        <w:t>1403.66</w:t>
      </w:r>
      <w:r>
        <w:rPr>
          <w:rFonts w:ascii="Times New Roman" w:hAnsi="Times New Roman" w:eastAsia="仿宋" w:cs="Times New Roman"/>
          <w:color w:val="000000"/>
          <w:sz w:val="32"/>
          <w:szCs w:val="32"/>
        </w:rPr>
        <w:t>万元（详见下表），主要为</w:t>
      </w:r>
      <w:r>
        <w:rPr>
          <w:rFonts w:hint="eastAsia" w:ascii="Times New Roman" w:hAnsi="Times New Roman" w:eastAsia="仿宋" w:cs="Times New Roman"/>
          <w:color w:val="000000"/>
          <w:sz w:val="32"/>
          <w:szCs w:val="32"/>
        </w:rPr>
        <w:t>房屋、汽车、</w:t>
      </w:r>
      <w:r>
        <w:rPr>
          <w:rFonts w:ascii="Times New Roman" w:hAnsi="Times New Roman" w:eastAsia="仿宋" w:cs="Times New Roman"/>
          <w:color w:val="000000"/>
          <w:sz w:val="32"/>
          <w:szCs w:val="32"/>
        </w:rPr>
        <w:t>计算机、打印机、投影仪</w:t>
      </w:r>
      <w:r>
        <w:rPr>
          <w:rFonts w:hint="eastAsia" w:ascii="Times New Roman" w:hAnsi="Times New Roman" w:eastAsia="仿宋" w:cs="Times New Roman"/>
          <w:color w:val="000000"/>
          <w:sz w:val="32"/>
          <w:szCs w:val="32"/>
        </w:rPr>
        <w:t>、办公家具</w:t>
      </w:r>
      <w:r>
        <w:rPr>
          <w:rFonts w:ascii="Times New Roman" w:hAnsi="Times New Roman" w:eastAsia="仿宋" w:cs="Times New Roman"/>
          <w:color w:val="000000"/>
          <w:sz w:val="32"/>
          <w:szCs w:val="32"/>
        </w:rPr>
        <w:t>等</w:t>
      </w:r>
      <w:r>
        <w:rPr>
          <w:rFonts w:hint="eastAsia" w:ascii="Times New Roman" w:hAnsi="Times New Roman" w:eastAsia="仿宋" w:cs="Times New Roman"/>
          <w:color w:val="000000"/>
          <w:sz w:val="32"/>
          <w:szCs w:val="32"/>
        </w:rPr>
        <w:t>。</w:t>
      </w:r>
      <w:r>
        <w:rPr>
          <w:rFonts w:hint="eastAsia" w:ascii="Times New Roman" w:hAnsi="Times New Roman" w:eastAsia="仿宋" w:cs="Times New Roman"/>
          <w:color w:val="000000"/>
          <w:sz w:val="32"/>
          <w:szCs w:val="32"/>
          <w:lang w:val="en-US" w:eastAsia="zh-CN"/>
        </w:rPr>
        <w:t>本年无新增拟购固定资产</w:t>
      </w:r>
      <w:bookmarkStart w:id="26" w:name="_GoBack"/>
      <w:bookmarkEnd w:id="26"/>
      <w:r>
        <w:rPr>
          <w:rFonts w:hint="eastAsia" w:ascii="Times New Roman" w:hAnsi="Times New Roman" w:eastAsia="仿宋" w:cs="Times New Roman"/>
          <w:color w:val="000000"/>
          <w:sz w:val="32"/>
          <w:szCs w:val="32"/>
          <w:lang w:val="en-US" w:eastAsia="zh-CN"/>
        </w:rPr>
        <w:t>。</w:t>
      </w:r>
    </w:p>
    <w:tbl>
      <w:tblPr>
        <w:tblStyle w:val="9"/>
        <w:tblW w:w="8500" w:type="dxa"/>
        <w:tblInd w:w="93" w:type="dxa"/>
        <w:tblLayout w:type="fixed"/>
        <w:tblCellMar>
          <w:top w:w="0" w:type="dxa"/>
          <w:left w:w="108" w:type="dxa"/>
          <w:bottom w:w="0" w:type="dxa"/>
          <w:right w:w="108" w:type="dxa"/>
        </w:tblCellMar>
      </w:tblPr>
      <w:tblGrid>
        <w:gridCol w:w="3292"/>
        <w:gridCol w:w="1988"/>
        <w:gridCol w:w="3220"/>
      </w:tblGrid>
      <w:tr>
        <w:tblPrEx>
          <w:tblLayout w:type="fixed"/>
          <w:tblCellMar>
            <w:top w:w="0" w:type="dxa"/>
            <w:left w:w="108" w:type="dxa"/>
            <w:bottom w:w="0" w:type="dxa"/>
            <w:right w:w="108" w:type="dxa"/>
          </w:tblCellMar>
        </w:tblPrEx>
        <w:trPr>
          <w:trHeight w:val="618" w:hRule="atLeast"/>
        </w:trPr>
        <w:tc>
          <w:tcPr>
            <w:tcW w:w="8500" w:type="dxa"/>
            <w:gridSpan w:val="3"/>
            <w:tcBorders>
              <w:top w:val="nil"/>
              <w:left w:val="nil"/>
              <w:bottom w:val="nil"/>
              <w:right w:val="nil"/>
            </w:tcBorders>
            <w:vAlign w:val="center"/>
          </w:tcPr>
          <w:p>
            <w:pPr>
              <w:widowControl/>
              <w:jc w:val="center"/>
              <w:rPr>
                <w:rFonts w:ascii="宋体" w:hAnsi="宋体" w:cs="宋体"/>
                <w:b/>
                <w:bCs/>
                <w:kern w:val="0"/>
                <w:sz w:val="32"/>
                <w:szCs w:val="32"/>
              </w:rPr>
            </w:pPr>
            <w:r>
              <w:rPr>
                <w:rFonts w:hint="eastAsia" w:ascii="宋体" w:hAnsi="宋体" w:cs="宋体"/>
                <w:b/>
                <w:bCs/>
                <w:kern w:val="0"/>
                <w:sz w:val="32"/>
                <w:szCs w:val="32"/>
              </w:rPr>
              <w:t>水利部门固定资产占用情况表</w:t>
            </w:r>
          </w:p>
        </w:tc>
      </w:tr>
      <w:tr>
        <w:tblPrEx>
          <w:tblLayout w:type="fixed"/>
          <w:tblCellMar>
            <w:top w:w="0" w:type="dxa"/>
            <w:left w:w="108" w:type="dxa"/>
            <w:bottom w:w="0" w:type="dxa"/>
            <w:right w:w="108" w:type="dxa"/>
          </w:tblCellMar>
        </w:tblPrEx>
        <w:trPr>
          <w:trHeight w:val="610" w:hRule="atLeast"/>
        </w:trPr>
        <w:tc>
          <w:tcPr>
            <w:tcW w:w="5280" w:type="dxa"/>
            <w:gridSpan w:val="2"/>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编制部门：</w:t>
            </w:r>
            <w:r>
              <w:rPr>
                <w:rFonts w:hint="eastAsia" w:ascii="Times New Roman" w:hAnsi="Times New Roman" w:eastAsia="仿宋" w:cs="Times New Roman"/>
                <w:kern w:val="0"/>
                <w:sz w:val="22"/>
              </w:rPr>
              <w:t>水利部门</w:t>
            </w:r>
          </w:p>
        </w:tc>
        <w:tc>
          <w:tcPr>
            <w:tcW w:w="3220" w:type="dxa"/>
            <w:tcBorders>
              <w:top w:val="nil"/>
              <w:left w:val="nil"/>
              <w:bottom w:val="nil"/>
              <w:right w:val="nil"/>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截止时间：201</w:t>
            </w:r>
            <w:r>
              <w:rPr>
                <w:rFonts w:hint="eastAsia" w:ascii="Times New Roman" w:hAnsi="Times New Roman" w:eastAsia="仿宋" w:cs="Times New Roman"/>
                <w:kern w:val="0"/>
                <w:sz w:val="22"/>
              </w:rPr>
              <w:t>9</w:t>
            </w:r>
            <w:r>
              <w:rPr>
                <w:rFonts w:ascii="Times New Roman" w:hAnsi="Times New Roman" w:eastAsia="仿宋" w:cs="Times New Roman"/>
                <w:kern w:val="0"/>
                <w:sz w:val="22"/>
              </w:rPr>
              <w:t>年12月31日</w:t>
            </w:r>
          </w:p>
        </w:tc>
      </w:tr>
      <w:tr>
        <w:tblPrEx>
          <w:tblLayout w:type="fixed"/>
          <w:tblCellMar>
            <w:top w:w="0" w:type="dxa"/>
            <w:left w:w="108" w:type="dxa"/>
            <w:bottom w:w="0" w:type="dxa"/>
            <w:right w:w="108" w:type="dxa"/>
          </w:tblCellMar>
        </w:tblPrEx>
        <w:trPr>
          <w:trHeight w:val="548" w:hRule="atLeast"/>
        </w:trPr>
        <w:tc>
          <w:tcPr>
            <w:tcW w:w="3292" w:type="dxa"/>
            <w:tcBorders>
              <w:top w:val="single" w:color="auto" w:sz="4" w:space="0"/>
              <w:left w:val="single" w:color="auto" w:sz="4" w:space="0"/>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项目</w:t>
            </w:r>
          </w:p>
        </w:tc>
        <w:tc>
          <w:tcPr>
            <w:tcW w:w="1988"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数量</w:t>
            </w:r>
          </w:p>
        </w:tc>
        <w:tc>
          <w:tcPr>
            <w:tcW w:w="3220" w:type="dxa"/>
            <w:tcBorders>
              <w:top w:val="single" w:color="auto" w:sz="4" w:space="0"/>
              <w:left w:val="nil"/>
              <w:bottom w:val="single" w:color="auto" w:sz="4" w:space="0"/>
              <w:right w:val="single" w:color="auto" w:sz="4" w:space="0"/>
            </w:tcBorders>
            <w:vAlign w:val="center"/>
          </w:tcPr>
          <w:p>
            <w:pPr>
              <w:widowControl/>
              <w:jc w:val="center"/>
              <w:rPr>
                <w:rFonts w:ascii="宋体" w:hAnsi="宋体" w:cs="宋体"/>
                <w:b/>
                <w:bCs/>
                <w:kern w:val="0"/>
                <w:sz w:val="22"/>
              </w:rPr>
            </w:pPr>
            <w:r>
              <w:rPr>
                <w:rFonts w:hint="eastAsia" w:ascii="宋体" w:hAnsi="宋体" w:cs="宋体"/>
                <w:b/>
                <w:bCs/>
                <w:kern w:val="0"/>
                <w:sz w:val="22"/>
              </w:rPr>
              <w:t>价值（金额单位：万元）</w:t>
            </w:r>
          </w:p>
        </w:tc>
      </w:tr>
      <w:tr>
        <w:tblPrEx>
          <w:tblLayout w:type="fixed"/>
          <w:tblCellMar>
            <w:top w:w="0" w:type="dxa"/>
            <w:left w:w="108" w:type="dxa"/>
            <w:bottom w:w="0" w:type="dxa"/>
            <w:right w:w="108" w:type="dxa"/>
          </w:tblCellMar>
        </w:tblPrEx>
        <w:trPr>
          <w:trHeight w:val="548" w:hRule="atLeast"/>
        </w:trPr>
        <w:tc>
          <w:tcPr>
            <w:tcW w:w="3292" w:type="dxa"/>
            <w:tcBorders>
              <w:top w:val="nil"/>
              <w:left w:val="single" w:color="auto" w:sz="4" w:space="0"/>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资产总额</w:t>
            </w:r>
          </w:p>
        </w:tc>
        <w:tc>
          <w:tcPr>
            <w:tcW w:w="1988"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3220" w:type="dxa"/>
            <w:tcBorders>
              <w:top w:val="nil"/>
              <w:left w:val="nil"/>
              <w:bottom w:val="single" w:color="auto" w:sz="4" w:space="0"/>
              <w:right w:val="single" w:color="auto" w:sz="4" w:space="0"/>
            </w:tcBorders>
            <w:vAlign w:val="center"/>
          </w:tcPr>
          <w:p>
            <w:pPr>
              <w:widowControl/>
              <w:jc w:val="center"/>
              <w:rPr>
                <w:rFonts w:hint="eastAsia" w:ascii="Times New Roman" w:hAnsi="Times New Roman" w:eastAsia="仿宋" w:cs="Times New Roman"/>
                <w:color w:val="FF0000"/>
                <w:kern w:val="0"/>
                <w:sz w:val="22"/>
                <w:lang w:val="en-US" w:eastAsia="zh-CN"/>
              </w:rPr>
            </w:pPr>
            <w:r>
              <w:rPr>
                <w:rFonts w:hint="eastAsia" w:ascii="Times New Roman" w:hAnsi="Times New Roman" w:eastAsia="仿宋" w:cs="Times New Roman"/>
                <w:color w:val="FF0000"/>
                <w:kern w:val="0"/>
                <w:sz w:val="22"/>
                <w:lang w:val="en-US" w:eastAsia="zh-CN"/>
              </w:rPr>
              <w:t>1403.66</w:t>
            </w:r>
          </w:p>
        </w:tc>
      </w:tr>
      <w:tr>
        <w:tblPrEx>
          <w:tblLayout w:type="fixed"/>
          <w:tblCellMar>
            <w:top w:w="0" w:type="dxa"/>
            <w:left w:w="108" w:type="dxa"/>
            <w:bottom w:w="0" w:type="dxa"/>
            <w:right w:w="108" w:type="dxa"/>
          </w:tblCellMar>
        </w:tblPrEx>
        <w:trPr>
          <w:trHeight w:val="548" w:hRule="atLeast"/>
        </w:trPr>
        <w:tc>
          <w:tcPr>
            <w:tcW w:w="3292"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1、房屋（平方米）</w:t>
            </w:r>
          </w:p>
        </w:tc>
        <w:tc>
          <w:tcPr>
            <w:tcW w:w="1988"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6524.58</w:t>
            </w:r>
          </w:p>
        </w:tc>
        <w:tc>
          <w:tcPr>
            <w:tcW w:w="3220"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1008.9</w:t>
            </w:r>
          </w:p>
        </w:tc>
      </w:tr>
      <w:tr>
        <w:tblPrEx>
          <w:tblLayout w:type="fixed"/>
          <w:tblCellMar>
            <w:top w:w="0" w:type="dxa"/>
            <w:left w:w="108" w:type="dxa"/>
            <w:bottom w:w="0" w:type="dxa"/>
            <w:right w:w="108" w:type="dxa"/>
          </w:tblCellMar>
        </w:tblPrEx>
        <w:trPr>
          <w:trHeight w:val="548" w:hRule="atLeast"/>
        </w:trPr>
        <w:tc>
          <w:tcPr>
            <w:tcW w:w="3292"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其中：办公用房（平方米）</w:t>
            </w:r>
          </w:p>
        </w:tc>
        <w:tc>
          <w:tcPr>
            <w:tcW w:w="1988"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4987.58</w:t>
            </w:r>
          </w:p>
        </w:tc>
        <w:tc>
          <w:tcPr>
            <w:tcW w:w="3220"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874.3</w:t>
            </w:r>
          </w:p>
        </w:tc>
      </w:tr>
      <w:tr>
        <w:tblPrEx>
          <w:tblLayout w:type="fixed"/>
          <w:tblCellMar>
            <w:top w:w="0" w:type="dxa"/>
            <w:left w:w="108" w:type="dxa"/>
            <w:bottom w:w="0" w:type="dxa"/>
            <w:right w:w="108" w:type="dxa"/>
          </w:tblCellMar>
        </w:tblPrEx>
        <w:trPr>
          <w:trHeight w:val="548" w:hRule="atLeast"/>
        </w:trPr>
        <w:tc>
          <w:tcPr>
            <w:tcW w:w="3292"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2、车辆（台、辆）</w:t>
            </w:r>
          </w:p>
        </w:tc>
        <w:tc>
          <w:tcPr>
            <w:tcW w:w="1988"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7</w:t>
            </w:r>
          </w:p>
        </w:tc>
        <w:tc>
          <w:tcPr>
            <w:tcW w:w="3220"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100.5</w:t>
            </w:r>
          </w:p>
        </w:tc>
      </w:tr>
      <w:tr>
        <w:tblPrEx>
          <w:tblLayout w:type="fixed"/>
          <w:tblCellMar>
            <w:top w:w="0" w:type="dxa"/>
            <w:left w:w="108" w:type="dxa"/>
            <w:bottom w:w="0" w:type="dxa"/>
            <w:right w:w="108" w:type="dxa"/>
          </w:tblCellMar>
        </w:tblPrEx>
        <w:trPr>
          <w:trHeight w:val="548" w:hRule="atLeast"/>
        </w:trPr>
        <w:tc>
          <w:tcPr>
            <w:tcW w:w="3292"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3、单价在20万元以上设备</w:t>
            </w:r>
          </w:p>
        </w:tc>
        <w:tc>
          <w:tcPr>
            <w:tcW w:w="1988"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3220"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hint="eastAsia" w:ascii="Times New Roman" w:hAnsi="Times New Roman" w:eastAsia="仿宋" w:cs="Times New Roman"/>
                <w:kern w:val="0"/>
                <w:sz w:val="22"/>
              </w:rPr>
              <w:t>0</w:t>
            </w:r>
          </w:p>
        </w:tc>
      </w:tr>
      <w:tr>
        <w:tblPrEx>
          <w:tblLayout w:type="fixed"/>
          <w:tblCellMar>
            <w:top w:w="0" w:type="dxa"/>
            <w:left w:w="108" w:type="dxa"/>
            <w:bottom w:w="0" w:type="dxa"/>
            <w:right w:w="108" w:type="dxa"/>
          </w:tblCellMar>
        </w:tblPrEx>
        <w:trPr>
          <w:trHeight w:val="594" w:hRule="atLeast"/>
        </w:trPr>
        <w:tc>
          <w:tcPr>
            <w:tcW w:w="3292" w:type="dxa"/>
            <w:tcBorders>
              <w:top w:val="nil"/>
              <w:left w:val="single" w:color="auto" w:sz="4" w:space="0"/>
              <w:bottom w:val="single" w:color="auto" w:sz="4" w:space="0"/>
              <w:right w:val="single" w:color="auto" w:sz="4" w:space="0"/>
            </w:tcBorders>
            <w:vAlign w:val="center"/>
          </w:tcPr>
          <w:p>
            <w:pPr>
              <w:widowControl/>
              <w:jc w:val="left"/>
              <w:rPr>
                <w:rFonts w:ascii="Times New Roman" w:hAnsi="Times New Roman" w:eastAsia="仿宋" w:cs="Times New Roman"/>
                <w:kern w:val="0"/>
                <w:sz w:val="22"/>
              </w:rPr>
            </w:pPr>
            <w:r>
              <w:rPr>
                <w:rFonts w:ascii="Times New Roman" w:hAnsi="Times New Roman" w:eastAsia="仿宋" w:cs="Times New Roman"/>
                <w:kern w:val="0"/>
                <w:sz w:val="22"/>
              </w:rPr>
              <w:t>4、其他固定资产</w:t>
            </w:r>
          </w:p>
        </w:tc>
        <w:tc>
          <w:tcPr>
            <w:tcW w:w="1988" w:type="dxa"/>
            <w:tcBorders>
              <w:top w:val="nil"/>
              <w:left w:val="nil"/>
              <w:bottom w:val="single" w:color="auto" w:sz="4" w:space="0"/>
              <w:right w:val="single" w:color="auto" w:sz="4" w:space="0"/>
            </w:tcBorders>
            <w:vAlign w:val="center"/>
          </w:tcPr>
          <w:p>
            <w:pPr>
              <w:widowControl/>
              <w:jc w:val="center"/>
              <w:rPr>
                <w:rFonts w:ascii="Times New Roman" w:hAnsi="Times New Roman" w:eastAsia="仿宋" w:cs="Times New Roman"/>
                <w:kern w:val="0"/>
                <w:sz w:val="22"/>
              </w:rPr>
            </w:pPr>
            <w:r>
              <w:rPr>
                <w:rFonts w:ascii="Times New Roman" w:hAnsi="Times New Roman" w:eastAsia="仿宋" w:cs="Times New Roman"/>
                <w:kern w:val="0"/>
                <w:sz w:val="22"/>
              </w:rPr>
              <w:t>——</w:t>
            </w:r>
          </w:p>
        </w:tc>
        <w:tc>
          <w:tcPr>
            <w:tcW w:w="3220" w:type="dxa"/>
            <w:tcBorders>
              <w:top w:val="nil"/>
              <w:left w:val="nil"/>
              <w:bottom w:val="single" w:color="auto" w:sz="4" w:space="0"/>
              <w:right w:val="single" w:color="auto" w:sz="4" w:space="0"/>
            </w:tcBorders>
            <w:vAlign w:val="center"/>
          </w:tcPr>
          <w:p>
            <w:pPr>
              <w:widowControl/>
              <w:jc w:val="center"/>
              <w:rPr>
                <w:rFonts w:hint="default" w:ascii="Times New Roman" w:hAnsi="Times New Roman" w:eastAsia="仿宋" w:cs="Times New Roman"/>
                <w:kern w:val="0"/>
                <w:sz w:val="22"/>
                <w:lang w:val="en-US" w:eastAsia="zh-CN"/>
              </w:rPr>
            </w:pPr>
            <w:r>
              <w:rPr>
                <w:rFonts w:hint="eastAsia" w:ascii="Times New Roman" w:hAnsi="Times New Roman" w:eastAsia="仿宋" w:cs="Times New Roman"/>
                <w:kern w:val="0"/>
                <w:sz w:val="22"/>
                <w:lang w:val="en-US" w:eastAsia="zh-CN"/>
              </w:rPr>
              <w:t>294.26</w:t>
            </w:r>
          </w:p>
        </w:tc>
      </w:tr>
    </w:tbl>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八、名词解释</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1、一般公共预算拨款收入：指</w:t>
      </w:r>
      <w:r>
        <w:rPr>
          <w:rFonts w:hint="eastAsia" w:ascii="Times New Roman" w:hAnsi="Times New Roman" w:eastAsia="仿宋" w:cs="Times New Roman"/>
          <w:sz w:val="32"/>
          <w:szCs w:val="32"/>
          <w:lang w:val="en-US" w:eastAsia="zh-CN"/>
        </w:rPr>
        <w:t>区县级</w:t>
      </w:r>
      <w:r>
        <w:rPr>
          <w:rFonts w:hint="eastAsia" w:ascii="Times New Roman" w:hAnsi="Times New Roman" w:eastAsia="仿宋" w:cs="Times New Roman"/>
          <w:sz w:val="32"/>
          <w:szCs w:val="32"/>
        </w:rPr>
        <w:t>财政当年拨付的资金。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2、事业收入：指事业单位开展专业业务活动及辅助活动所取得的收入。</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3、其他收入：指除“一般公共预算拨款收入”、“事业收入”等以外的收入。主要是按规定动用的租房收入、存款利息收入等。</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4、基本支出：指为保障机构正常运转、完成日常工作任务而发生的人员支出和公用支出。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5、项目支出：指在基本支出之外为完成特定行政任务和事业发展目标所发生的支出。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6、上缴上级支出：指下级单位上缴上级的支出。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7、“三公”经费：纳入</w:t>
      </w:r>
      <w:r>
        <w:rPr>
          <w:rFonts w:hint="eastAsia" w:ascii="Times New Roman" w:hAnsi="Times New Roman" w:eastAsia="仿宋" w:cs="Times New Roman"/>
          <w:sz w:val="32"/>
          <w:szCs w:val="32"/>
          <w:lang w:val="en-US" w:eastAsia="zh-CN"/>
        </w:rPr>
        <w:t>区县级</w:t>
      </w:r>
      <w:r>
        <w:rPr>
          <w:rFonts w:hint="eastAsia" w:ascii="Times New Roman" w:hAnsi="Times New Roman" w:eastAsia="仿宋" w:cs="Times New Roman"/>
          <w:sz w:val="32"/>
          <w:szCs w:val="32"/>
        </w:rPr>
        <w:t>财政预算管理的“三公”经费，是指</w:t>
      </w:r>
      <w:r>
        <w:rPr>
          <w:rFonts w:hint="eastAsia" w:ascii="Times New Roman" w:hAnsi="Times New Roman" w:eastAsia="仿宋" w:cs="Times New Roman"/>
          <w:sz w:val="32"/>
          <w:szCs w:val="32"/>
          <w:lang w:val="en-US" w:eastAsia="zh-CN"/>
        </w:rPr>
        <w:t>区县级</w:t>
      </w:r>
      <w:r>
        <w:rPr>
          <w:rFonts w:hint="eastAsia" w:ascii="Times New Roman" w:hAnsi="Times New Roman" w:eastAsia="仿宋" w:cs="Times New Roman"/>
          <w:sz w:val="32"/>
          <w:szCs w:val="32"/>
        </w:rPr>
        <w:t>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8、机关运行费：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9、上年结转：指以前年度尚未完成、结转到本年仍按原规定用途继续使用的资金。</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10、事业单位经营支出：指事业单位在专业业务活动及其辅助活动之外开展非独立核算经营活动发生的支出。</w:t>
      </w:r>
    </w:p>
    <w:p>
      <w:pPr>
        <w:ind w:firstLine="643" w:firstLineChars="200"/>
        <w:rPr>
          <w:rFonts w:ascii="宋体-方正超大字符集" w:hAnsi="宋体-方正超大字符集" w:eastAsia="宋体-方正超大字符集" w:cs="宋体-方正超大字符集"/>
          <w:b/>
          <w:bCs/>
          <w:sz w:val="32"/>
          <w:szCs w:val="32"/>
        </w:rPr>
      </w:pPr>
      <w:r>
        <w:rPr>
          <w:rFonts w:hint="eastAsia" w:ascii="宋体-方正超大字符集" w:hAnsi="宋体-方正超大字符集" w:eastAsia="宋体-方正超大字符集" w:cs="宋体-方正超大字符集"/>
          <w:b/>
          <w:bCs/>
          <w:sz w:val="32"/>
          <w:szCs w:val="32"/>
        </w:rPr>
        <w:t>九、其他需要说明的事项</w:t>
      </w:r>
    </w:p>
    <w:p>
      <w:pPr>
        <w:ind w:firstLine="640" w:firstLineChars="200"/>
        <w:rPr>
          <w:rFonts w:ascii="Times New Roman" w:hAnsi="Times New Roman" w:eastAsia="仿宋" w:cs="Times New Roman"/>
          <w:sz w:val="32"/>
          <w:szCs w:val="32"/>
        </w:rPr>
      </w:pPr>
      <w:r>
        <w:rPr>
          <w:rFonts w:hint="eastAsia" w:ascii="Times New Roman" w:hAnsi="Times New Roman" w:eastAsia="仿宋" w:cs="Times New Roman"/>
          <w:sz w:val="32"/>
          <w:szCs w:val="32"/>
        </w:rPr>
        <w:t>我部门无其他需要说明的事项。</w:t>
      </w:r>
    </w:p>
    <w:sectPr>
      <w:footerReference r:id="rId3" w:type="default"/>
      <w:pgSz w:w="11906" w:h="16838"/>
      <w:pgMar w:top="1440" w:right="1800" w:bottom="1440" w:left="180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方正小标宋_GBK">
    <w:altName w:val="宋体"/>
    <w:panose1 w:val="00000000000000000000"/>
    <w:charset w:val="86"/>
    <w:family w:val="auto"/>
    <w:pitch w:val="default"/>
    <w:sig w:usb0="00000000" w:usb1="00000000" w:usb2="00000010" w:usb3="00000000" w:csb0="00040000" w:csb1="00000000"/>
  </w:font>
  <w:font w:name="仿宋">
    <w:panose1 w:val="02010609060101010101"/>
    <w:charset w:val="86"/>
    <w:family w:val="modern"/>
    <w:pitch w:val="default"/>
    <w:sig w:usb0="800002BF" w:usb1="38CF7CFA" w:usb2="00000016" w:usb3="00000000" w:csb0="00040001" w:csb1="00000000"/>
  </w:font>
  <w:font w:name="Batang">
    <w:panose1 w:val="02030600000101010101"/>
    <w:charset w:val="81"/>
    <w:family w:val="roman"/>
    <w:pitch w:val="default"/>
    <w:sig w:usb0="B00002AF" w:usb1="69D77CFB" w:usb2="00000030" w:usb3="00000000" w:csb0="4008009F" w:csb1="DFD70000"/>
  </w:font>
  <w:font w:name="方正书宋_GBK">
    <w:altName w:val="宋体"/>
    <w:panose1 w:val="00000000000000000000"/>
    <w:charset w:val="86"/>
    <w:family w:val="auto"/>
    <w:pitch w:val="default"/>
    <w:sig w:usb0="00000000" w:usb1="00000000" w:usb2="00000010" w:usb3="00000000" w:csb0="00040000" w:csb1="00000000"/>
  </w:font>
  <w:font w:name="方正仿宋_GBK">
    <w:altName w:val="宋体"/>
    <w:panose1 w:val="00000000000000000000"/>
    <w:charset w:val="86"/>
    <w:family w:val="auto"/>
    <w:pitch w:val="default"/>
    <w:sig w:usb0="00000000" w:usb1="00000000" w:usb2="00000010" w:usb3="00000000" w:csb0="00040000" w:csb1="00000000"/>
  </w:font>
  <w:font w:name="宋体-方正超大字符集">
    <w:altName w:val="宋体"/>
    <w:panose1 w:val="03000509000000000000"/>
    <w:charset w:val="86"/>
    <w:family w:val="auto"/>
    <w:pitch w:val="default"/>
    <w:sig w:usb0="00000000" w:usb1="00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4"/>
      </w:rPr>
    </w:pPr>
    <w:r>
      <w:fldChar w:fldCharType="begin"/>
    </w:r>
    <w:r>
      <w:rPr>
        <w:rStyle w:val="14"/>
      </w:rPr>
      <w:instrText xml:space="preserve">PAGE  </w:instrText>
    </w:r>
    <w:r>
      <w:fldChar w:fldCharType="separate"/>
    </w:r>
    <w:r>
      <w:rPr>
        <w:rStyle w:val="14"/>
      </w:rPr>
      <w:t>35</w:t>
    </w:r>
    <w:r>
      <w:fldChar w:fldCharType="end"/>
    </w:r>
  </w:p>
  <w:p>
    <w:pPr>
      <w:pStyle w:val="2"/>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2CD4C29"/>
    <w:multiLevelType w:val="singleLevel"/>
    <w:tmpl w:val="B2CD4C29"/>
    <w:lvl w:ilvl="0" w:tentative="0">
      <w:start w:val="2"/>
      <w:numFmt w:val="chineseCounting"/>
      <w:suff w:val="space"/>
      <w:lvlText w:val="第%1部分"/>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9"/>
  <w:bordersDoNotSurroundHeader w:val="1"/>
  <w:bordersDoNotSurroundFooter w:val="1"/>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7C3239"/>
    <w:rsid w:val="0006638C"/>
    <w:rsid w:val="000D4B32"/>
    <w:rsid w:val="000D78B6"/>
    <w:rsid w:val="00123809"/>
    <w:rsid w:val="00140559"/>
    <w:rsid w:val="002C77CA"/>
    <w:rsid w:val="0033214F"/>
    <w:rsid w:val="003871B2"/>
    <w:rsid w:val="004A0FC5"/>
    <w:rsid w:val="004B66B3"/>
    <w:rsid w:val="00565658"/>
    <w:rsid w:val="005E4E0B"/>
    <w:rsid w:val="00737E4F"/>
    <w:rsid w:val="00795F80"/>
    <w:rsid w:val="007B3D85"/>
    <w:rsid w:val="007C3239"/>
    <w:rsid w:val="009113B6"/>
    <w:rsid w:val="00941F1D"/>
    <w:rsid w:val="00950E36"/>
    <w:rsid w:val="0096408F"/>
    <w:rsid w:val="00B931FF"/>
    <w:rsid w:val="00BF6FC8"/>
    <w:rsid w:val="00CB6656"/>
    <w:rsid w:val="00DC1F66"/>
    <w:rsid w:val="00DF152E"/>
    <w:rsid w:val="00E34F5F"/>
    <w:rsid w:val="00EB4288"/>
    <w:rsid w:val="00FB6BAB"/>
    <w:rsid w:val="105E098F"/>
    <w:rsid w:val="15C37CCE"/>
    <w:rsid w:val="1A934B76"/>
    <w:rsid w:val="1DED4C5D"/>
    <w:rsid w:val="1E3D5530"/>
    <w:rsid w:val="21FF75CB"/>
    <w:rsid w:val="2E273553"/>
    <w:rsid w:val="304F26E9"/>
    <w:rsid w:val="312401A4"/>
    <w:rsid w:val="3B7A3B77"/>
    <w:rsid w:val="3D59211A"/>
    <w:rsid w:val="3F0D74CD"/>
    <w:rsid w:val="466D4578"/>
    <w:rsid w:val="5095246C"/>
    <w:rsid w:val="52367EB0"/>
    <w:rsid w:val="58193F70"/>
    <w:rsid w:val="59442570"/>
    <w:rsid w:val="5F24738A"/>
    <w:rsid w:val="60573056"/>
    <w:rsid w:val="636C3187"/>
    <w:rsid w:val="66BB2750"/>
    <w:rsid w:val="77197D59"/>
    <w:rsid w:val="7D6C547A"/>
  </w:rsids>
  <m:mathPr>
    <m:mathFont m:val="Cambria Math"/>
    <m:brkBin m:val="before"/>
    <m:brkBinSub m:val="--"/>
    <m:smallFrac m:val="0"/>
    <m:dispDef/>
    <m:lMargin m:val="0"/>
    <m:rMargin m:val="0"/>
    <m:defJc m:val="centerGroup"/>
    <m:wrapIndent m:val="1440"/>
    <m:intLim m:val="subSup"/>
    <m:naryLim m:val="undOvr"/>
  </m:mathPr>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semiHidden/>
    <w:unhideWhenUsed/>
    <w:uiPriority w:val="1"/>
  </w:style>
  <w:style w:type="table" w:default="1" w:styleId="9">
    <w:name w:val="Normal Table"/>
    <w:semiHidden/>
    <w:unhideWhenUsed/>
    <w:qFormat/>
    <w:uiPriority w:val="99"/>
    <w:tblPr>
      <w:tblLayout w:type="fixed"/>
      <w:tblCellMar>
        <w:top w:w="0" w:type="dxa"/>
        <w:left w:w="108" w:type="dxa"/>
        <w:bottom w:w="0" w:type="dxa"/>
        <w:right w:w="108" w:type="dxa"/>
      </w:tblCellMar>
    </w:tblPr>
  </w:style>
  <w:style w:type="paragraph" w:styleId="2">
    <w:name w:val="footer"/>
    <w:basedOn w:val="1"/>
    <w:link w:val="10"/>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1"/>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8">
    <w:name w:val="footnote reference"/>
    <w:qFormat/>
    <w:uiPriority w:val="0"/>
    <w:rPr>
      <w:vertAlign w:val="superscript"/>
    </w:rPr>
  </w:style>
  <w:style w:type="character" w:customStyle="1" w:styleId="10">
    <w:name w:val="页脚 Char"/>
    <w:link w:val="2"/>
    <w:semiHidden/>
    <w:qFormat/>
    <w:uiPriority w:val="0"/>
    <w:rPr>
      <w:rFonts w:ascii="Times New Roman" w:hAnsi="Times New Roman" w:eastAsia="宋体" w:cs="Times New Roman"/>
      <w:sz w:val="18"/>
      <w:szCs w:val="18"/>
    </w:rPr>
  </w:style>
  <w:style w:type="character" w:customStyle="1" w:styleId="11">
    <w:name w:val="页眉 Char"/>
    <w:link w:val="3"/>
    <w:semiHidden/>
    <w:qFormat/>
    <w:uiPriority w:val="0"/>
    <w:rPr>
      <w:rFonts w:ascii="Times New Roman" w:hAnsi="Times New Roman" w:eastAsia="宋体" w:cs="Times New Roman"/>
      <w:sz w:val="18"/>
      <w:szCs w:val="18"/>
    </w:rPr>
  </w:style>
  <w:style w:type="paragraph" w:customStyle="1" w:styleId="12">
    <w:name w:val="Char"/>
    <w:basedOn w:val="1"/>
    <w:qFormat/>
    <w:uiPriority w:val="0"/>
    <w:rPr>
      <w:rFonts w:ascii="Times New Roman" w:hAnsi="Times New Roman" w:cs="Times New Roman"/>
      <w:szCs w:val="24"/>
    </w:rPr>
  </w:style>
  <w:style w:type="paragraph" w:customStyle="1" w:styleId="13">
    <w:name w:val="[Normal]"/>
    <w:qFormat/>
    <w:uiPriority w:val="0"/>
    <w:rPr>
      <w:rFonts w:ascii="宋体" w:hAnsi="宋体" w:eastAsia="宋体" w:cs="黑体"/>
      <w:sz w:val="24"/>
      <w:lang w:val="en-US" w:eastAsia="en-US" w:bidi="ar-SA"/>
    </w:rPr>
  </w:style>
  <w:style w:type="character" w:customStyle="1" w:styleId="14">
    <w:name w:val="页码1"/>
    <w:qFormat/>
    <w:uiPriority w:val="0"/>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Company>Microsoft</Company>
  <Pages>37</Pages>
  <Words>1927</Words>
  <Characters>10990</Characters>
  <Lines>91</Lines>
  <Paragraphs>25</Paragraphs>
  <TotalTime>3</TotalTime>
  <ScaleCrop>false</ScaleCrop>
  <LinksUpToDate>false</LinksUpToDate>
  <CharactersWithSpaces>12892</CharactersWithSpaces>
  <Application>WPS Office_10.1.0.7346_F1E327BC-269C-435d-A152-05C5408002CA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2017-01-24T01:29:00Z</dcterms:created>
  <dc:creator>guest</dc:creator>
  <cp:lastModifiedBy>lenovo</cp:lastModifiedBy>
  <cp:lastPrinted>2020-01-10T23:53:00Z</cp:lastPrinted>
  <dcterms:modified xsi:type="dcterms:W3CDTF">2021-05-24T05:11:38Z</dcterms:modified>
  <dc:title>Administrator</dc:title>
  <cp:revision>24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2052-10.1.0.7346</vt:lpwstr>
  </property>
  <property fmtid="{D5CDD505-2E9C-101B-9397-08002B2CF9AE}" pid="3" name="ICV">
    <vt:lpwstr>CC37BA9072294544B6387C97A32AB1D4</vt:lpwstr>
  </property>
</Properties>
</file>