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textAlignment w:val="auto"/>
        <w:outlineLvl w:val="9"/>
        <w:rPr>
          <w:rFonts w:ascii="仿宋" w:hAnsi="仿宋" w:eastAsia="仿宋" w:cs="仿宋"/>
          <w:sz w:val="32"/>
          <w:szCs w:val="32"/>
        </w:rPr>
      </w:pPr>
    </w:p>
    <w:p>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bookmarkStart w:id="0" w:name="_GoBack"/>
      <w:bookmarkEnd w:id="0"/>
      <w:r>
        <w:rPr>
          <w:rFonts w:hint="eastAsia" w:ascii="宋体" w:hAnsi="宋体" w:cs="宋体"/>
          <w:b/>
          <w:bCs/>
          <w:kern w:val="0"/>
          <w:sz w:val="44"/>
          <w:szCs w:val="44"/>
        </w:rPr>
        <w:t>部门年度</w:t>
      </w:r>
      <w:r>
        <w:rPr>
          <w:rFonts w:hint="eastAsia" w:ascii="宋体" w:hAnsi="宋体" w:cs="宋体"/>
          <w:b/>
          <w:bCs/>
          <w:sz w:val="44"/>
          <w:szCs w:val="44"/>
        </w:rPr>
        <w:t>绩效自评工作报告</w:t>
      </w: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一、绩效自评工作组织开展情况</w:t>
      </w:r>
    </w:p>
    <w:p>
      <w:pPr>
        <w:adjustRightInd w:val="0"/>
        <w:snapToGrid w:val="0"/>
        <w:spacing w:line="620" w:lineRule="exact"/>
        <w:ind w:firstLine="643" w:firstLineChars="200"/>
        <w:rPr>
          <w:rFonts w:hint="eastAsia" w:ascii="仿宋" w:hAnsi="仿宋" w:eastAsia="仿宋"/>
          <w:b/>
          <w:bCs/>
          <w:sz w:val="32"/>
          <w:szCs w:val="32"/>
        </w:rPr>
      </w:pPr>
      <w:r>
        <w:rPr>
          <w:rFonts w:hint="eastAsia" w:ascii="仿宋" w:hAnsi="仿宋" w:eastAsia="仿宋"/>
          <w:b/>
          <w:bCs/>
          <w:sz w:val="32"/>
          <w:szCs w:val="32"/>
          <w:lang w:val="en-US" w:eastAsia="zh-CN"/>
        </w:rPr>
        <w:t>1.</w:t>
      </w:r>
      <w:r>
        <w:rPr>
          <w:rFonts w:hint="eastAsia" w:ascii="仿宋" w:hAnsi="仿宋" w:eastAsia="仿宋"/>
          <w:b/>
          <w:bCs/>
          <w:sz w:val="32"/>
          <w:szCs w:val="32"/>
        </w:rPr>
        <w:t>自评的组织工作</w:t>
      </w:r>
    </w:p>
    <w:p>
      <w:pPr>
        <w:adjustRightInd w:val="0"/>
        <w:snapToGrid w:val="0"/>
        <w:spacing w:line="620" w:lineRule="exact"/>
        <w:ind w:firstLine="640" w:firstLineChars="200"/>
        <w:rPr>
          <w:rFonts w:hint="eastAsia" w:ascii="仿宋" w:hAnsi="仿宋" w:eastAsia="仿宋"/>
          <w:sz w:val="32"/>
          <w:szCs w:val="32"/>
        </w:rPr>
      </w:pPr>
      <w:r>
        <w:rPr>
          <w:rFonts w:hint="eastAsia" w:ascii="仿宋_GB2312" w:eastAsia="仿宋_GB2312"/>
          <w:sz w:val="32"/>
          <w:szCs w:val="32"/>
          <w:lang w:eastAsia="zh-CN"/>
        </w:rPr>
        <w:t>绩效评价工作由一把手牵头抓总负责推进，并由</w:t>
      </w:r>
      <w:r>
        <w:rPr>
          <w:rFonts w:hint="eastAsia" w:ascii="仿宋_GB2312" w:eastAsia="仿宋_GB2312"/>
          <w:sz w:val="32"/>
          <w:szCs w:val="32"/>
          <w:lang w:val="en-US" w:eastAsia="zh-CN"/>
        </w:rPr>
        <w:t>3</w:t>
      </w:r>
      <w:r>
        <w:rPr>
          <w:rFonts w:hint="eastAsia" w:ascii="仿宋_GB2312" w:eastAsia="仿宋_GB2312"/>
          <w:sz w:val="32"/>
          <w:szCs w:val="32"/>
          <w:lang w:eastAsia="zh-CN"/>
        </w:rPr>
        <w:t>名副校长、办公室主任、</w:t>
      </w:r>
      <w:r>
        <w:rPr>
          <w:rFonts w:hint="eastAsia" w:ascii="仿宋_GB2312" w:eastAsia="仿宋_GB2312"/>
          <w:sz w:val="32"/>
          <w:szCs w:val="32"/>
          <w:lang w:val="en-US" w:eastAsia="zh-CN"/>
        </w:rPr>
        <w:t>2名</w:t>
      </w:r>
      <w:r>
        <w:rPr>
          <w:rFonts w:hint="eastAsia" w:ascii="仿宋_GB2312" w:eastAsia="仿宋_GB2312"/>
          <w:sz w:val="32"/>
          <w:szCs w:val="32"/>
          <w:lang w:eastAsia="zh-CN"/>
        </w:rPr>
        <w:t>财务工作人员组成绩效测评工作小组。</w:t>
      </w:r>
    </w:p>
    <w:p>
      <w:pPr>
        <w:numPr>
          <w:numId w:val="0"/>
        </w:numPr>
        <w:adjustRightInd w:val="0"/>
        <w:snapToGrid w:val="0"/>
        <w:spacing w:line="620" w:lineRule="exact"/>
        <w:ind w:leftChars="200" w:firstLine="321" w:firstLineChars="100"/>
        <w:rPr>
          <w:rFonts w:hint="eastAsia" w:ascii="仿宋" w:hAnsi="仿宋" w:eastAsia="仿宋"/>
          <w:b/>
          <w:bCs/>
          <w:sz w:val="32"/>
          <w:szCs w:val="32"/>
        </w:rPr>
      </w:pPr>
      <w:r>
        <w:rPr>
          <w:rFonts w:hint="eastAsia" w:ascii="仿宋" w:hAnsi="仿宋" w:eastAsia="仿宋"/>
          <w:b/>
          <w:bCs/>
          <w:sz w:val="32"/>
          <w:szCs w:val="32"/>
          <w:lang w:val="en-US" w:eastAsia="zh-CN"/>
        </w:rPr>
        <w:t>2.</w:t>
      </w:r>
      <w:r>
        <w:rPr>
          <w:rFonts w:hint="eastAsia" w:ascii="仿宋" w:hAnsi="仿宋" w:eastAsia="仿宋"/>
          <w:b/>
          <w:bCs/>
          <w:sz w:val="32"/>
          <w:szCs w:val="32"/>
        </w:rPr>
        <w:t>自评的方法和过程</w:t>
      </w:r>
    </w:p>
    <w:p>
      <w:pPr>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after="0" w:afterLines="0" w:line="620" w:lineRule="exact"/>
        <w:ind w:left="0" w:leftChars="0" w:right="0" w:rightChars="0" w:firstLine="640" w:firstLineChars="200"/>
        <w:jc w:val="both"/>
        <w:textAlignment w:val="auto"/>
        <w:outlineLvl w:val="9"/>
        <w:rPr>
          <w:rFonts w:hint="eastAsia" w:ascii="仿宋" w:hAnsi="仿宋" w:eastAsia="仿宋"/>
          <w:sz w:val="32"/>
          <w:szCs w:val="32"/>
        </w:rPr>
      </w:pPr>
      <w:r>
        <w:rPr>
          <w:rFonts w:hint="eastAsia" w:ascii="仿宋_GB2312" w:eastAsia="仿宋_GB2312"/>
          <w:sz w:val="32"/>
          <w:szCs w:val="32"/>
          <w:lang w:eastAsia="zh-CN"/>
        </w:rPr>
        <w:t>绩效评价工作由一把手统一布置安排，共分三个阶段进行。第一个阶段，筹备资料阶段；第二个阶段，集中测评阶段，绩效测评小组成员按照绩效评价指标体系以及提供材料进行测评打分；第三阶段，汇总生成报告阶段，根据对测评结果进行汇总审核并撰写自评报告。</w:t>
      </w:r>
    </w:p>
    <w:p>
      <w:pPr>
        <w:numPr>
          <w:numId w:val="0"/>
        </w:numPr>
        <w:adjustRightInd w:val="0"/>
        <w:snapToGrid w:val="0"/>
        <w:spacing w:line="580" w:lineRule="exact"/>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3.部门预算安排及资金拨付情况</w:t>
      </w:r>
    </w:p>
    <w:p>
      <w:pPr>
        <w:numPr>
          <w:numId w:val="0"/>
        </w:numPr>
        <w:adjustRightInd w:val="0"/>
        <w:snapToGrid w:val="0"/>
        <w:spacing w:line="580" w:lineRule="exact"/>
        <w:ind w:firstLine="640" w:firstLineChars="200"/>
        <w:rPr>
          <w:rFonts w:hint="eastAsia" w:ascii="仿宋_GB2312" w:eastAsia="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w:t>
      </w:r>
      <w:r>
        <w:rPr>
          <w:rFonts w:hint="eastAsia" w:ascii="仿宋_GB2312" w:hAnsi="仿宋_GB2312" w:eastAsia="仿宋_GB2312" w:cs="仿宋_GB2312"/>
          <w:sz w:val="32"/>
          <w:szCs w:val="32"/>
          <w:lang w:eastAsia="zh-CN"/>
        </w:rPr>
        <w:t>，</w:t>
      </w:r>
      <w:r>
        <w:rPr>
          <w:rFonts w:hint="eastAsia" w:ascii="仿宋_GB2312" w:eastAsia="仿宋_GB2312"/>
          <w:sz w:val="32"/>
          <w:szCs w:val="32"/>
        </w:rPr>
        <w:t>涉及理论研究与决策咨询</w:t>
      </w:r>
      <w:r>
        <w:rPr>
          <w:rFonts w:hint="eastAsia" w:ascii="仿宋_GB2312" w:eastAsia="仿宋_GB2312"/>
          <w:sz w:val="32"/>
          <w:szCs w:val="32"/>
          <w:lang w:eastAsia="zh-CN"/>
        </w:rPr>
        <w:t>、行政后勤</w:t>
      </w:r>
      <w:r>
        <w:rPr>
          <w:rFonts w:hint="eastAsia" w:ascii="仿宋_GB2312" w:eastAsia="仿宋_GB2312"/>
          <w:sz w:val="32"/>
          <w:szCs w:val="32"/>
          <w:lang w:val="en-US" w:eastAsia="zh-CN"/>
        </w:rPr>
        <w:t>2</w:t>
      </w:r>
      <w:r>
        <w:rPr>
          <w:rFonts w:hint="eastAsia" w:ascii="仿宋_GB2312" w:eastAsia="仿宋_GB2312"/>
          <w:sz w:val="32"/>
          <w:szCs w:val="32"/>
        </w:rPr>
        <w:t>个项目，</w:t>
      </w:r>
      <w:r>
        <w:rPr>
          <w:rFonts w:hint="eastAsia" w:ascii="仿宋_GB2312" w:eastAsia="仿宋_GB2312"/>
          <w:sz w:val="32"/>
          <w:szCs w:val="32"/>
          <w:lang w:eastAsia="zh-CN"/>
        </w:rPr>
        <w:t>预算安排</w:t>
      </w:r>
      <w:r>
        <w:rPr>
          <w:rFonts w:hint="eastAsia" w:ascii="仿宋_GB2312" w:eastAsia="仿宋_GB2312"/>
          <w:sz w:val="32"/>
          <w:szCs w:val="32"/>
        </w:rPr>
        <w:t>资金</w:t>
      </w:r>
      <w:r>
        <w:rPr>
          <w:rFonts w:hint="eastAsia" w:ascii="仿宋_GB2312" w:eastAsia="仿宋_GB2312"/>
          <w:sz w:val="32"/>
          <w:szCs w:val="32"/>
          <w:lang w:val="en-US" w:eastAsia="zh-CN"/>
        </w:rPr>
        <w:t>11.48</w:t>
      </w:r>
      <w:r>
        <w:rPr>
          <w:rFonts w:hint="eastAsia" w:ascii="仿宋_GB2312" w:eastAsia="仿宋_GB2312"/>
          <w:sz w:val="32"/>
          <w:szCs w:val="32"/>
        </w:rPr>
        <w:t>万元</w:t>
      </w:r>
      <w:r>
        <w:rPr>
          <w:rFonts w:hint="eastAsia" w:ascii="仿宋_GB2312" w:eastAsia="仿宋_GB2312"/>
          <w:sz w:val="32"/>
          <w:szCs w:val="32"/>
          <w:lang w:eastAsia="zh-CN"/>
        </w:rPr>
        <w:t>，实际拨付资金</w:t>
      </w:r>
      <w:r>
        <w:rPr>
          <w:rFonts w:hint="eastAsia" w:ascii="仿宋_GB2312" w:eastAsia="仿宋_GB2312"/>
          <w:sz w:val="32"/>
          <w:szCs w:val="32"/>
          <w:lang w:val="en-US" w:eastAsia="zh-CN"/>
        </w:rPr>
        <w:t>11.48万元</w:t>
      </w:r>
      <w:r>
        <w:rPr>
          <w:rFonts w:hint="eastAsia" w:ascii="仿宋_GB2312" w:eastAsia="仿宋_GB2312"/>
          <w:sz w:val="32"/>
          <w:szCs w:val="32"/>
        </w:rPr>
        <w:t>。从评价情况看，评价结果为优秀的项目有</w:t>
      </w:r>
      <w:r>
        <w:rPr>
          <w:rFonts w:hint="eastAsia" w:ascii="仿宋_GB2312" w:eastAsia="仿宋_GB2312"/>
          <w:sz w:val="32"/>
          <w:szCs w:val="32"/>
          <w:lang w:val="en-US" w:eastAsia="zh-CN"/>
        </w:rPr>
        <w:t>2</w:t>
      </w:r>
      <w:r>
        <w:rPr>
          <w:rFonts w:hint="eastAsia" w:ascii="仿宋_GB2312" w:eastAsia="仿宋_GB2312"/>
          <w:sz w:val="32"/>
          <w:szCs w:val="32"/>
        </w:rPr>
        <w:t>个，良好的项目有</w:t>
      </w:r>
      <w:r>
        <w:rPr>
          <w:rFonts w:hint="eastAsia" w:ascii="仿宋_GB2312" w:eastAsia="仿宋_GB2312"/>
          <w:sz w:val="32"/>
          <w:szCs w:val="32"/>
          <w:lang w:val="en-US" w:eastAsia="zh-CN"/>
        </w:rPr>
        <w:t>0</w:t>
      </w:r>
      <w:r>
        <w:rPr>
          <w:rFonts w:hint="eastAsia" w:ascii="仿宋_GB2312" w:eastAsia="仿宋_GB2312"/>
          <w:sz w:val="32"/>
          <w:szCs w:val="32"/>
        </w:rPr>
        <w:t>个，一般的项目有</w:t>
      </w:r>
      <w:r>
        <w:rPr>
          <w:rFonts w:hint="eastAsia" w:ascii="仿宋_GB2312" w:eastAsia="仿宋_GB2312"/>
          <w:sz w:val="32"/>
          <w:szCs w:val="32"/>
          <w:lang w:val="en-US" w:eastAsia="zh-CN"/>
        </w:rPr>
        <w:t>0</w:t>
      </w:r>
      <w:r>
        <w:rPr>
          <w:rFonts w:hint="eastAsia" w:ascii="仿宋_GB2312" w:eastAsia="仿宋_GB2312"/>
          <w:sz w:val="32"/>
          <w:szCs w:val="32"/>
        </w:rPr>
        <w:t>个。</w:t>
      </w:r>
    </w:p>
    <w:p>
      <w:pPr>
        <w:numPr>
          <w:numId w:val="0"/>
        </w:numPr>
        <w:adjustRightInd w:val="0"/>
        <w:snapToGrid w:val="0"/>
        <w:spacing w:line="580" w:lineRule="exact"/>
        <w:ind w:firstLine="643" w:firstLineChars="200"/>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4.部门日常管理</w:t>
      </w:r>
    </w:p>
    <w:p>
      <w:pPr>
        <w:adjustRightInd w:val="0"/>
        <w:snapToGrid w:val="0"/>
        <w:spacing w:line="620" w:lineRule="exact"/>
        <w:ind w:firstLine="640" w:firstLineChars="200"/>
        <w:rPr>
          <w:rFonts w:hint="eastAsia" w:ascii="仿宋_GB2312" w:eastAsia="仿宋_GB2312"/>
          <w:sz w:val="32"/>
          <w:szCs w:val="32"/>
          <w:lang w:eastAsia="zh-CN"/>
        </w:rPr>
      </w:pPr>
      <w:r>
        <w:rPr>
          <w:rFonts w:hint="eastAsia" w:ascii="仿宋" w:hAnsi="仿宋" w:eastAsia="仿宋"/>
          <w:sz w:val="32"/>
          <w:szCs w:val="32"/>
        </w:rPr>
        <w:t>业务管理情况分析。</w:t>
      </w:r>
      <w:r>
        <w:rPr>
          <w:rFonts w:hint="eastAsia" w:ascii="仿宋_GB2312" w:eastAsia="仿宋_GB2312"/>
          <w:sz w:val="32"/>
          <w:szCs w:val="32"/>
          <w:lang w:eastAsia="zh-CN"/>
        </w:rPr>
        <w:t>我单位已制定相应的业务管理制度，业务管理制度合法、合规、完整，项目实施符合相关法律法规及业务管理规定，为达到项目质量要求而采取了必需的措施。</w:t>
      </w:r>
    </w:p>
    <w:p>
      <w:pPr>
        <w:adjustRightInd w:val="0"/>
        <w:snapToGrid w:val="0"/>
        <w:spacing w:line="620" w:lineRule="exact"/>
        <w:ind w:firstLine="640" w:firstLineChars="200"/>
        <w:rPr>
          <w:rFonts w:hint="default" w:ascii="仿宋_GB2312" w:eastAsia="仿宋_GB2312"/>
          <w:b/>
          <w:bCs/>
          <w:sz w:val="32"/>
          <w:szCs w:val="32"/>
          <w:lang w:val="en-US" w:eastAsia="zh-CN"/>
        </w:rPr>
      </w:pPr>
      <w:r>
        <w:rPr>
          <w:rFonts w:hint="eastAsia" w:ascii="仿宋" w:hAnsi="仿宋" w:eastAsia="仿宋"/>
          <w:sz w:val="32"/>
          <w:szCs w:val="32"/>
        </w:rPr>
        <w:t>财务管理。</w:t>
      </w:r>
      <w:r>
        <w:rPr>
          <w:rFonts w:hint="eastAsia" w:ascii="仿宋_GB2312" w:eastAsia="仿宋_GB2312"/>
          <w:sz w:val="32"/>
          <w:szCs w:val="32"/>
          <w:lang w:eastAsia="zh-CN"/>
        </w:rPr>
        <w:t>我单位已制定相应的</w:t>
      </w:r>
      <w:r>
        <w:rPr>
          <w:rFonts w:hint="eastAsia" w:ascii="仿宋_GB2312" w:eastAsia="仿宋_GB2312"/>
          <w:sz w:val="32"/>
          <w:szCs w:val="32"/>
          <w:lang w:val="en-US" w:eastAsia="zh-CN"/>
        </w:rPr>
        <w:t>项目资金管理办法，项目资金管理办法符合相关财务会计制度的规定，</w:t>
      </w:r>
      <w:r>
        <w:rPr>
          <w:rFonts w:hint="eastAsia" w:ascii="仿宋_GB2312" w:eastAsia="仿宋_GB2312"/>
          <w:sz w:val="32"/>
          <w:szCs w:val="32"/>
          <w:lang w:eastAsia="zh-CN"/>
        </w:rPr>
        <w:t>项目资金使用是否符合相关的财务管理制度规定，为保障资金的安全、规范运行而采取了必要的监控措施。</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黑体" w:hAnsi="黑体" w:eastAsia="黑体" w:cs="黑体"/>
          <w:sz w:val="32"/>
          <w:szCs w:val="32"/>
        </w:rPr>
        <w:t>二、绩效目标实现情况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w:t>
      </w:r>
      <w:r>
        <w:rPr>
          <w:rFonts w:hint="eastAsia" w:ascii="仿宋_GB2312" w:hAnsi="仿宋_GB2312" w:eastAsia="仿宋_GB2312" w:cs="仿宋_GB2312"/>
          <w:sz w:val="32"/>
          <w:szCs w:val="32"/>
          <w:lang w:eastAsia="zh-CN"/>
        </w:rPr>
        <w:t>，</w:t>
      </w:r>
      <w:r>
        <w:rPr>
          <w:rFonts w:hint="eastAsia" w:ascii="仿宋_GB2312" w:eastAsia="仿宋_GB2312"/>
          <w:sz w:val="32"/>
          <w:szCs w:val="32"/>
        </w:rPr>
        <w:t>涉及理论研究与决策咨询</w:t>
      </w:r>
      <w:r>
        <w:rPr>
          <w:rFonts w:hint="eastAsia" w:ascii="仿宋_GB2312" w:eastAsia="仿宋_GB2312"/>
          <w:sz w:val="32"/>
          <w:szCs w:val="32"/>
          <w:lang w:eastAsia="zh-CN"/>
        </w:rPr>
        <w:t>、行政后勤</w:t>
      </w:r>
      <w:r>
        <w:rPr>
          <w:rFonts w:hint="eastAsia" w:ascii="仿宋_GB2312" w:eastAsia="仿宋_GB2312"/>
          <w:sz w:val="32"/>
          <w:szCs w:val="32"/>
          <w:lang w:val="en-US" w:eastAsia="zh-CN"/>
        </w:rPr>
        <w:t>2</w:t>
      </w:r>
      <w:r>
        <w:rPr>
          <w:rFonts w:hint="eastAsia" w:ascii="仿宋_GB2312" w:eastAsia="仿宋_GB2312"/>
          <w:sz w:val="32"/>
          <w:szCs w:val="32"/>
        </w:rPr>
        <w:t>个项目</w:t>
      </w:r>
      <w:r>
        <w:rPr>
          <w:rFonts w:hint="eastAsia" w:ascii="仿宋_GB2312" w:hAnsi="仿宋_GB2312" w:eastAsia="仿宋_GB2312" w:cs="仿宋_GB2312"/>
          <w:sz w:val="32"/>
          <w:szCs w:val="32"/>
        </w:rPr>
        <w:t>。</w:t>
      </w:r>
    </w:p>
    <w:p>
      <w:pPr>
        <w:numPr>
          <w:ilvl w:val="0"/>
          <w:numId w:val="0"/>
        </w:numPr>
        <w:adjustRightInd w:val="0"/>
        <w:snapToGrid w:val="0"/>
        <w:spacing w:line="580" w:lineRule="exact"/>
        <w:ind w:firstLine="640" w:firstLineChars="200"/>
        <w:rPr>
          <w:rFonts w:hint="eastAsia" w:ascii="仿宋_GB2312" w:hAnsi="仿宋_GB2312" w:eastAsia="仿宋_GB2312" w:cs="仿宋_GB2312"/>
          <w:b/>
          <w:bCs/>
          <w:sz w:val="32"/>
          <w:szCs w:val="32"/>
          <w:lang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1</w:t>
      </w:r>
      <w:r>
        <w:rPr>
          <w:rFonts w:hint="eastAsia" w:ascii="仿宋_GB2312" w:eastAsia="仿宋_GB2312"/>
          <w:sz w:val="32"/>
          <w:szCs w:val="32"/>
          <w:lang w:eastAsia="zh-CN"/>
        </w:rPr>
        <w:t>）</w:t>
      </w:r>
      <w:r>
        <w:rPr>
          <w:rFonts w:hint="eastAsia" w:ascii="仿宋_GB2312" w:eastAsia="仿宋_GB2312"/>
          <w:sz w:val="32"/>
          <w:szCs w:val="32"/>
        </w:rPr>
        <w:t>理论研究与决策咨询</w:t>
      </w:r>
      <w:r>
        <w:rPr>
          <w:rFonts w:hint="eastAsia" w:ascii="仿宋_GB2312" w:eastAsia="仿宋_GB2312"/>
          <w:sz w:val="32"/>
          <w:szCs w:val="32"/>
          <w:lang w:eastAsia="zh-CN"/>
        </w:rPr>
        <w:t>项目</w:t>
      </w:r>
      <w:r>
        <w:rPr>
          <w:rFonts w:hint="eastAsia" w:ascii="仿宋_GB2312" w:hAnsi="仿宋_GB2312" w:eastAsia="仿宋_GB2312" w:cs="仿宋_GB2312"/>
          <w:sz w:val="32"/>
          <w:szCs w:val="32"/>
        </w:rPr>
        <w:t>自评综述：根据年初设定的绩效目标，</w:t>
      </w:r>
      <w:r>
        <w:rPr>
          <w:rFonts w:hint="eastAsia" w:ascii="仿宋_GB2312" w:eastAsia="仿宋_GB2312"/>
          <w:sz w:val="32"/>
          <w:szCs w:val="32"/>
        </w:rPr>
        <w:t>理论研究与决策咨询</w:t>
      </w:r>
      <w:r>
        <w:rPr>
          <w:rFonts w:hint="eastAsia" w:ascii="仿宋_GB2312" w:eastAsia="仿宋_GB2312"/>
          <w:sz w:val="32"/>
          <w:szCs w:val="32"/>
          <w:lang w:eastAsia="zh-CN"/>
        </w:rPr>
        <w:t>项目</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5万元，评价结果为优秀</w:t>
      </w:r>
      <w:r>
        <w:rPr>
          <w:rFonts w:hint="eastAsia" w:ascii="仿宋_GB2312" w:hAnsi="仿宋_GB2312" w:eastAsia="仿宋_GB2312" w:cs="仿宋_GB2312"/>
          <w:sz w:val="32"/>
          <w:szCs w:val="32"/>
        </w:rPr>
        <w:t>。</w:t>
      </w:r>
    </w:p>
    <w:p>
      <w:pPr>
        <w:numPr>
          <w:ilvl w:val="0"/>
          <w:numId w:val="0"/>
        </w:numPr>
        <w:adjustRightInd w:val="0"/>
        <w:snapToGrid w:val="0"/>
        <w:spacing w:line="580" w:lineRule="exact"/>
        <w:ind w:firstLine="640" w:firstLineChars="200"/>
        <w:rPr>
          <w:rFonts w:hint="eastAsia" w:ascii="仿宋" w:hAnsi="仿宋" w:eastAsia="仿宋" w:cs="仿宋"/>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2</w:t>
      </w:r>
      <w:r>
        <w:rPr>
          <w:rFonts w:hint="eastAsia" w:ascii="仿宋_GB2312" w:eastAsia="仿宋_GB2312"/>
          <w:sz w:val="32"/>
          <w:szCs w:val="32"/>
          <w:lang w:eastAsia="zh-CN"/>
        </w:rPr>
        <w:t>）行政后勤</w:t>
      </w:r>
      <w:r>
        <w:rPr>
          <w:rFonts w:hint="eastAsia" w:ascii="仿宋_GB2312" w:hAnsi="仿宋_GB2312" w:eastAsia="仿宋_GB2312" w:cs="仿宋_GB2312"/>
          <w:sz w:val="32"/>
          <w:szCs w:val="32"/>
        </w:rPr>
        <w:t>项目绩效自评综述：根据年初设定的绩效目标，</w:t>
      </w:r>
      <w:r>
        <w:rPr>
          <w:rFonts w:hint="eastAsia" w:ascii="仿宋_GB2312" w:eastAsia="仿宋_GB2312"/>
          <w:sz w:val="32"/>
          <w:szCs w:val="32"/>
          <w:lang w:eastAsia="zh-CN"/>
        </w:rPr>
        <w:t>行政后勤项目</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6.48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6.48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6.48万元，评价结果为优秀</w:t>
      </w:r>
      <w:r>
        <w:rPr>
          <w:rFonts w:hint="eastAsia" w:ascii="仿宋_GB2312" w:hAnsi="仿宋_GB2312" w:eastAsia="仿宋_GB2312" w:cs="仿宋_GB2312"/>
          <w:sz w:val="32"/>
          <w:szCs w:val="32"/>
        </w:rPr>
        <w:t>。</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三、绩效目标设定质量情况</w:t>
      </w:r>
    </w:p>
    <w:p>
      <w:pPr>
        <w:widowControl w:val="0"/>
        <w:wordWrap/>
        <w:adjustRightInd/>
        <w:snapToGrid w:val="0"/>
        <w:spacing w:line="560" w:lineRule="exact"/>
        <w:ind w:left="0" w:leftChars="0" w:right="0"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通过绩效自评结果对比倒查年初绩效目标</w:t>
      </w:r>
      <w:r>
        <w:rPr>
          <w:rFonts w:hint="eastAsia" w:ascii="仿宋" w:hAnsi="仿宋" w:eastAsia="仿宋" w:cs="仿宋"/>
          <w:sz w:val="32"/>
          <w:szCs w:val="32"/>
          <w:lang w:eastAsia="zh-CN"/>
        </w:rPr>
        <w:t>的</w:t>
      </w:r>
      <w:r>
        <w:rPr>
          <w:rFonts w:hint="eastAsia" w:ascii="仿宋" w:hAnsi="仿宋" w:eastAsia="仿宋" w:cs="仿宋"/>
          <w:sz w:val="32"/>
          <w:szCs w:val="32"/>
        </w:rPr>
        <w:t>设定，绩效目标设定</w:t>
      </w:r>
      <w:r>
        <w:rPr>
          <w:rFonts w:hint="eastAsia" w:ascii="仿宋" w:hAnsi="仿宋" w:eastAsia="仿宋" w:cs="仿宋"/>
          <w:sz w:val="32"/>
          <w:szCs w:val="32"/>
          <w:lang w:eastAsia="zh-CN"/>
        </w:rPr>
        <w:t>较为</w:t>
      </w:r>
      <w:r>
        <w:rPr>
          <w:rFonts w:hint="eastAsia" w:ascii="仿宋" w:hAnsi="仿宋" w:eastAsia="仿宋" w:cs="仿宋"/>
          <w:sz w:val="32"/>
          <w:szCs w:val="32"/>
        </w:rPr>
        <w:t>清晰准确，绩效指标</w:t>
      </w:r>
      <w:r>
        <w:rPr>
          <w:rFonts w:hint="eastAsia" w:ascii="仿宋" w:hAnsi="仿宋" w:eastAsia="仿宋" w:cs="仿宋"/>
          <w:sz w:val="32"/>
          <w:szCs w:val="32"/>
          <w:lang w:eastAsia="zh-CN"/>
        </w:rPr>
        <w:t>较为</w:t>
      </w:r>
      <w:r>
        <w:rPr>
          <w:rFonts w:hint="eastAsia" w:ascii="仿宋" w:hAnsi="仿宋" w:eastAsia="仿宋" w:cs="仿宋"/>
          <w:sz w:val="32"/>
          <w:szCs w:val="32"/>
        </w:rPr>
        <w:t>全面完整、科学合理，绩效标准</w:t>
      </w:r>
      <w:r>
        <w:rPr>
          <w:rFonts w:hint="eastAsia" w:ascii="仿宋" w:hAnsi="仿宋" w:eastAsia="仿宋" w:cs="仿宋"/>
          <w:sz w:val="32"/>
          <w:szCs w:val="32"/>
          <w:lang w:eastAsia="zh-CN"/>
        </w:rPr>
        <w:t>较为</w:t>
      </w:r>
      <w:r>
        <w:rPr>
          <w:rFonts w:hint="eastAsia" w:ascii="仿宋" w:hAnsi="仿宋" w:eastAsia="仿宋" w:cs="仿宋"/>
          <w:sz w:val="32"/>
          <w:szCs w:val="32"/>
        </w:rPr>
        <w:t>恰当适宜、易于评价。</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四、整改措施及结果应用</w:t>
      </w:r>
    </w:p>
    <w:p>
      <w:pPr>
        <w:widowControl w:val="0"/>
        <w:wordWrap/>
        <w:adjustRightInd/>
        <w:snapToGrid w:val="0"/>
        <w:spacing w:line="560" w:lineRule="exact"/>
        <w:ind w:left="0" w:leftChars="0" w:right="0"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lang w:eastAsia="zh-CN"/>
        </w:rPr>
        <w:t>本部门今后将</w:t>
      </w:r>
      <w:r>
        <w:rPr>
          <w:rFonts w:hint="eastAsia" w:ascii="仿宋" w:hAnsi="仿宋" w:eastAsia="仿宋" w:cs="仿宋"/>
          <w:sz w:val="32"/>
          <w:szCs w:val="32"/>
        </w:rPr>
        <w:t>在</w:t>
      </w:r>
      <w:r>
        <w:rPr>
          <w:rFonts w:hint="eastAsia" w:ascii="仿宋" w:hAnsi="仿宋" w:eastAsia="仿宋" w:cs="仿宋"/>
          <w:kern w:val="0"/>
          <w:sz w:val="32"/>
          <w:szCs w:val="32"/>
          <w:lang w:val="zh-CN"/>
        </w:rPr>
        <w:t>健全制度、完善政策、改进管理、优化</w:t>
      </w:r>
      <w:r>
        <w:rPr>
          <w:rFonts w:hint="eastAsia" w:ascii="仿宋" w:hAnsi="仿宋" w:eastAsia="仿宋" w:cs="仿宋"/>
          <w:sz w:val="32"/>
          <w:szCs w:val="32"/>
        </w:rPr>
        <w:t>流程等</w:t>
      </w:r>
      <w:r>
        <w:rPr>
          <w:rFonts w:hint="eastAsia" w:ascii="仿宋" w:hAnsi="仿宋" w:eastAsia="仿宋" w:cs="仿宋"/>
          <w:sz w:val="32"/>
          <w:szCs w:val="32"/>
          <w:lang w:eastAsia="zh-CN"/>
        </w:rPr>
        <w:t>方面继续完善</w:t>
      </w:r>
      <w:r>
        <w:rPr>
          <w:rFonts w:hint="eastAsia" w:ascii="仿宋" w:hAnsi="仿宋" w:eastAsia="仿宋" w:cs="仿宋"/>
          <w:sz w:val="32"/>
          <w:szCs w:val="32"/>
        </w:rPr>
        <w:t>提高，</w:t>
      </w:r>
      <w:r>
        <w:rPr>
          <w:rFonts w:hint="eastAsia" w:ascii="仿宋" w:hAnsi="仿宋" w:eastAsia="仿宋" w:cs="仿宋"/>
          <w:sz w:val="32"/>
          <w:szCs w:val="32"/>
          <w:lang w:eastAsia="zh-CN"/>
        </w:rPr>
        <w:t>做好</w:t>
      </w:r>
      <w:r>
        <w:rPr>
          <w:rFonts w:hint="eastAsia" w:ascii="仿宋" w:hAnsi="仿宋" w:eastAsia="仿宋" w:cs="仿宋"/>
          <w:sz w:val="32"/>
          <w:szCs w:val="32"/>
        </w:rPr>
        <w:t>在</w:t>
      </w:r>
      <w:r>
        <w:rPr>
          <w:rFonts w:hint="eastAsia" w:ascii="仿宋" w:hAnsi="仿宋" w:eastAsia="仿宋" w:cs="仿宋"/>
          <w:kern w:val="0"/>
          <w:sz w:val="32"/>
          <w:szCs w:val="32"/>
          <w:lang w:val="zh-CN"/>
        </w:rPr>
        <w:t>整合资金、调整项目及改善投向等优化部门支出结构方面的安排，</w:t>
      </w:r>
      <w:r>
        <w:rPr>
          <w:rFonts w:hint="eastAsia" w:ascii="仿宋" w:hAnsi="仿宋" w:eastAsia="仿宋" w:cs="仿宋"/>
          <w:kern w:val="0"/>
          <w:sz w:val="32"/>
          <w:szCs w:val="32"/>
          <w:lang w:val="en-US" w:eastAsia="zh-CN"/>
        </w:rPr>
        <w:t xml:space="preserve"> 并</w:t>
      </w:r>
      <w:r>
        <w:rPr>
          <w:rFonts w:hint="eastAsia" w:ascii="仿宋" w:hAnsi="仿宋" w:eastAsia="仿宋" w:cs="仿宋"/>
          <w:kern w:val="0"/>
          <w:sz w:val="32"/>
          <w:szCs w:val="32"/>
          <w:lang w:val="zh-CN"/>
        </w:rPr>
        <w:t>提高绩效目标设置质量</w:t>
      </w:r>
      <w:r>
        <w:rPr>
          <w:rFonts w:hint="eastAsia" w:ascii="仿宋" w:hAnsi="仿宋" w:eastAsia="仿宋" w:cs="仿宋"/>
          <w:sz w:val="32"/>
          <w:szCs w:val="32"/>
        </w:rPr>
        <w:t>。</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等线">
    <w:altName w:val="宋体"/>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auto"/>
    <w:pitch w:val="default"/>
    <w:sig w:usb0="00000000" w:usb1="00000000" w:usb2="00000000"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w:pict>
        <v:shape id="Quad Arrow 3073" o:spid="_x0000_s4097" o:spt="202" type="#_x0000_t202"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5B525F"/>
    <w:rsid w:val="092A2328"/>
    <w:rsid w:val="13B61930"/>
    <w:rsid w:val="15DF4F46"/>
    <w:rsid w:val="20276775"/>
    <w:rsid w:val="3AEF6FE7"/>
    <w:rsid w:val="493B718D"/>
    <w:rsid w:val="53A42ADD"/>
    <w:rsid w:val="59A03424"/>
    <w:rsid w:val="7842669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64</Words>
  <Characters>367</Characters>
  <Lines>3</Lines>
  <Paragraphs>1</Paragraphs>
  <TotalTime>5</TotalTime>
  <ScaleCrop>false</ScaleCrop>
  <LinksUpToDate>false</LinksUpToDate>
  <CharactersWithSpaces>0</CharactersWithSpaces>
  <Application>WPS Office_11.1.0.10578_F1E327BC-269C-435d-A152-05C5408002CA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cp:lastModifiedBy>
  <cp:lastPrinted>2021-02-24T05:43:00Z</cp:lastPrinted>
  <dcterms:modified xsi:type="dcterms:W3CDTF">2021-07-15T07:37:42Z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2052-11.1.0.10578</vt:lpwstr>
  </property>
  <property fmtid="{D5CDD505-2E9C-101B-9397-08002B2CF9AE}" pid="3" name="ICV">
    <vt:lpwstr>5DAF4096FD904C02945D5997C9E3A5F1</vt:lpwstr>
  </property>
</Properties>
</file>