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加强财政支出管理，提高财政资金使用效益，根据《藁城区区级部门预算项目绩效自评管理办法》（藁财字〔2020〕23号），遵循“科学性、规范性、客观性和公正性”的原则，石家庄市藁城区工业和信息化局成立了自评工作领导小组，由自评工作领导小组对本级资金项目实施了财政支出绩效自评价，自评工作小组组长由单位主管领导张辉局长担任，成员包括各项目主管部门的科长担任，财务主管部门由财务负责人担任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评价采用定量分析和定性分析相结合的方式，对</w:t>
      </w:r>
      <w:r>
        <w:rPr>
          <w:rFonts w:hint="eastAsia" w:ascii="仿宋" w:hAnsi="仿宋" w:eastAsia="仿宋" w:cs="仿宋"/>
          <w:sz w:val="32"/>
          <w:szCs w:val="32"/>
        </w:rPr>
        <w:t>包括部门绩效自评工作的组织情况、实施过程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部门预算安排及资金分配拨付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部门日常财务管理、专项监督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检查及审计部门审查意见等情况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进行综合评价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石家庄市藁城区工业和信息化局2019年本级项目资金预计共需要花费1540.99万元，由财政局拨付，实际到位资金1540.99万元，我局2019年实际支出1510.18万元，剩余30.81万元，到2019年年底由财政统一收回。 </w:t>
      </w:r>
    </w:p>
    <w:p>
      <w:pPr>
        <w:widowControl w:val="0"/>
        <w:wordWrap/>
        <w:adjustRightInd/>
        <w:snapToGrid w:val="0"/>
        <w:spacing w:line="360" w:lineRule="auto"/>
        <w:ind w:left="638" w:leftChars="304" w:right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我局2019年度涉及本级项目资金的共有21个项目，分别是:藁城区工信局煤改电2018-2019年采暖季运行补贴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藁城区工信局压减水泥产能奖补资金150万元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华北制药股份有限公司倍达分厂技术升级项目中央预算内投资拨款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藁城区特色产业集群规划编制工作费用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藁城区2018年度科技创新奖励资金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藁城区重点耗煤企业2017年和2018年用煤量核查费用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办公电脑购置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差异化错峰生产绩效评价及金鑫焦化封停炭化室论证验收专家费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扶贫及后进村转化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服务工业经济发展资金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工信局聘请第三方认定企业C级研发机构费用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工信局整修机关办公室资金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河北省藁城市化学纤维厂还款（旧欠）项目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节能监察经费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科技研究与开发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科普费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聘请第三方服务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增加招聘劳务派遣人员经费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占用汇联物流场地钻取暖井补偿金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藁城区工信局招聘劳务派遣专业技术人员经费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藁城区压减水泥产能补助资金。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工作开展情况良好，预期绩效目标全部完成，预算支出到位。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，部分项目</w:t>
      </w:r>
      <w:r>
        <w:rPr>
          <w:rFonts w:hint="eastAsia" w:ascii="仿宋" w:hAnsi="仿宋" w:eastAsia="仿宋" w:cs="仿宋"/>
          <w:sz w:val="32"/>
          <w:szCs w:val="32"/>
        </w:rPr>
        <w:t>年初绩效目标设定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清晰准确，较为符合实际情况</w:t>
      </w:r>
      <w:r>
        <w:rPr>
          <w:rFonts w:hint="eastAsia" w:ascii="仿宋" w:hAnsi="仿宋" w:eastAsia="仿宋" w:cs="仿宋"/>
          <w:sz w:val="32"/>
          <w:szCs w:val="32"/>
        </w:rPr>
        <w:t>，绩效指标全面完整、科学合理，绩效标准恰当适宜、易于评价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。同时部分部门项目存在年初绩效目标设定单一，流于表面，绩效指标设定不全面，绩效标准不易评价等问题。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项目中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总的奖补资金还有部分未到位，企业多次上访，存在不稳定社会因素。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对绩效评价工作认识不足，对绩效设定标准设定不理解，不知如何设定绩效标准等问题。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针对自评过程中发现的问题，我们采取了针对性的整改措施。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（1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我局将积极向区政府请示拨付剩余奖补资金，并反应相关问题，协调财政局争取尽快解决资金拨付发放问题。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进一步组织重点耗能企业做好节能降碳工作。要求重点耗能企业严格执行“双控”目标，控制用煤量，加强对钢铁、水泥、焦化、化工等行业的节能监察工作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（3）继续按照现有还款方式，在保证消除信访隐患的前提下分期分批还款。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（4）在节约的前提下，更好地改善办公环境。</w:t>
      </w:r>
    </w:p>
    <w:p>
      <w:pPr>
        <w:adjustRightInd w:val="0"/>
        <w:snapToGrid w:val="0"/>
        <w:spacing w:line="62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（5）</w:t>
      </w:r>
      <w:r>
        <w:rPr>
          <w:rFonts w:hint="eastAsia" w:ascii="仿宋" w:hAnsi="仿宋" w:eastAsia="仿宋"/>
          <w:sz w:val="32"/>
          <w:szCs w:val="32"/>
          <w:lang w:eastAsia="zh-CN"/>
        </w:rPr>
        <w:t>对绩效评价工作进行培训，确保工作效率和效果。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通过总结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2019年度的绩效自评结果，发现我局存在对绩效指标制定</w:t>
      </w:r>
      <w:r>
        <w:rPr>
          <w:rFonts w:hint="eastAsia" w:ascii="仿宋" w:hAnsi="仿宋" w:eastAsia="仿宋" w:cs="仿宋"/>
          <w:sz w:val="32"/>
          <w:szCs w:val="32"/>
        </w:rPr>
        <w:t>研究制定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不清晰，绩效指标设定单一，表面化等问题。为提高日后的工作质量，我局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改进管理、优化</w:t>
      </w:r>
      <w:r>
        <w:rPr>
          <w:rFonts w:hint="eastAsia" w:ascii="仿宋" w:hAnsi="仿宋" w:eastAsia="仿宋" w:cs="仿宋"/>
          <w:sz w:val="32"/>
          <w:szCs w:val="32"/>
        </w:rPr>
        <w:t>流程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，向财政局有关业务科室请教</w:t>
      </w:r>
      <w:r>
        <w:rPr>
          <w:rFonts w:hint="eastAsia" w:ascii="仿宋" w:hAnsi="仿宋" w:eastAsia="仿宋" w:cs="仿宋"/>
          <w:sz w:val="32"/>
          <w:szCs w:val="32"/>
        </w:rPr>
        <w:t>提高部门绩效方面的具体做法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，确保我局进一步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提高绩效目标设置质量。</w:t>
      </w: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5DDEBA"/>
    <w:multiLevelType w:val="singleLevel"/>
    <w:tmpl w:val="5E5DDEBA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D5E84"/>
    <w:rsid w:val="00EF16A3"/>
    <w:rsid w:val="00F57E52"/>
    <w:rsid w:val="06A13C24"/>
    <w:rsid w:val="13B61930"/>
    <w:rsid w:val="22F234E2"/>
    <w:rsid w:val="3AEF6FE7"/>
    <w:rsid w:val="493B718D"/>
    <w:rsid w:val="4F5E2A7D"/>
    <w:rsid w:val="4FD40218"/>
    <w:rsid w:val="53A42ADD"/>
    <w:rsid w:val="5AA10B3D"/>
    <w:rsid w:val="758F761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2020-02-12T05:53:00Z</cp:lastPrinted>
  <dcterms:modified xsi:type="dcterms:W3CDTF">2021-07-15T01:26:41Z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