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560" w:lineRule="exact"/>
        <w:rPr>
          <w:rFonts w:ascii="仿宋" w:hAnsi="仿宋" w:eastAsia="仿宋" w:cs="仿宋"/>
          <w:kern w:val="0"/>
          <w:sz w:val="32"/>
          <w:szCs w:val="32"/>
        </w:rPr>
      </w:pPr>
      <w:r>
        <w:rPr>
          <w:rFonts w:hint="eastAsia" w:ascii="仿宋" w:hAnsi="仿宋" w:eastAsia="仿宋" w:cs="仿宋"/>
          <w:sz w:val="32"/>
          <w:szCs w:val="32"/>
        </w:rPr>
        <w:t>附件3</w:t>
      </w:r>
    </w:p>
    <w:p>
      <w:pPr>
        <w:snapToGrid w:val="0"/>
        <w:spacing w:line="560" w:lineRule="exact"/>
        <w:rPr>
          <w:rFonts w:ascii="仿宋" w:hAnsi="仿宋" w:eastAsia="仿宋" w:cs="仿宋"/>
          <w:sz w:val="32"/>
          <w:szCs w:val="32"/>
        </w:rPr>
      </w:pPr>
    </w:p>
    <w:p>
      <w:pPr>
        <w:snapToGrid w:val="0"/>
        <w:spacing w:line="560" w:lineRule="exact"/>
        <w:jc w:val="center"/>
        <w:rPr>
          <w:rFonts w:hint="eastAsia" w:ascii="宋体" w:hAnsi="宋体" w:cs="宋体"/>
          <w:b/>
          <w:bCs/>
          <w:kern w:val="0"/>
          <w:sz w:val="44"/>
          <w:szCs w:val="44"/>
        </w:rPr>
      </w:pPr>
      <w:r>
        <w:rPr>
          <w:rFonts w:hint="eastAsia" w:ascii="宋体" w:hAnsi="宋体" w:cs="宋体"/>
          <w:b/>
          <w:bCs/>
          <w:kern w:val="0"/>
          <w:sz w:val="44"/>
          <w:szCs w:val="44"/>
        </w:rPr>
        <w:t>石家庄市藁城区人民法院</w:t>
      </w:r>
    </w:p>
    <w:p>
      <w:pPr>
        <w:snapToGrid w:val="0"/>
        <w:spacing w:line="560" w:lineRule="exact"/>
        <w:jc w:val="center"/>
        <w:rPr>
          <w:rFonts w:ascii="宋体" w:hAnsi="宋体" w:cs="宋体"/>
          <w:b/>
          <w:bCs/>
          <w:sz w:val="44"/>
          <w:szCs w:val="44"/>
        </w:rPr>
      </w:pPr>
      <w:r>
        <w:rPr>
          <w:rFonts w:hint="eastAsia" w:ascii="宋体" w:hAnsi="宋体" w:cs="宋体"/>
          <w:b/>
          <w:bCs/>
          <w:kern w:val="0"/>
          <w:sz w:val="44"/>
          <w:szCs w:val="44"/>
        </w:rPr>
        <w:t>20</w:t>
      </w:r>
      <w:r>
        <w:rPr>
          <w:rFonts w:hint="eastAsia" w:ascii="宋体" w:hAnsi="宋体" w:cs="宋体"/>
          <w:b/>
          <w:bCs/>
          <w:kern w:val="0"/>
          <w:sz w:val="44"/>
          <w:szCs w:val="44"/>
          <w:lang w:val="en-US" w:eastAsia="zh-CN"/>
        </w:rPr>
        <w:t>19</w:t>
      </w:r>
      <w:r>
        <w:rPr>
          <w:rFonts w:hint="eastAsia" w:ascii="宋体" w:hAnsi="宋体" w:cs="宋体"/>
          <w:b/>
          <w:bCs/>
          <w:kern w:val="0"/>
          <w:sz w:val="44"/>
          <w:szCs w:val="44"/>
        </w:rPr>
        <w:t>年度</w:t>
      </w:r>
      <w:r>
        <w:rPr>
          <w:rFonts w:hint="eastAsia" w:ascii="宋体" w:hAnsi="宋体" w:cs="宋体"/>
          <w:b/>
          <w:bCs/>
          <w:sz w:val="44"/>
          <w:szCs w:val="44"/>
        </w:rPr>
        <w:t>绩效自评工作报告</w:t>
      </w:r>
    </w:p>
    <w:p>
      <w:pPr>
        <w:snapToGrid w:val="0"/>
        <w:spacing w:line="560" w:lineRule="exact"/>
        <w:ind w:firstLine="643" w:firstLineChars="200"/>
        <w:rPr>
          <w:rFonts w:ascii="仿宋" w:hAnsi="仿宋" w:eastAsia="仿宋" w:cs="仿宋"/>
          <w:b/>
          <w:sz w:val="32"/>
          <w:szCs w:val="32"/>
        </w:rPr>
      </w:pP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我院成立绩效评价小组，对20</w:t>
      </w:r>
      <w:r>
        <w:rPr>
          <w:rFonts w:hint="eastAsia" w:ascii="仿宋" w:hAnsi="仿宋" w:eastAsia="仿宋"/>
          <w:sz w:val="32"/>
          <w:szCs w:val="32"/>
          <w:lang w:val="en-US" w:eastAsia="zh-CN"/>
        </w:rPr>
        <w:t>19</w:t>
      </w:r>
      <w:r>
        <w:rPr>
          <w:rFonts w:hint="eastAsia" w:ascii="仿宋" w:hAnsi="仿宋" w:eastAsia="仿宋"/>
          <w:sz w:val="32"/>
          <w:szCs w:val="32"/>
        </w:rPr>
        <w:t>年度的案卷印刷邮寄、维修费、办公设备购置、法院法警工作日之外加班及执勤补贴、法院工作人员工作日之外加班补贴、临时工工资、陪审员经费、诉调经费、高新霞国家赔偿金项目财政支出的经济性、效率性及效益性进行重点评价，并针对评价内容做出分析及合理化建议。并通过主要负责人和主管科室对以上项目经费的使用情况开展绩效评价。</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20</w:t>
      </w:r>
      <w:r>
        <w:rPr>
          <w:rFonts w:hint="eastAsia" w:ascii="仿宋" w:hAnsi="仿宋" w:eastAsia="仿宋"/>
          <w:sz w:val="32"/>
          <w:szCs w:val="32"/>
          <w:lang w:val="en-US" w:eastAsia="zh-CN"/>
        </w:rPr>
        <w:t>19</w:t>
      </w:r>
      <w:r>
        <w:rPr>
          <w:rFonts w:hint="eastAsia" w:ascii="仿宋" w:hAnsi="仿宋" w:eastAsia="仿宋"/>
          <w:sz w:val="32"/>
          <w:szCs w:val="32"/>
        </w:rPr>
        <w:t>年度案卷印刷邮寄、维修费、办公设备购置项目预算安排</w:t>
      </w:r>
      <w:r>
        <w:rPr>
          <w:rFonts w:hint="eastAsia" w:ascii="仿宋" w:hAnsi="仿宋" w:eastAsia="仿宋"/>
          <w:sz w:val="32"/>
          <w:szCs w:val="32"/>
          <w:lang w:val="en-US" w:eastAsia="zh-CN"/>
        </w:rPr>
        <w:t>660</w:t>
      </w:r>
      <w:r>
        <w:rPr>
          <w:rFonts w:hint="eastAsia" w:ascii="仿宋" w:hAnsi="仿宋" w:eastAsia="仿宋"/>
          <w:sz w:val="32"/>
          <w:szCs w:val="32"/>
        </w:rPr>
        <w:t>万元，资金支出587.1366万元；20</w:t>
      </w:r>
      <w:r>
        <w:rPr>
          <w:rFonts w:hint="eastAsia" w:ascii="仿宋" w:hAnsi="仿宋" w:eastAsia="仿宋"/>
          <w:sz w:val="32"/>
          <w:szCs w:val="32"/>
          <w:lang w:val="en-US" w:eastAsia="zh-CN"/>
        </w:rPr>
        <w:t>19</w:t>
      </w:r>
      <w:r>
        <w:rPr>
          <w:rFonts w:hint="eastAsia" w:ascii="仿宋" w:hAnsi="仿宋" w:eastAsia="仿宋"/>
          <w:sz w:val="32"/>
          <w:szCs w:val="32"/>
        </w:rPr>
        <w:t>年度法院法警工作日之外加班及执勤补贴项目预算安排</w:t>
      </w:r>
      <w:r>
        <w:rPr>
          <w:rFonts w:hint="eastAsia" w:ascii="仿宋" w:hAnsi="仿宋" w:eastAsia="仿宋"/>
          <w:sz w:val="32"/>
          <w:szCs w:val="32"/>
          <w:lang w:val="en-US" w:eastAsia="zh-CN"/>
        </w:rPr>
        <w:t>9.54</w:t>
      </w:r>
      <w:r>
        <w:rPr>
          <w:rFonts w:hint="eastAsia" w:ascii="仿宋" w:hAnsi="仿宋" w:eastAsia="仿宋"/>
          <w:sz w:val="32"/>
          <w:szCs w:val="32"/>
        </w:rPr>
        <w:t>万元，资金支出</w:t>
      </w:r>
      <w:r>
        <w:rPr>
          <w:rFonts w:hint="eastAsia" w:ascii="仿宋" w:hAnsi="仿宋" w:eastAsia="仿宋"/>
          <w:sz w:val="32"/>
          <w:szCs w:val="32"/>
          <w:lang w:val="en-US" w:eastAsia="zh-CN"/>
        </w:rPr>
        <w:t>9.54</w:t>
      </w:r>
      <w:r>
        <w:rPr>
          <w:rFonts w:hint="eastAsia" w:ascii="仿宋" w:hAnsi="仿宋" w:eastAsia="仿宋"/>
          <w:sz w:val="32"/>
          <w:szCs w:val="32"/>
        </w:rPr>
        <w:t>万元；20</w:t>
      </w:r>
      <w:r>
        <w:rPr>
          <w:rFonts w:hint="eastAsia" w:ascii="仿宋" w:hAnsi="仿宋" w:eastAsia="仿宋"/>
          <w:sz w:val="32"/>
          <w:szCs w:val="32"/>
          <w:lang w:val="en-US" w:eastAsia="zh-CN"/>
        </w:rPr>
        <w:t>19</w:t>
      </w:r>
      <w:r>
        <w:rPr>
          <w:rFonts w:hint="eastAsia" w:ascii="仿宋" w:hAnsi="仿宋" w:eastAsia="仿宋"/>
          <w:sz w:val="32"/>
          <w:szCs w:val="32"/>
        </w:rPr>
        <w:t>年度法院工作人员工作日之外加班补贴项目预算安排34.</w:t>
      </w:r>
      <w:r>
        <w:rPr>
          <w:rFonts w:hint="eastAsia" w:ascii="仿宋" w:hAnsi="仿宋" w:eastAsia="仿宋"/>
          <w:sz w:val="32"/>
          <w:szCs w:val="32"/>
          <w:lang w:val="en-US" w:eastAsia="zh-CN"/>
        </w:rPr>
        <w:t>2</w:t>
      </w:r>
      <w:r>
        <w:rPr>
          <w:rFonts w:hint="eastAsia" w:ascii="仿宋" w:hAnsi="仿宋" w:eastAsia="仿宋"/>
          <w:sz w:val="32"/>
          <w:szCs w:val="32"/>
        </w:rPr>
        <w:t>万元，资金支出34.</w:t>
      </w:r>
      <w:r>
        <w:rPr>
          <w:rFonts w:hint="eastAsia" w:ascii="仿宋" w:hAnsi="仿宋" w:eastAsia="仿宋"/>
          <w:sz w:val="32"/>
          <w:szCs w:val="32"/>
          <w:lang w:val="en-US" w:eastAsia="zh-CN"/>
        </w:rPr>
        <w:t>2</w:t>
      </w:r>
      <w:r>
        <w:rPr>
          <w:rFonts w:hint="eastAsia" w:ascii="仿宋" w:hAnsi="仿宋" w:eastAsia="仿宋"/>
          <w:sz w:val="32"/>
          <w:szCs w:val="32"/>
        </w:rPr>
        <w:t>万元；20</w:t>
      </w:r>
      <w:r>
        <w:rPr>
          <w:rFonts w:hint="eastAsia" w:ascii="仿宋" w:hAnsi="仿宋" w:eastAsia="仿宋"/>
          <w:sz w:val="32"/>
          <w:szCs w:val="32"/>
          <w:lang w:val="en-US" w:eastAsia="zh-CN"/>
        </w:rPr>
        <w:t>19</w:t>
      </w:r>
      <w:r>
        <w:rPr>
          <w:rFonts w:hint="eastAsia" w:ascii="仿宋" w:hAnsi="仿宋" w:eastAsia="仿宋"/>
          <w:sz w:val="32"/>
          <w:szCs w:val="32"/>
        </w:rPr>
        <w:t>年度临时工工资项目预算安排</w:t>
      </w:r>
      <w:r>
        <w:rPr>
          <w:rFonts w:hint="eastAsia" w:ascii="仿宋" w:hAnsi="仿宋" w:eastAsia="仿宋"/>
          <w:sz w:val="32"/>
          <w:szCs w:val="32"/>
          <w:lang w:val="en-US" w:eastAsia="zh-CN"/>
        </w:rPr>
        <w:t>360</w:t>
      </w:r>
      <w:r>
        <w:rPr>
          <w:rFonts w:hint="eastAsia" w:ascii="仿宋" w:hAnsi="仿宋" w:eastAsia="仿宋"/>
          <w:sz w:val="32"/>
          <w:szCs w:val="32"/>
        </w:rPr>
        <w:t>万元，资金支出</w:t>
      </w:r>
      <w:r>
        <w:rPr>
          <w:rFonts w:hint="eastAsia" w:ascii="仿宋" w:hAnsi="仿宋" w:eastAsia="仿宋"/>
          <w:sz w:val="32"/>
          <w:szCs w:val="32"/>
          <w:lang w:val="en-US" w:eastAsia="zh-CN"/>
        </w:rPr>
        <w:t>230</w:t>
      </w:r>
      <w:r>
        <w:rPr>
          <w:rFonts w:hint="eastAsia" w:ascii="仿宋" w:hAnsi="仿宋" w:eastAsia="仿宋"/>
          <w:sz w:val="32"/>
          <w:szCs w:val="32"/>
        </w:rPr>
        <w:t>万元；20</w:t>
      </w:r>
      <w:r>
        <w:rPr>
          <w:rFonts w:hint="eastAsia" w:ascii="仿宋" w:hAnsi="仿宋" w:eastAsia="仿宋"/>
          <w:sz w:val="32"/>
          <w:szCs w:val="32"/>
          <w:lang w:val="en-US" w:eastAsia="zh-CN"/>
        </w:rPr>
        <w:t>19</w:t>
      </w:r>
      <w:r>
        <w:rPr>
          <w:rFonts w:hint="eastAsia" w:ascii="仿宋" w:hAnsi="仿宋" w:eastAsia="仿宋"/>
          <w:sz w:val="32"/>
          <w:szCs w:val="32"/>
        </w:rPr>
        <w:t>年度陪审员经费项目预算安排5万元，资金支出5万元；20</w:t>
      </w:r>
      <w:r>
        <w:rPr>
          <w:rFonts w:hint="eastAsia" w:ascii="仿宋" w:hAnsi="仿宋" w:eastAsia="仿宋"/>
          <w:sz w:val="32"/>
          <w:szCs w:val="32"/>
          <w:lang w:val="en-US" w:eastAsia="zh-CN"/>
        </w:rPr>
        <w:t>19</w:t>
      </w:r>
      <w:r>
        <w:rPr>
          <w:rFonts w:hint="eastAsia" w:ascii="仿宋" w:hAnsi="仿宋" w:eastAsia="仿宋"/>
          <w:sz w:val="32"/>
          <w:szCs w:val="32"/>
        </w:rPr>
        <w:t>年度诉调经费项目</w:t>
      </w:r>
      <w:r>
        <w:rPr>
          <w:rFonts w:hint="eastAsia" w:ascii="仿宋" w:hAnsi="仿宋" w:eastAsia="仿宋"/>
          <w:sz w:val="32"/>
          <w:szCs w:val="32"/>
          <w:lang w:val="en-US" w:eastAsia="zh-CN"/>
        </w:rPr>
        <w:t>30</w:t>
      </w:r>
      <w:r>
        <w:rPr>
          <w:rFonts w:hint="eastAsia" w:ascii="仿宋" w:hAnsi="仿宋" w:eastAsia="仿宋"/>
          <w:sz w:val="32"/>
          <w:szCs w:val="32"/>
        </w:rPr>
        <w:t>万元，资金支出29.3518万元；20</w:t>
      </w:r>
      <w:r>
        <w:rPr>
          <w:rFonts w:hint="eastAsia" w:ascii="仿宋" w:hAnsi="仿宋" w:eastAsia="仿宋"/>
          <w:sz w:val="32"/>
          <w:szCs w:val="32"/>
          <w:lang w:val="en-US" w:eastAsia="zh-CN"/>
        </w:rPr>
        <w:t>19</w:t>
      </w:r>
      <w:r>
        <w:rPr>
          <w:rFonts w:hint="eastAsia" w:ascii="仿宋" w:hAnsi="仿宋" w:eastAsia="仿宋"/>
          <w:sz w:val="32"/>
          <w:szCs w:val="32"/>
        </w:rPr>
        <w:t>年度高新霞国家赔偿金项目预算安排2.70503万元，资金支出2.70503万元。</w:t>
      </w:r>
    </w:p>
    <w:p>
      <w:pPr>
        <w:adjustRightInd w:val="0"/>
        <w:snapToGrid w:val="0"/>
        <w:spacing w:line="560" w:lineRule="exact"/>
        <w:ind w:firstLine="640" w:firstLineChars="200"/>
        <w:rPr>
          <w:rFonts w:ascii="仿宋" w:hAnsi="仿宋" w:eastAsia="仿宋" w:cs="仿宋"/>
          <w:sz w:val="32"/>
          <w:szCs w:val="32"/>
        </w:rPr>
      </w:pPr>
      <w:r>
        <w:rPr>
          <w:rFonts w:hint="eastAsia" w:ascii="仿宋" w:hAnsi="仿宋" w:eastAsia="仿宋"/>
          <w:sz w:val="32"/>
          <w:szCs w:val="32"/>
        </w:rPr>
        <w:t>我院严格按照《财务管理规定》进行日常财务管理工作，严格审批流程，及时有效地进行资金支付分配工作。</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二、绩效目标实现情况</w:t>
      </w:r>
    </w:p>
    <w:p>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我院总体工作开展良好，专项资金和具体预算支出项目的预期绩效目标基本完成，通过及时有效的资金流转，</w:t>
      </w:r>
      <w:r>
        <w:rPr>
          <w:rFonts w:hint="eastAsia" w:ascii="仿宋" w:hAnsi="仿宋" w:eastAsia="仿宋"/>
          <w:sz w:val="32"/>
          <w:szCs w:val="32"/>
        </w:rPr>
        <w:t>为实现案件有效审理提供了强有力的保障，提升了人员工作高效性，及时化解了群众矛盾，提升了群众满意度，有效维护了社会和谐稳定。</w:t>
      </w:r>
    </w:p>
    <w:p>
      <w:pPr>
        <w:snapToGrid w:val="0"/>
        <w:spacing w:line="560" w:lineRule="exact"/>
        <w:ind w:firstLine="640" w:firstLineChars="200"/>
        <w:rPr>
          <w:rFonts w:hint="eastAsia" w:ascii="仿宋" w:hAnsi="仿宋" w:eastAsia="仿宋"/>
          <w:sz w:val="32"/>
          <w:szCs w:val="32"/>
        </w:rPr>
      </w:pPr>
      <w:r>
        <w:rPr>
          <w:rFonts w:hint="eastAsia" w:ascii="仿宋" w:hAnsi="仿宋" w:eastAsia="仿宋" w:cs="仿宋"/>
          <w:sz w:val="32"/>
          <w:szCs w:val="32"/>
        </w:rPr>
        <w:t>存在问题为</w:t>
      </w:r>
      <w:r>
        <w:rPr>
          <w:rFonts w:hint="eastAsia" w:ascii="仿宋" w:hAnsi="仿宋" w:eastAsia="仿宋"/>
          <w:sz w:val="32"/>
          <w:szCs w:val="32"/>
        </w:rPr>
        <w:t>案卷印刷邮寄、维修费、办公设备购置项目资金支出进度较为缓慢，多为下半年大量支出，原因为设备采购较慢，合同签订较晚，总体评价为优秀；另外，由于本年度我院罚没收入未达标，临时工工资根据罚没的90%拨款，无法达到预算要求。下年度切实落实法院罚没制度，争取达到既定目标。</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pPr>
        <w:snapToGrid w:val="0"/>
        <w:spacing w:line="560" w:lineRule="exact"/>
        <w:ind w:firstLine="640" w:firstLineChars="200"/>
        <w:rPr>
          <w:rFonts w:ascii="仿宋" w:hAnsi="仿宋" w:eastAsia="仿宋" w:cs="仿宋"/>
          <w:sz w:val="32"/>
          <w:szCs w:val="32"/>
        </w:rPr>
      </w:pPr>
      <w:r>
        <w:rPr>
          <w:rFonts w:hint="eastAsia" w:ascii="仿宋" w:hAnsi="仿宋" w:eastAsia="仿宋" w:cs="仿宋"/>
          <w:sz w:val="32"/>
          <w:szCs w:val="32"/>
        </w:rPr>
        <w:t>我院通过20</w:t>
      </w:r>
      <w:r>
        <w:rPr>
          <w:rFonts w:hint="eastAsia" w:ascii="仿宋" w:hAnsi="仿宋" w:eastAsia="仿宋" w:cs="仿宋"/>
          <w:sz w:val="32"/>
          <w:szCs w:val="32"/>
          <w:lang w:val="en-US" w:eastAsia="zh-CN"/>
        </w:rPr>
        <w:t>19</w:t>
      </w:r>
      <w:r>
        <w:rPr>
          <w:rFonts w:hint="eastAsia" w:ascii="仿宋" w:hAnsi="仿宋" w:eastAsia="仿宋" w:cs="仿宋"/>
          <w:sz w:val="32"/>
          <w:szCs w:val="32"/>
        </w:rPr>
        <w:t>年度绩效自评结果与年初绩效目标设定质量情况进行对比，绩效目标设定清晰准确，绩效指标全面完整、科学合理，绩效标准恰当事宜、易于评价。通过本次绩效自评结果可以帮助本院对上一年度项目资金支出情况进行深入分析，逐项查找差距，及时发现问题并解决问题。</w:t>
      </w:r>
    </w:p>
    <w:p>
      <w:pPr>
        <w:snapToGrid w:val="0"/>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四、整改措施及结果应用</w:t>
      </w: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整改措施：1、项目资金支出进度较为缓慢，多为下半年大量支出的问题。我院日后将严格落实项目支出时间进度，保证按时足额完成资金支出要求。</w:t>
      </w:r>
    </w:p>
    <w:p>
      <w:pPr>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2、由于本年度我院罚没收入未达标，临时工工资根据罚没的90%拨款，无法达到预算要求。下年度切实落实法院罚没制度，争取达到既定目标。</w:t>
      </w:r>
    </w:p>
    <w:p>
      <w:pPr>
        <w:adjustRightInd w:val="0"/>
        <w:snapToGrid w:val="0"/>
        <w:spacing w:line="560" w:lineRule="exact"/>
        <w:rPr>
          <w:rFonts w:ascii="仿宋" w:hAnsi="仿宋" w:eastAsia="仿宋"/>
          <w:sz w:val="32"/>
          <w:szCs w:val="32"/>
        </w:rPr>
      </w:pPr>
      <w:r>
        <w:rPr>
          <w:rFonts w:hint="eastAsia" w:ascii="仿宋" w:hAnsi="仿宋" w:eastAsia="仿宋"/>
          <w:sz w:val="32"/>
          <w:szCs w:val="32"/>
        </w:rPr>
        <w:t xml:space="preserve">    意见建议：我院陪审员较多，每年度相关经费最高拨付5万元，不足以用于陪审员经费发放，望有关领导重视。</w:t>
      </w:r>
    </w:p>
    <w:p>
      <w:pPr>
        <w:snapToGrid w:val="0"/>
        <w:spacing w:line="560" w:lineRule="exact"/>
        <w:ind w:firstLine="640" w:firstLineChars="200"/>
        <w:rPr>
          <w:rFonts w:hint="eastAsia" w:ascii="仿宋" w:hAnsi="仿宋" w:eastAsia="仿宋" w:cs="仿宋"/>
          <w:sz w:val="32"/>
          <w:szCs w:val="32"/>
        </w:rPr>
      </w:pPr>
    </w:p>
    <w:p>
      <w:pPr>
        <w:snapToGrid w:val="0"/>
        <w:spacing w:line="560" w:lineRule="exact"/>
        <w:ind w:firstLine="640" w:firstLineChars="200"/>
        <w:rPr>
          <w:rFonts w:hint="eastAsia" w:ascii="仿宋" w:hAnsi="仿宋" w:eastAsia="仿宋" w:cs="仿宋"/>
          <w:sz w:val="32"/>
          <w:szCs w:val="32"/>
        </w:rPr>
      </w:pPr>
    </w:p>
    <w:p>
      <w:pPr>
        <w:snapToGrid w:val="0"/>
        <w:spacing w:line="560" w:lineRule="exact"/>
        <w:ind w:firstLine="640" w:firstLineChars="200"/>
        <w:rPr>
          <w:rFonts w:hint="eastAsia" w:ascii="仿宋" w:hAnsi="仿宋" w:eastAsia="仿宋" w:cs="仿宋"/>
          <w:sz w:val="32"/>
          <w:szCs w:val="32"/>
        </w:rPr>
      </w:pPr>
    </w:p>
    <w:p>
      <w:pPr>
        <w:snapToGrid w:val="0"/>
        <w:spacing w:line="560" w:lineRule="exact"/>
        <w:ind w:firstLine="640" w:firstLineChars="200"/>
        <w:rPr>
          <w:rFonts w:hint="eastAsia" w:ascii="仿宋" w:hAnsi="仿宋" w:eastAsia="仿宋" w:cs="仿宋"/>
          <w:sz w:val="32"/>
          <w:szCs w:val="32"/>
        </w:rPr>
      </w:pPr>
    </w:p>
    <w:p>
      <w:pPr>
        <w:snapToGrid w:val="0"/>
        <w:spacing w:line="560" w:lineRule="exact"/>
        <w:ind w:firstLine="640" w:firstLineChars="200"/>
        <w:rPr>
          <w:rFonts w:hint="eastAsia" w:ascii="仿宋" w:hAnsi="仿宋" w:eastAsia="仿宋" w:cs="仿宋"/>
          <w:sz w:val="32"/>
          <w:szCs w:val="32"/>
        </w:rPr>
      </w:pPr>
    </w:p>
    <w:p>
      <w:pPr>
        <w:snapToGrid w:val="0"/>
        <w:spacing w:line="560" w:lineRule="exact"/>
        <w:ind w:firstLine="640" w:firstLineChars="200"/>
        <w:jc w:val="right"/>
        <w:rPr>
          <w:rFonts w:hint="eastAsia" w:ascii="仿宋" w:hAnsi="仿宋" w:eastAsia="仿宋" w:cs="仿宋"/>
          <w:sz w:val="32"/>
          <w:szCs w:val="32"/>
        </w:rPr>
      </w:pPr>
    </w:p>
    <w:p>
      <w:pPr>
        <w:snapToGrid w:val="0"/>
        <w:spacing w:line="560" w:lineRule="exact"/>
        <w:ind w:firstLine="640" w:firstLineChars="200"/>
        <w:jc w:val="right"/>
        <w:rPr>
          <w:rFonts w:hint="eastAsia" w:ascii="仿宋" w:hAnsi="仿宋" w:eastAsia="仿宋" w:cs="仿宋"/>
          <w:sz w:val="32"/>
          <w:szCs w:val="32"/>
        </w:rPr>
      </w:pPr>
      <w:r>
        <w:rPr>
          <w:rFonts w:hint="eastAsia" w:ascii="仿宋" w:hAnsi="仿宋" w:eastAsia="仿宋" w:cs="仿宋"/>
          <w:sz w:val="32"/>
          <w:szCs w:val="32"/>
        </w:rPr>
        <w:t>石家庄市藁城区人民法院</w:t>
      </w:r>
    </w:p>
    <w:p>
      <w:pPr>
        <w:snapToGrid w:val="0"/>
        <w:spacing w:line="560" w:lineRule="exact"/>
        <w:ind w:firstLine="640" w:firstLineChars="200"/>
        <w:jc w:val="right"/>
        <w:rPr>
          <w:rFonts w:ascii="仿宋" w:hAnsi="仿宋" w:eastAsia="仿宋" w:cs="仿宋"/>
          <w:sz w:val="32"/>
          <w:szCs w:val="32"/>
        </w:rPr>
      </w:pPr>
      <w:r>
        <w:rPr>
          <w:rFonts w:ascii="仿宋" w:hAnsi="仿宋" w:eastAsia="仿宋" w:cs="仿宋"/>
          <w:sz w:val="32"/>
          <w:szCs w:val="32"/>
        </w:rPr>
        <w:t>202</w:t>
      </w:r>
      <w:r>
        <w:rPr>
          <w:rFonts w:hint="eastAsia" w:ascii="仿宋" w:hAnsi="仿宋" w:eastAsia="仿宋" w:cs="仿宋"/>
          <w:sz w:val="32"/>
          <w:szCs w:val="32"/>
          <w:lang w:val="en-US" w:eastAsia="zh-CN"/>
        </w:rPr>
        <w:t>0</w:t>
      </w:r>
      <w:bookmarkStart w:id="0" w:name="_GoBack"/>
      <w:bookmarkEnd w:id="0"/>
      <w:r>
        <w:rPr>
          <w:rFonts w:ascii="仿宋" w:hAnsi="仿宋" w:eastAsia="仿宋" w:cs="仿宋"/>
          <w:sz w:val="32"/>
          <w:szCs w:val="32"/>
        </w:rPr>
        <w:t>年7月</w:t>
      </w:r>
      <w:r>
        <w:rPr>
          <w:rFonts w:hint="eastAsia" w:ascii="仿宋" w:hAnsi="仿宋" w:eastAsia="仿宋" w:cs="仿宋"/>
          <w:sz w:val="32"/>
          <w:szCs w:val="32"/>
        </w:rPr>
        <w:t>5</w:t>
      </w:r>
      <w:r>
        <w:rPr>
          <w:rFonts w:ascii="仿宋" w:hAnsi="仿宋" w:eastAsia="仿宋" w:cs="仿宋"/>
          <w:sz w:val="32"/>
          <w:szCs w:val="32"/>
        </w:rPr>
        <w:t>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LiVLsQBAACrAwAADgAAAGRycy9lMm9Eb2MueG1srVPLbtswELwX6D8Q&#10;vNeSHaAxBMtBCiNFgSBtkfYDaIqyCPCFXcqS/z5LSnLa9JJDL9S+OLszXO3uRmvYWQFq72q+XpWc&#10;KSd9o92p5r9/PXzacoZRuEYY71TNLwr53f7jh90QKrXxnTeNAkYgDqsh1LyLMVRFgbJTVuDKB+Uo&#10;2XqwIpILp6IBMRC6NcWmLD8Xg4cmgJcKkaKHKclnRHgPoG9bLdXBy94qFydUUEZEooSdDsj3edq2&#10;VTJ+b1tUkZmaE9OYT2pC9jGdxX4nqhOI0Gk5jyDeM8IbTlZoR02vUAcRBetB/wNltQSPvo0r6W0x&#10;EcmKEIt1+Uab504ElbmQ1BiuouP/g5VP5x/AdEObwJkTlh78Zy8adg/gB3ZT3t4kiYaAFVU+B6qN&#10;4xc/pvI5jhRMzMcWbPoSJ0Z5EvhyFViNkcl0abvZbktKScotDuEUr9cDYPyqvGXJqDnQC2ZhxfkR&#10;41S6lKRuzj9oYyguKuP+ChDmFFF5Debbick0cbLieBxnGkffXIjdQKtQc0ebz5n55kjptDWLAYtx&#10;XIw+gD51NOg6T4nhvo80Up40dZhgiWFy6A0z13nf0pL86eeq139s/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qXm5zwAAAAUBAAAPAAAAAAAAAAEAIAAAACIAAABkcnMvZG93bnJldi54bWxQSwEC&#10;FAAUAAAACACHTuJAdLiVLsQBAACrAwAADgAAAAAAAAABACAAAAAeAQAAZHJzL2Uyb0RvYy54bWxQ&#10;SwUGAAAAAAYABgBZAQAAVAU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420"/>
  <w:drawingGridHorizontalSpacing w:val="105"/>
  <w:drawingGridVerticalSpacing w:val="156"/>
  <w:noPunctuationKerning w:val="1"/>
  <w:characterSpacingControl w:val="compressPunctuation"/>
  <w:hdrShapeDefaults>
    <o:shapelayout v:ext="edit">
      <o:idmap v:ext="edit" data="1,3"/>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16A3"/>
    <w:rsid w:val="000D193E"/>
    <w:rsid w:val="000D29F1"/>
    <w:rsid w:val="001627CF"/>
    <w:rsid w:val="001646B1"/>
    <w:rsid w:val="00176210"/>
    <w:rsid w:val="001D2D4C"/>
    <w:rsid w:val="001E209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86041"/>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34EDD"/>
    <w:rsid w:val="00CA405B"/>
    <w:rsid w:val="00CB309F"/>
    <w:rsid w:val="00CE156F"/>
    <w:rsid w:val="00DE50A2"/>
    <w:rsid w:val="00DF6FF4"/>
    <w:rsid w:val="00E03726"/>
    <w:rsid w:val="00E17D5D"/>
    <w:rsid w:val="00E61BFC"/>
    <w:rsid w:val="00E841B7"/>
    <w:rsid w:val="00ED5E84"/>
    <w:rsid w:val="00EF16A3"/>
    <w:rsid w:val="00F57E52"/>
    <w:rsid w:val="00FB4297"/>
    <w:rsid w:val="055B525F"/>
    <w:rsid w:val="092A2328"/>
    <w:rsid w:val="13B61930"/>
    <w:rsid w:val="20276775"/>
    <w:rsid w:val="38C15CEB"/>
    <w:rsid w:val="3AEF6FE7"/>
    <w:rsid w:val="40676A24"/>
    <w:rsid w:val="493B718D"/>
    <w:rsid w:val="4B1745BF"/>
    <w:rsid w:val="53A42ADD"/>
    <w:rsid w:val="595E667F"/>
    <w:rsid w:val="59A03424"/>
    <w:rsid w:val="70F46D01"/>
    <w:rsid w:val="79536E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3</Pages>
  <Words>186</Words>
  <Characters>1061</Characters>
  <Lines>8</Lines>
  <Paragraphs>2</Paragraphs>
  <TotalTime>0</TotalTime>
  <ScaleCrop>false</ScaleCrop>
  <LinksUpToDate>false</LinksUpToDate>
  <CharactersWithSpaces>1245</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2021-02-24T05:43:00Z</cp:lastPrinted>
  <dcterms:modified xsi:type="dcterms:W3CDTF">2021-07-14T08:07:46Z</dcterms:modified>
  <dc:title>附件2： </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6C336CAEC3D54E5AA717A18635297884</vt:lpwstr>
  </property>
</Properties>
</file>