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utoSpaceDE/>
        <w:autoSpaceDN/>
        <w:adjustRightInd/>
        <w:snapToGrid w:val="0"/>
        <w:spacing w:before="0" w:after="0" w:line="560" w:lineRule="exact"/>
        <w:ind w:left="0" w:leftChars="0" w:right="0"/>
        <w:jc w:val="center"/>
        <w:textAlignment w:val="auto"/>
        <w:outlineLvl w:val="9"/>
        <w:rPr>
          <w:rFonts w:hint="eastAsia" w:ascii="宋体" w:hAnsi="宋体" w:eastAsia="宋体" w:cs="宋体"/>
          <w:b/>
          <w:bCs/>
          <w:kern w:val="0"/>
          <w:sz w:val="44"/>
          <w:szCs w:val="44"/>
          <w:lang w:eastAsia="zh-CN"/>
        </w:rPr>
      </w:pPr>
    </w:p>
    <w:p>
      <w:pPr>
        <w:keepNext w:val="0"/>
        <w:keepLines w:val="0"/>
        <w:pageBreakBefore w:val="0"/>
        <w:widowControl w:val="0"/>
        <w:kinsoku/>
        <w:wordWrap/>
        <w:overflowPunct/>
        <w:topLinePunct w:val="0"/>
        <w:autoSpaceDE/>
        <w:autoSpaceDN/>
        <w:bidi w:val="0"/>
        <w:adjustRightInd/>
        <w:snapToGrid w:val="0"/>
        <w:spacing w:before="0" w:after="0" w:line="560" w:lineRule="exact"/>
        <w:ind w:left="0" w:leftChars="0" w:right="0"/>
        <w:jc w:val="center"/>
        <w:textAlignment w:val="auto"/>
        <w:outlineLvl w:val="9"/>
        <w:rPr>
          <w:rFonts w:hint="eastAsia" w:ascii="方正小标宋简体" w:hAnsi="方正小标宋简体" w:eastAsia="方正小标宋简体" w:cs="方正小标宋简体"/>
          <w:b w:val="0"/>
        </w:rPr>
      </w:pPr>
      <w:r>
        <w:rPr>
          <w:rFonts w:hint="eastAsia" w:ascii="宋体" w:hAnsi="宋体" w:eastAsia="宋体" w:cs="宋体"/>
          <w:b/>
          <w:bCs/>
          <w:kern w:val="0"/>
          <w:sz w:val="44"/>
          <w:szCs w:val="44"/>
          <w:lang w:eastAsia="zh-CN"/>
        </w:rPr>
        <w:t>区委</w:t>
      </w:r>
      <w:r>
        <w:rPr>
          <w:rFonts w:hint="eastAsia" w:ascii="宋体" w:hAnsi="宋体" w:eastAsia="宋体" w:cs="宋体"/>
          <w:b/>
          <w:bCs/>
          <w:kern w:val="0"/>
          <w:sz w:val="44"/>
          <w:szCs w:val="44"/>
        </w:rPr>
        <w:t>编办2019年度绩效自评工作报告</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3" w:firstLineChars="200"/>
        <w:textAlignment w:val="auto"/>
        <w:rPr>
          <w:rFonts w:hint="eastAsia" w:asciiTheme="majorEastAsia" w:hAnsiTheme="majorEastAsia" w:eastAsiaTheme="majorEastAsia" w:cstheme="majorEastAsia"/>
          <w:b/>
          <w:bCs/>
          <w:sz w:val="32"/>
          <w:szCs w:val="32"/>
        </w:rPr>
      </w:pP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一、绩效自评工作组织开展情况</w:t>
      </w:r>
    </w:p>
    <w:p>
      <w:pPr>
        <w:pStyle w:val="8"/>
        <w:keepNext w:val="0"/>
        <w:keepLines w:val="0"/>
        <w:pageBreakBefore w:val="0"/>
        <w:widowControl w:val="0"/>
        <w:numPr>
          <w:ilvl w:val="0"/>
          <w:numId w:val="0"/>
        </w:numPr>
        <w:tabs>
          <w:tab w:val="left" w:pos="1074"/>
        </w:tabs>
        <w:kinsoku/>
        <w:wordWrap/>
        <w:overflowPunct/>
        <w:topLinePunct w:val="0"/>
        <w:autoSpaceDE w:val="0"/>
        <w:autoSpaceDN w:val="0"/>
        <w:bidi w:val="0"/>
        <w:adjustRightInd/>
        <w:snapToGrid/>
        <w:spacing w:before="0" w:after="0" w:line="560" w:lineRule="exact"/>
        <w:ind w:left="0" w:right="0" w:rightChars="0" w:firstLine="960" w:firstLineChars="3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前期准备</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绩效自评工作由</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委编办综合</w:t>
      </w:r>
      <w:r>
        <w:rPr>
          <w:rFonts w:hint="eastAsia" w:ascii="仿宋_GB2312" w:hAnsi="仿宋_GB2312" w:eastAsia="仿宋_GB2312" w:cs="仿宋_GB2312"/>
          <w:sz w:val="32"/>
          <w:szCs w:val="32"/>
          <w:lang w:eastAsia="zh-CN"/>
        </w:rPr>
        <w:t>科</w:t>
      </w:r>
      <w:r>
        <w:rPr>
          <w:rFonts w:hint="eastAsia" w:ascii="仿宋_GB2312" w:hAnsi="仿宋_GB2312" w:eastAsia="仿宋_GB2312" w:cs="仿宋_GB2312"/>
          <w:sz w:val="32"/>
          <w:szCs w:val="32"/>
        </w:rPr>
        <w:t>牵头，组织所涉及项目科室</w:t>
      </w:r>
      <w:r>
        <w:rPr>
          <w:rFonts w:hint="eastAsia" w:ascii="仿宋_GB2312" w:hAnsi="仿宋_GB2312" w:eastAsia="仿宋_GB2312" w:cs="仿宋_GB2312"/>
          <w:sz w:val="32"/>
          <w:szCs w:val="32"/>
          <w:lang w:eastAsia="zh-CN"/>
        </w:rPr>
        <w:t>分管领导</w:t>
      </w:r>
      <w:r>
        <w:rPr>
          <w:rFonts w:hint="eastAsia" w:ascii="仿宋_GB2312" w:hAnsi="仿宋_GB2312" w:eastAsia="仿宋_GB2312" w:cs="仿宋_GB2312"/>
          <w:sz w:val="32"/>
          <w:szCs w:val="32"/>
        </w:rPr>
        <w:t>成立绩效评价工作组，绩效评价工作组在部门整体支出绩效评价共性指标体系框架的基础上，结合年初预算批复的部门整体支出绩效指标，部门职责以及项目特点，补充设计个性指标，确定部门整体支出和项目的绩效自评指标体系、绩效考评实施方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并开展相关绩效自评工作。</w:t>
      </w:r>
    </w:p>
    <w:p>
      <w:pPr>
        <w:pStyle w:val="8"/>
        <w:keepNext w:val="0"/>
        <w:keepLines w:val="0"/>
        <w:pageBreakBefore w:val="0"/>
        <w:widowControl w:val="0"/>
        <w:numPr>
          <w:ilvl w:val="0"/>
          <w:numId w:val="0"/>
        </w:numPr>
        <w:tabs>
          <w:tab w:val="left" w:pos="1074"/>
        </w:tabs>
        <w:kinsoku/>
        <w:wordWrap/>
        <w:overflowPunct/>
        <w:topLinePunct w:val="0"/>
        <w:autoSpaceDE w:val="0"/>
        <w:autoSpaceDN w:val="0"/>
        <w:bidi w:val="0"/>
        <w:adjustRightInd/>
        <w:snapToGrid/>
        <w:spacing w:before="0" w:after="0" w:line="560" w:lineRule="exact"/>
        <w:ind w:leftChars="200" w:right="0" w:rightChars="0" w:firstLine="320" w:firstLineChars="1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组织实施</w:t>
      </w:r>
    </w:p>
    <w:p>
      <w:pPr>
        <w:pStyle w:val="2"/>
        <w:keepNext w:val="0"/>
        <w:keepLines w:val="0"/>
        <w:pageBreakBefore w:val="0"/>
        <w:widowControl w:val="0"/>
        <w:kinsoku/>
        <w:wordWrap/>
        <w:overflowPunct/>
        <w:topLinePunct w:val="0"/>
        <w:autoSpaceDE w:val="0"/>
        <w:autoSpaceDN w:val="0"/>
        <w:bidi w:val="0"/>
        <w:adjustRightInd/>
        <w:snapToGrid/>
        <w:spacing w:before="10" w:line="560" w:lineRule="exact"/>
        <w:ind w:left="111" w:right="283" w:firstLine="62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w w:val="95"/>
          <w:sz w:val="32"/>
          <w:szCs w:val="32"/>
        </w:rPr>
        <w:t>由绩效自评工作组根据部门实际情况，结合部门整体支出自评指标体系进行打分，得到绩效自评结论，形成部门整体支出绩</w:t>
      </w:r>
      <w:r>
        <w:rPr>
          <w:rFonts w:hint="eastAsia" w:ascii="仿宋_GB2312" w:hAnsi="仿宋_GB2312" w:eastAsia="仿宋_GB2312" w:cs="仿宋_GB2312"/>
          <w:spacing w:val="3"/>
          <w:sz w:val="32"/>
          <w:szCs w:val="32"/>
        </w:rPr>
        <w:t>效自评报告。</w:t>
      </w:r>
    </w:p>
    <w:p>
      <w:pPr>
        <w:pStyle w:val="2"/>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2019年财政安排我单位专项资金</w:t>
      </w:r>
      <w:r>
        <w:rPr>
          <w:rFonts w:hint="eastAsia" w:ascii="仿宋_GB2312" w:hAnsi="仿宋_GB2312" w:eastAsia="仿宋_GB2312" w:cs="仿宋_GB2312"/>
          <w:sz w:val="32"/>
          <w:szCs w:val="32"/>
          <w:lang w:val="en-US" w:eastAsia="zh-CN"/>
        </w:rPr>
        <w:t>13.8</w:t>
      </w:r>
      <w:r>
        <w:rPr>
          <w:rFonts w:hint="eastAsia" w:ascii="仿宋_GB2312" w:hAnsi="仿宋_GB2312" w:eastAsia="仿宋_GB2312" w:cs="仿宋_GB2312"/>
          <w:sz w:val="32"/>
          <w:szCs w:val="32"/>
        </w:rPr>
        <w:t>万元，资金</w:t>
      </w:r>
      <w:r>
        <w:rPr>
          <w:rFonts w:hint="eastAsia" w:ascii="仿宋_GB2312" w:hAnsi="仿宋_GB2312" w:eastAsia="仿宋_GB2312" w:cs="仿宋_GB2312"/>
          <w:sz w:val="32"/>
          <w:szCs w:val="32"/>
          <w:lang w:eastAsia="zh-CN"/>
        </w:rPr>
        <w:t>全部</w:t>
      </w:r>
      <w:r>
        <w:rPr>
          <w:rFonts w:hint="eastAsia" w:ascii="仿宋_GB2312" w:hAnsi="仿宋_GB2312" w:eastAsia="仿宋_GB2312" w:cs="仿宋_GB2312"/>
          <w:spacing w:val="-15"/>
          <w:sz w:val="32"/>
          <w:szCs w:val="32"/>
        </w:rPr>
        <w:t>源于财政拨款，无其他资金投入。资金主要用于办公费、印刷费</w:t>
      </w:r>
      <w:r>
        <w:rPr>
          <w:rFonts w:hint="eastAsia" w:ascii="仿宋_GB2312" w:hAnsi="仿宋_GB2312" w:eastAsia="仿宋_GB2312" w:cs="仿宋_GB2312"/>
          <w:spacing w:val="-15"/>
          <w:sz w:val="32"/>
          <w:szCs w:val="32"/>
          <w:lang w:eastAsia="zh-CN"/>
        </w:rPr>
        <w:t>、</w:t>
      </w:r>
      <w:r>
        <w:rPr>
          <w:rFonts w:hint="eastAsia" w:ascii="仿宋_GB2312" w:hAnsi="仿宋_GB2312" w:eastAsia="仿宋_GB2312" w:cs="仿宋_GB2312"/>
          <w:spacing w:val="3"/>
          <w:sz w:val="32"/>
          <w:szCs w:val="32"/>
        </w:rPr>
        <w:t>差旅费等方面。所有开支均按照我单位财务管理制度执行，资金的使用严格把关，整个项目</w:t>
      </w:r>
      <w:r>
        <w:rPr>
          <w:rFonts w:hint="eastAsia" w:ascii="仿宋_GB2312" w:hAnsi="仿宋_GB2312" w:eastAsia="仿宋_GB2312" w:cs="仿宋_GB2312"/>
          <w:spacing w:val="-1"/>
          <w:sz w:val="32"/>
          <w:szCs w:val="32"/>
        </w:rPr>
        <w:t>的运行完全按照我单位内部管理制度、财政局的有关规定执行。</w:t>
      </w:r>
      <w:r>
        <w:rPr>
          <w:rFonts w:hint="eastAsia" w:ascii="仿宋_GB2312" w:hAnsi="仿宋_GB2312" w:eastAsia="仿宋_GB2312" w:cs="仿宋_GB2312"/>
          <w:spacing w:val="3"/>
          <w:sz w:val="32"/>
          <w:szCs w:val="32"/>
        </w:rPr>
        <w:t>单位内部不定期进行抽查，严格遵守纪律，不存在违规违法的问题；各个专项资金使用与具体专项实施内容相符，绩效总目标和</w:t>
      </w:r>
      <w:r>
        <w:rPr>
          <w:rFonts w:hint="eastAsia" w:ascii="仿宋_GB2312" w:hAnsi="仿宋_GB2312" w:eastAsia="仿宋_GB2312" w:cs="仿宋_GB2312"/>
          <w:sz w:val="32"/>
          <w:szCs w:val="32"/>
        </w:rPr>
        <w:t>阶段性目标都已按照计划基本完成。</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二、绩效目标实现情况</w:t>
      </w:r>
    </w:p>
    <w:p>
      <w:pPr>
        <w:pStyle w:val="2"/>
        <w:keepNext w:val="0"/>
        <w:keepLines w:val="0"/>
        <w:pageBreakBefore w:val="0"/>
        <w:widowControl w:val="0"/>
        <w:kinsoku/>
        <w:wordWrap/>
        <w:overflowPunct/>
        <w:topLinePunct w:val="0"/>
        <w:autoSpaceDE w:val="0"/>
        <w:autoSpaceDN w:val="0"/>
        <w:bidi w:val="0"/>
        <w:adjustRightInd/>
        <w:snapToGrid/>
        <w:spacing w:before="28" w:line="560" w:lineRule="exact"/>
        <w:ind w:left="111" w:right="118" w:firstLine="652"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rPr>
        <w:t>本年度专项工作经费管理规范，按计划基本完成，确保了</w:t>
      </w:r>
      <w:r>
        <w:rPr>
          <w:rFonts w:hint="eastAsia" w:ascii="仿宋_GB2312" w:hAnsi="仿宋_GB2312" w:eastAsia="仿宋_GB2312" w:cs="仿宋_GB2312"/>
          <w:spacing w:val="3"/>
          <w:sz w:val="32"/>
          <w:szCs w:val="32"/>
          <w:lang w:eastAsia="zh-CN"/>
        </w:rPr>
        <w:t>区</w:t>
      </w:r>
      <w:r>
        <w:rPr>
          <w:rFonts w:hint="eastAsia" w:ascii="仿宋_GB2312" w:hAnsi="仿宋_GB2312" w:eastAsia="仿宋_GB2312" w:cs="仿宋_GB2312"/>
          <w:spacing w:val="3"/>
          <w:sz w:val="32"/>
          <w:szCs w:val="32"/>
        </w:rPr>
        <w:t>委编办各项工作正常运转和圆满完成，各</w:t>
      </w:r>
      <w:r>
        <w:rPr>
          <w:rFonts w:hint="eastAsia" w:ascii="仿宋_GB2312" w:hAnsi="仿宋_GB2312" w:eastAsia="仿宋_GB2312" w:cs="仿宋_GB2312"/>
          <w:spacing w:val="3"/>
          <w:sz w:val="32"/>
          <w:szCs w:val="32"/>
          <w:lang w:eastAsia="zh-CN"/>
        </w:rPr>
        <w:t>科室</w:t>
      </w:r>
      <w:r>
        <w:rPr>
          <w:rFonts w:hint="eastAsia" w:ascii="仿宋_GB2312" w:hAnsi="仿宋_GB2312" w:eastAsia="仿宋_GB2312" w:cs="仿宋_GB2312"/>
          <w:spacing w:val="3"/>
          <w:sz w:val="32"/>
          <w:szCs w:val="32"/>
        </w:rPr>
        <w:t>对该项工作总体较</w:t>
      </w:r>
      <w:r>
        <w:rPr>
          <w:rFonts w:hint="eastAsia" w:ascii="仿宋_GB2312" w:hAnsi="仿宋_GB2312" w:eastAsia="仿宋_GB2312" w:cs="仿宋_GB2312"/>
          <w:spacing w:val="-16"/>
          <w:sz w:val="32"/>
          <w:szCs w:val="32"/>
        </w:rPr>
        <w:t>满意。对各项职能指标完成情况进行了自检自查,</w:t>
      </w:r>
      <w:r>
        <w:rPr>
          <w:rFonts w:hint="eastAsia" w:ascii="仿宋_GB2312" w:hAnsi="仿宋_GB2312" w:eastAsia="仿宋_GB2312" w:cs="仿宋_GB2312"/>
          <w:spacing w:val="-17"/>
          <w:sz w:val="32"/>
          <w:szCs w:val="32"/>
        </w:rPr>
        <w:t>各项工作均已基本完成，专项资金绩效评价</w:t>
      </w:r>
      <w:r>
        <w:rPr>
          <w:rFonts w:hint="eastAsia" w:ascii="仿宋_GB2312" w:hAnsi="仿宋_GB2312" w:eastAsia="仿宋_GB2312" w:cs="仿宋_GB2312"/>
          <w:sz w:val="32"/>
          <w:szCs w:val="32"/>
        </w:rPr>
        <w:t>自评为优秀。</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三、绩效目标设定质量情况</w:t>
      </w:r>
    </w:p>
    <w:p>
      <w:pPr>
        <w:pStyle w:val="2"/>
        <w:keepNext w:val="0"/>
        <w:keepLines w:val="0"/>
        <w:pageBreakBefore w:val="0"/>
        <w:widowControl w:val="0"/>
        <w:kinsoku/>
        <w:wordWrap/>
        <w:overflowPunct/>
        <w:topLinePunct w:val="0"/>
        <w:autoSpaceDE w:val="0"/>
        <w:autoSpaceDN w:val="0"/>
        <w:bidi w:val="0"/>
        <w:adjustRightInd/>
        <w:snapToGrid/>
        <w:spacing w:line="560" w:lineRule="exact"/>
        <w:ind w:left="111" w:firstLine="65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rPr>
        <w:t>通过绩效自评结果对比倒查的年初绩效目标设定质量情况，</w:t>
      </w:r>
      <w:r>
        <w:rPr>
          <w:rFonts w:hint="eastAsia" w:ascii="仿宋_GB2312" w:hAnsi="仿宋_GB2312" w:eastAsia="仿宋_GB2312" w:cs="仿宋_GB2312"/>
          <w:spacing w:val="-3"/>
          <w:sz w:val="32"/>
          <w:szCs w:val="32"/>
        </w:rPr>
        <w:t>加强预算绩效管理意识，在总结上一年度预算执行情况的基础上，</w:t>
      </w:r>
      <w:r>
        <w:rPr>
          <w:rFonts w:hint="eastAsia" w:ascii="仿宋_GB2312" w:hAnsi="仿宋_GB2312" w:eastAsia="仿宋_GB2312" w:cs="仿宋_GB2312"/>
          <w:spacing w:val="3"/>
          <w:sz w:val="32"/>
          <w:szCs w:val="32"/>
        </w:rPr>
        <w:t>结合本单位年度发展规划和目标，判定预算收支变化因素，有利于科学合理地编制当年预算；在预算执行过程中，通过有效地建</w:t>
      </w:r>
      <w:r>
        <w:rPr>
          <w:rFonts w:hint="eastAsia" w:ascii="仿宋_GB2312" w:hAnsi="仿宋_GB2312" w:eastAsia="仿宋_GB2312" w:cs="仿宋_GB2312"/>
          <w:sz w:val="32"/>
          <w:szCs w:val="32"/>
        </w:rPr>
        <w:t>立和实施监督检查制度，保障年初绩效目标得以顺利实现；通过</w:t>
      </w:r>
      <w:r>
        <w:rPr>
          <w:rFonts w:hint="eastAsia" w:ascii="仿宋_GB2312" w:hAnsi="仿宋_GB2312" w:eastAsia="仿宋_GB2312" w:cs="仿宋_GB2312"/>
          <w:spacing w:val="-15"/>
          <w:sz w:val="32"/>
          <w:szCs w:val="32"/>
        </w:rPr>
        <w:t>预算支出整体评价，考察绩效目标的实现程度，总结存在的问题，</w:t>
      </w:r>
      <w:r>
        <w:rPr>
          <w:rFonts w:hint="eastAsia" w:ascii="仿宋_GB2312" w:hAnsi="仿宋_GB2312" w:eastAsia="仿宋_GB2312" w:cs="仿宋_GB2312"/>
          <w:spacing w:val="3"/>
          <w:w w:val="95"/>
          <w:sz w:val="32"/>
          <w:szCs w:val="32"/>
        </w:rPr>
        <w:t>分析原因，提出整改，不断提高预算绩效管理水平，有利于提高</w:t>
      </w:r>
      <w:r>
        <w:rPr>
          <w:rFonts w:hint="eastAsia" w:ascii="仿宋_GB2312" w:hAnsi="仿宋_GB2312" w:eastAsia="仿宋_GB2312" w:cs="仿宋_GB2312"/>
          <w:spacing w:val="3"/>
          <w:sz w:val="32"/>
          <w:szCs w:val="32"/>
        </w:rPr>
        <w:t>财政资金使用效益。</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四、整改措施及结果应用</w:t>
      </w:r>
    </w:p>
    <w:p>
      <w:pPr>
        <w:pStyle w:val="2"/>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以问题导向研究改进自评工作方式方法</w:t>
      </w:r>
    </w:p>
    <w:p>
      <w:pPr>
        <w:pStyle w:val="2"/>
        <w:keepNext w:val="0"/>
        <w:keepLines w:val="0"/>
        <w:pageBreakBefore w:val="0"/>
        <w:widowControl w:val="0"/>
        <w:kinsoku/>
        <w:wordWrap/>
        <w:overflowPunct/>
        <w:topLinePunct w:val="0"/>
        <w:autoSpaceDE w:val="0"/>
        <w:autoSpaceDN w:val="0"/>
        <w:bidi w:val="0"/>
        <w:adjustRightInd/>
        <w:snapToGrid/>
        <w:spacing w:before="10" w:line="560" w:lineRule="exact"/>
        <w:ind w:left="111" w:right="282" w:firstLine="62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w w:val="95"/>
          <w:sz w:val="32"/>
          <w:szCs w:val="32"/>
        </w:rPr>
        <w:t>对部门整体支出开展绩效评价工作是一项全新的工作，虽然我办也成立了绩效评价工作小组，但对部门</w:t>
      </w:r>
      <w:r>
        <w:rPr>
          <w:rFonts w:hint="eastAsia" w:ascii="仿宋_GB2312" w:hAnsi="仿宋_GB2312" w:eastAsia="仿宋_GB2312" w:cs="仿宋_GB2312"/>
          <w:spacing w:val="3"/>
          <w:sz w:val="32"/>
          <w:szCs w:val="32"/>
        </w:rPr>
        <w:t>的整体支出绩效评价工作不</w:t>
      </w:r>
      <w:r>
        <w:rPr>
          <w:rFonts w:hint="eastAsia" w:ascii="仿宋_GB2312" w:hAnsi="仿宋_GB2312" w:eastAsia="仿宋_GB2312" w:cs="仿宋_GB2312"/>
          <w:spacing w:val="3"/>
          <w:sz w:val="32"/>
          <w:szCs w:val="32"/>
          <w:lang w:eastAsia="zh-CN"/>
        </w:rPr>
        <w:t>够</w:t>
      </w:r>
      <w:r>
        <w:rPr>
          <w:rFonts w:hint="eastAsia" w:ascii="仿宋_GB2312" w:hAnsi="仿宋_GB2312" w:eastAsia="仿宋_GB2312" w:cs="仿宋_GB2312"/>
          <w:spacing w:val="3"/>
          <w:sz w:val="32"/>
          <w:szCs w:val="32"/>
        </w:rPr>
        <w:t>熟悉，对该项工作还有待加强。</w:t>
      </w:r>
    </w:p>
    <w:p>
      <w:pPr>
        <w:pStyle w:val="2"/>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建立健全</w:t>
      </w:r>
      <w:r>
        <w:rPr>
          <w:rFonts w:hint="eastAsia" w:ascii="仿宋_GB2312" w:hAnsi="仿宋_GB2312" w:eastAsia="仿宋_GB2312" w:cs="仿宋_GB2312"/>
          <w:sz w:val="32"/>
          <w:szCs w:val="32"/>
        </w:rPr>
        <w:t>部门绩效评价信息反馈公开机制</w:t>
      </w: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right="0" w:rightChars="0" w:firstLine="620" w:firstLineChars="200"/>
        <w:textAlignment w:val="auto"/>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w w:val="95"/>
          <w:sz w:val="32"/>
          <w:szCs w:val="32"/>
        </w:rPr>
        <w:t>建立评价信息反馈公开机制，对绩效评价中发现的问题、达不到绩效目标或评价结果较差</w:t>
      </w:r>
      <w:r>
        <w:rPr>
          <w:rFonts w:hint="eastAsia" w:ascii="仿宋_GB2312" w:hAnsi="仿宋_GB2312" w:eastAsia="仿宋_GB2312" w:cs="仿宋_GB2312"/>
          <w:w w:val="95"/>
          <w:sz w:val="32"/>
          <w:szCs w:val="32"/>
        </w:rPr>
        <w:t>的项目</w:t>
      </w:r>
      <w:r>
        <w:rPr>
          <w:rFonts w:hint="eastAsia" w:ascii="仿宋_GB2312" w:hAnsi="仿宋_GB2312" w:eastAsia="仿宋_GB2312" w:cs="仿宋_GB2312"/>
          <w:w w:val="95"/>
          <w:sz w:val="32"/>
          <w:szCs w:val="32"/>
          <w:lang w:eastAsia="zh-CN"/>
        </w:rPr>
        <w:t>，</w:t>
      </w:r>
      <w:r>
        <w:rPr>
          <w:rFonts w:hint="eastAsia" w:ascii="仿宋_GB2312" w:hAnsi="仿宋_GB2312" w:eastAsia="仿宋_GB2312" w:cs="仿宋_GB2312"/>
          <w:spacing w:val="3"/>
          <w:w w:val="95"/>
          <w:sz w:val="32"/>
          <w:szCs w:val="32"/>
        </w:rPr>
        <w:t>及时反馈给项目实施各</w:t>
      </w:r>
      <w:r>
        <w:rPr>
          <w:rFonts w:hint="eastAsia" w:ascii="仿宋_GB2312" w:hAnsi="仿宋_GB2312" w:eastAsia="仿宋_GB2312" w:cs="仿宋_GB2312"/>
          <w:spacing w:val="3"/>
          <w:w w:val="95"/>
          <w:sz w:val="32"/>
          <w:szCs w:val="32"/>
          <w:lang w:eastAsia="zh-CN"/>
        </w:rPr>
        <w:t>科</w:t>
      </w:r>
      <w:r>
        <w:rPr>
          <w:rFonts w:hint="eastAsia" w:ascii="仿宋_GB2312" w:hAnsi="仿宋_GB2312" w:eastAsia="仿宋_GB2312" w:cs="仿宋_GB2312"/>
          <w:spacing w:val="3"/>
          <w:w w:val="95"/>
          <w:sz w:val="32"/>
          <w:szCs w:val="32"/>
        </w:rPr>
        <w:t>室，项目实施</w:t>
      </w:r>
      <w:r>
        <w:rPr>
          <w:rFonts w:hint="eastAsia" w:ascii="仿宋_GB2312" w:hAnsi="仿宋_GB2312" w:eastAsia="仿宋_GB2312" w:cs="仿宋_GB2312"/>
          <w:spacing w:val="3"/>
          <w:w w:val="95"/>
          <w:sz w:val="32"/>
          <w:szCs w:val="32"/>
          <w:lang w:eastAsia="zh-CN"/>
        </w:rPr>
        <w:t>科</w:t>
      </w:r>
      <w:r>
        <w:rPr>
          <w:rFonts w:hint="eastAsia" w:ascii="仿宋_GB2312" w:hAnsi="仿宋_GB2312" w:eastAsia="仿宋_GB2312" w:cs="仿宋_GB2312"/>
          <w:spacing w:val="3"/>
          <w:w w:val="95"/>
          <w:sz w:val="32"/>
          <w:szCs w:val="32"/>
        </w:rPr>
        <w:t>室</w:t>
      </w:r>
      <w:r>
        <w:rPr>
          <w:rFonts w:hint="eastAsia" w:ascii="仿宋_GB2312" w:hAnsi="仿宋_GB2312" w:eastAsia="仿宋_GB2312" w:cs="仿宋_GB2312"/>
          <w:spacing w:val="3"/>
          <w:w w:val="95"/>
          <w:sz w:val="32"/>
          <w:szCs w:val="32"/>
          <w:lang w:eastAsia="zh-CN"/>
        </w:rPr>
        <w:t>限时整改</w:t>
      </w:r>
      <w:r>
        <w:rPr>
          <w:rFonts w:hint="eastAsia" w:ascii="仿宋_GB2312" w:hAnsi="仿宋_GB2312" w:eastAsia="仿宋_GB2312" w:cs="仿宋_GB2312"/>
          <w:spacing w:val="3"/>
          <w:w w:val="95"/>
          <w:sz w:val="32"/>
          <w:szCs w:val="32"/>
        </w:rPr>
        <w:t>，</w:t>
      </w:r>
      <w:r>
        <w:rPr>
          <w:rFonts w:hint="eastAsia" w:ascii="仿宋_GB2312" w:hAnsi="仿宋_GB2312" w:eastAsia="仿宋_GB2312" w:cs="仿宋_GB2312"/>
          <w:spacing w:val="3"/>
          <w:sz w:val="32"/>
          <w:szCs w:val="32"/>
        </w:rPr>
        <w:t>落实整改情况及时报送</w:t>
      </w:r>
      <w:r>
        <w:rPr>
          <w:rFonts w:hint="eastAsia" w:ascii="仿宋_GB2312" w:hAnsi="仿宋_GB2312" w:eastAsia="仿宋_GB2312" w:cs="仿宋_GB2312"/>
          <w:spacing w:val="3"/>
          <w:sz w:val="32"/>
          <w:szCs w:val="32"/>
          <w:lang w:eastAsia="zh-CN"/>
        </w:rPr>
        <w:t>综合科</w:t>
      </w:r>
      <w:r>
        <w:rPr>
          <w:rFonts w:hint="eastAsia" w:ascii="仿宋_GB2312" w:hAnsi="仿宋_GB2312" w:eastAsia="仿宋_GB2312" w:cs="仿宋_GB2312"/>
          <w:spacing w:val="3"/>
          <w:sz w:val="32"/>
          <w:szCs w:val="32"/>
        </w:rPr>
        <w:t>。</w:t>
      </w: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right="0" w:rightChars="0" w:firstLine="652" w:firstLineChars="200"/>
        <w:textAlignment w:val="auto"/>
        <w:rPr>
          <w:rFonts w:hint="eastAsia" w:ascii="仿宋_GB2312" w:hAnsi="仿宋_GB2312" w:eastAsia="仿宋_GB2312" w:cs="仿宋_GB2312"/>
          <w:spacing w:val="3"/>
          <w:sz w:val="32"/>
          <w:szCs w:val="32"/>
        </w:rPr>
      </w:pP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right="0" w:rightChars="0" w:firstLine="652" w:firstLineChars="200"/>
        <w:textAlignment w:val="auto"/>
        <w:rPr>
          <w:rFonts w:hint="eastAsia" w:ascii="仿宋_GB2312" w:hAnsi="仿宋_GB2312" w:eastAsia="仿宋_GB2312" w:cs="仿宋_GB2312"/>
          <w:spacing w:val="3"/>
          <w:sz w:val="32"/>
          <w:szCs w:val="32"/>
        </w:rPr>
      </w:pPr>
    </w:p>
    <w:p>
      <w:pPr>
        <w:pStyle w:val="2"/>
        <w:keepNext w:val="0"/>
        <w:keepLines w:val="0"/>
        <w:pageBreakBefore w:val="0"/>
        <w:widowControl w:val="0"/>
        <w:kinsoku/>
        <w:wordWrap/>
        <w:overflowPunct/>
        <w:topLinePunct w:val="0"/>
        <w:autoSpaceDE w:val="0"/>
        <w:autoSpaceDN w:val="0"/>
        <w:bidi w:val="0"/>
        <w:adjustRightInd/>
        <w:snapToGrid/>
        <w:spacing w:before="4" w:line="560" w:lineRule="exact"/>
        <w:ind w:left="111" w:right="283" w:firstLine="640" w:firstLineChars="200"/>
        <w:jc w:val="both"/>
        <w:textAlignment w:val="auto"/>
        <w:rPr>
          <w:rFonts w:hint="eastAsia" w:ascii="仿宋_GB2312" w:hAnsi="仿宋_GB2312" w:eastAsia="仿宋_GB2312" w:cs="仿宋_GB2312"/>
          <w:sz w:val="32"/>
          <w:szCs w:val="32"/>
        </w:rPr>
      </w:pPr>
      <w:bookmarkStart w:id="0" w:name="_GoBack"/>
      <w:bookmarkEnd w:id="0"/>
    </w:p>
    <w:p>
      <w:pPr>
        <w:pStyle w:val="2"/>
        <w:keepNext w:val="0"/>
        <w:keepLines w:val="0"/>
        <w:pageBreakBefore w:val="0"/>
        <w:widowControl w:val="0"/>
        <w:kinsoku/>
        <w:wordWrap/>
        <w:overflowPunct/>
        <w:topLinePunct w:val="0"/>
        <w:autoSpaceDE w:val="0"/>
        <w:autoSpaceDN w:val="0"/>
        <w:bidi w:val="0"/>
        <w:adjustRightInd/>
        <w:snapToGrid/>
        <w:spacing w:before="4" w:line="560" w:lineRule="exact"/>
        <w:ind w:left="111" w:right="283" w:firstLine="640" w:firstLineChars="200"/>
        <w:jc w:val="both"/>
        <w:textAlignment w:val="auto"/>
        <w:rPr>
          <w:rFonts w:hint="eastAsia" w:ascii="仿宋_GB2312" w:hAnsi="仿宋_GB2312" w:eastAsia="仿宋_GB2312" w:cs="仿宋_GB2312"/>
          <w:sz w:val="32"/>
          <w:szCs w:val="32"/>
        </w:rPr>
      </w:pPr>
    </w:p>
    <w:p>
      <w:pPr>
        <w:pStyle w:val="2"/>
        <w:keepNext w:val="0"/>
        <w:keepLines w:val="0"/>
        <w:pageBreakBefore w:val="0"/>
        <w:widowControl w:val="0"/>
        <w:kinsoku/>
        <w:wordWrap/>
        <w:overflowPunct/>
        <w:topLinePunct w:val="0"/>
        <w:autoSpaceDE w:val="0"/>
        <w:autoSpaceDN w:val="0"/>
        <w:bidi w:val="0"/>
        <w:adjustRightInd/>
        <w:snapToGrid/>
        <w:spacing w:before="4" w:line="240" w:lineRule="auto"/>
        <w:ind w:right="283"/>
        <w:jc w:val="both"/>
        <w:textAlignment w:val="auto"/>
        <w:rPr>
          <w:rFonts w:hint="eastAsia" w:ascii="仿宋_GB2312" w:hAnsi="仿宋_GB2312" w:eastAsia="仿宋_GB2312" w:cs="仿宋_GB2312"/>
          <w:sz w:val="32"/>
          <w:szCs w:val="32"/>
          <w:lang w:eastAsia="zh-CN"/>
        </w:rPr>
      </w:pPr>
    </w:p>
    <w:p>
      <w:pPr>
        <w:pStyle w:val="2"/>
        <w:keepNext w:val="0"/>
        <w:keepLines w:val="0"/>
        <w:pageBreakBefore w:val="0"/>
        <w:widowControl w:val="0"/>
        <w:kinsoku/>
        <w:wordWrap/>
        <w:overflowPunct/>
        <w:topLinePunct w:val="0"/>
        <w:autoSpaceDE w:val="0"/>
        <w:autoSpaceDN w:val="0"/>
        <w:bidi w:val="0"/>
        <w:adjustRightInd/>
        <w:snapToGrid/>
        <w:spacing w:before="4" w:line="240" w:lineRule="auto"/>
        <w:ind w:left="111" w:right="283" w:firstLine="640" w:firstLineChars="200"/>
        <w:jc w:val="both"/>
        <w:textAlignment w:val="auto"/>
        <w:rPr>
          <w:rFonts w:hint="eastAsia" w:ascii="仿宋_GB2312" w:hAnsi="仿宋_GB2312" w:eastAsia="仿宋_GB2312" w:cs="仿宋_GB2312"/>
          <w:sz w:val="32"/>
          <w:szCs w:val="32"/>
          <w:lang w:eastAsia="zh-CN"/>
        </w:rPr>
      </w:pPr>
    </w:p>
    <w:p>
      <w:pPr>
        <w:pStyle w:val="2"/>
        <w:keepNext w:val="0"/>
        <w:keepLines w:val="0"/>
        <w:pageBreakBefore w:val="0"/>
        <w:widowControl w:val="0"/>
        <w:kinsoku/>
        <w:wordWrap/>
        <w:overflowPunct/>
        <w:topLinePunct w:val="0"/>
        <w:autoSpaceDE w:val="0"/>
        <w:autoSpaceDN w:val="0"/>
        <w:bidi w:val="0"/>
        <w:adjustRightInd/>
        <w:snapToGrid/>
        <w:spacing w:before="4" w:line="240" w:lineRule="auto"/>
        <w:ind w:left="111" w:right="283" w:firstLine="640" w:firstLineChars="200"/>
        <w:jc w:val="both"/>
        <w:textAlignment w:val="auto"/>
        <w:rPr>
          <w:rFonts w:hint="eastAsia" w:ascii="仿宋_GB2312" w:hAnsi="仿宋_GB2312" w:eastAsia="仿宋_GB2312" w:cs="仿宋_GB2312"/>
          <w:sz w:val="32"/>
          <w:szCs w:val="32"/>
          <w:lang w:eastAsia="zh-CN"/>
        </w:rPr>
      </w:pPr>
    </w:p>
    <w:sectPr>
      <w:footerReference r:id="rId3" w:type="default"/>
      <w:pgSz w:w="11910" w:h="16840"/>
      <w:pgMar w:top="2098" w:right="1474" w:bottom="1984" w:left="1587" w:header="0" w:footer="1026" w:gutter="0"/>
      <w:pgNumType w:fmt="decimal"/>
      <w:cols w:equalWidth="0" w:num="1">
        <w:col w:w="8310"/>
      </w:cols>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Noto Sans Mono CJK JP Bold">
    <w:altName w:val="Segoe Print"/>
    <w:panose1 w:val="00000000000000000000"/>
    <w:charset w:val="00"/>
    <w:family w:val="swiss"/>
    <w:pitch w:val="default"/>
    <w:sig w:usb0="00000000" w:usb1="00000000" w:usb2="00000000" w:usb3="00000000" w:csb0="00000000" w:csb1="00000000"/>
  </w:font>
  <w:font w:name="WenQuanYi Zen Hei Mono">
    <w:altName w:val="Segoe Print"/>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pict>
        <v:shape id="_x0000_s4097" o:spid="_x0000_s4097" o:spt="202" type="#_x0000_t202" style="position:absolute;left:0pt;margin-left:294.85pt;margin-top:779.45pt;height:12pt;width:17.15pt;mso-position-horizontal-relative:page;mso-position-vertical-relative:page;z-index:-15765504;mso-width-relative:page;mso-height-relative:page;" filled="f" stroked="f" coordsize="21600,21600">
          <v:path/>
          <v:fill on="f" focussize="0,0"/>
          <v:stroke on="f" joinstyle="miter"/>
          <v:imagedata o:title=""/>
          <o:lock v:ext="edit"/>
          <v:textbox inset="0mm,0mm,0mm,0mm">
            <w:txbxContent>
              <w:p>
                <w:pPr>
                  <w:spacing w:before="12"/>
                  <w:ind w:left="20" w:right="0" w:firstLine="0"/>
                  <w:jc w:val="left"/>
                  <w:rPr>
                    <w:rFonts w:ascii="Times New Roman"/>
                    <w:sz w:val="18"/>
                  </w:rPr>
                </w:pPr>
                <w:r>
                  <w:rPr>
                    <w:rFonts w:ascii="Times New Roman"/>
                    <w:sz w:val="18"/>
                  </w:rPr>
                  <w:t xml:space="preserve">- </w:t>
                </w:r>
                <w:r>
                  <w:fldChar w:fldCharType="begin"/>
                </w:r>
                <w:r>
                  <w:rPr>
                    <w:rFonts w:ascii="Times New Roman"/>
                    <w:sz w:val="18"/>
                  </w:rPr>
                  <w:instrText xml:space="preserve"> PAGE </w:instrText>
                </w:r>
                <w:r>
                  <w:fldChar w:fldCharType="separate"/>
                </w:r>
                <w:r>
                  <w:t>1</w:t>
                </w:r>
                <w:r>
                  <w:fldChar w:fldCharType="end"/>
                </w:r>
                <w:r>
                  <w:rPr>
                    <w:rFonts w:ascii="Times New Roman"/>
                    <w:sz w:val="18"/>
                  </w:rPr>
                  <w:t xml:space="preserve"> -</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drawingGridHorizontalSpacing w:val="110"/>
  <w:displayHorizontalDrawingGridEvery w:val="2"/>
  <w:characterSpacingControl w:val="doNotCompress"/>
  <w:hdrShapeDefaults>
    <o:shapelayout v:ext="edit">
      <o:idmap v:ext="edit" data="3,4"/>
    </o:shapelayout>
  </w:hdrShapeDefaults>
  <w:compat>
    <w:ulTrailSpace/>
    <w:shapeLayoutLikeWW8/>
    <w:useFELayout/>
    <w:compatSetting w:name="compatibilityMode" w:uri="http://schemas.microsoft.com/office/word" w:val="12"/>
  </w:compat>
  <w:rsids>
    <w:rsidRoot w:val="00000000"/>
    <w:rsid w:val="001E1A62"/>
    <w:rsid w:val="028B485D"/>
    <w:rsid w:val="02A03D4A"/>
    <w:rsid w:val="037C1528"/>
    <w:rsid w:val="04EC0CC2"/>
    <w:rsid w:val="06D737D6"/>
    <w:rsid w:val="06F618D8"/>
    <w:rsid w:val="0813230D"/>
    <w:rsid w:val="088A22B5"/>
    <w:rsid w:val="08BC08B6"/>
    <w:rsid w:val="08D57960"/>
    <w:rsid w:val="08EE5DDA"/>
    <w:rsid w:val="08FB4DB7"/>
    <w:rsid w:val="08FC1C0F"/>
    <w:rsid w:val="09895BAD"/>
    <w:rsid w:val="09F94F15"/>
    <w:rsid w:val="0A3A4C42"/>
    <w:rsid w:val="0CD43357"/>
    <w:rsid w:val="0D9D3FB2"/>
    <w:rsid w:val="0ED86859"/>
    <w:rsid w:val="101A5884"/>
    <w:rsid w:val="103B660D"/>
    <w:rsid w:val="113813C4"/>
    <w:rsid w:val="115A190B"/>
    <w:rsid w:val="118A23F0"/>
    <w:rsid w:val="12A55940"/>
    <w:rsid w:val="13BA3F8C"/>
    <w:rsid w:val="13FA2079"/>
    <w:rsid w:val="14A83047"/>
    <w:rsid w:val="151E6518"/>
    <w:rsid w:val="1557765D"/>
    <w:rsid w:val="15875A69"/>
    <w:rsid w:val="18A41913"/>
    <w:rsid w:val="198D256D"/>
    <w:rsid w:val="1A02195A"/>
    <w:rsid w:val="1A2B7E8B"/>
    <w:rsid w:val="1BF00B31"/>
    <w:rsid w:val="1D007198"/>
    <w:rsid w:val="1D1515F7"/>
    <w:rsid w:val="1D792D90"/>
    <w:rsid w:val="1DAC65F2"/>
    <w:rsid w:val="1E831492"/>
    <w:rsid w:val="1F9D71A7"/>
    <w:rsid w:val="1FB36B2A"/>
    <w:rsid w:val="22311A8E"/>
    <w:rsid w:val="227C2E3C"/>
    <w:rsid w:val="22CD7E4C"/>
    <w:rsid w:val="231E5F8C"/>
    <w:rsid w:val="2332169F"/>
    <w:rsid w:val="25B6439C"/>
    <w:rsid w:val="25CF007F"/>
    <w:rsid w:val="260B21DA"/>
    <w:rsid w:val="26884410"/>
    <w:rsid w:val="27BE3A39"/>
    <w:rsid w:val="282158F9"/>
    <w:rsid w:val="2B151B11"/>
    <w:rsid w:val="2B435529"/>
    <w:rsid w:val="2B673089"/>
    <w:rsid w:val="2B6D4486"/>
    <w:rsid w:val="2C595364"/>
    <w:rsid w:val="2D4C1D5C"/>
    <w:rsid w:val="2DF12604"/>
    <w:rsid w:val="2F990595"/>
    <w:rsid w:val="2FD20F3F"/>
    <w:rsid w:val="33523257"/>
    <w:rsid w:val="33B04CFF"/>
    <w:rsid w:val="33E47D60"/>
    <w:rsid w:val="349D6627"/>
    <w:rsid w:val="35CA063D"/>
    <w:rsid w:val="36241E1F"/>
    <w:rsid w:val="393F35C6"/>
    <w:rsid w:val="39AD4C3C"/>
    <w:rsid w:val="3A1240B1"/>
    <w:rsid w:val="3A7F149C"/>
    <w:rsid w:val="3ACB51AE"/>
    <w:rsid w:val="3AD5586C"/>
    <w:rsid w:val="3C01536A"/>
    <w:rsid w:val="3CB17CC3"/>
    <w:rsid w:val="3CD00DF2"/>
    <w:rsid w:val="3CEC25CE"/>
    <w:rsid w:val="3D7B1E39"/>
    <w:rsid w:val="3D8905D0"/>
    <w:rsid w:val="3D913146"/>
    <w:rsid w:val="3DD16C9D"/>
    <w:rsid w:val="3E0F2EED"/>
    <w:rsid w:val="3FC678F2"/>
    <w:rsid w:val="40A60937"/>
    <w:rsid w:val="43082CE4"/>
    <w:rsid w:val="438206DA"/>
    <w:rsid w:val="43C96794"/>
    <w:rsid w:val="44A36870"/>
    <w:rsid w:val="45926599"/>
    <w:rsid w:val="45E26B4E"/>
    <w:rsid w:val="46A44DB2"/>
    <w:rsid w:val="46DE2100"/>
    <w:rsid w:val="471536A1"/>
    <w:rsid w:val="474D4CC5"/>
    <w:rsid w:val="47EB6962"/>
    <w:rsid w:val="47F13DC0"/>
    <w:rsid w:val="485E7028"/>
    <w:rsid w:val="48B82F6E"/>
    <w:rsid w:val="4913036B"/>
    <w:rsid w:val="4AFF4D1D"/>
    <w:rsid w:val="4D7C7CC0"/>
    <w:rsid w:val="4E4E54D2"/>
    <w:rsid w:val="4E733598"/>
    <w:rsid w:val="4EA73F88"/>
    <w:rsid w:val="4FA34EB7"/>
    <w:rsid w:val="501F4B1C"/>
    <w:rsid w:val="50A92556"/>
    <w:rsid w:val="50C84149"/>
    <w:rsid w:val="50E51488"/>
    <w:rsid w:val="51766128"/>
    <w:rsid w:val="52AE7DE6"/>
    <w:rsid w:val="537D1496"/>
    <w:rsid w:val="53A63726"/>
    <w:rsid w:val="54813BB6"/>
    <w:rsid w:val="55540ECA"/>
    <w:rsid w:val="56CD3711"/>
    <w:rsid w:val="57F205B7"/>
    <w:rsid w:val="59E84689"/>
    <w:rsid w:val="5A7632F7"/>
    <w:rsid w:val="5C550F3A"/>
    <w:rsid w:val="5CE82126"/>
    <w:rsid w:val="5FDC4F74"/>
    <w:rsid w:val="60C862E9"/>
    <w:rsid w:val="61F2688E"/>
    <w:rsid w:val="621675C0"/>
    <w:rsid w:val="637A7A61"/>
    <w:rsid w:val="65442057"/>
    <w:rsid w:val="65A7747F"/>
    <w:rsid w:val="66217B32"/>
    <w:rsid w:val="66394182"/>
    <w:rsid w:val="670E058D"/>
    <w:rsid w:val="68133235"/>
    <w:rsid w:val="68392ECE"/>
    <w:rsid w:val="69702F61"/>
    <w:rsid w:val="69A22DE2"/>
    <w:rsid w:val="6A33420C"/>
    <w:rsid w:val="6A5B1A91"/>
    <w:rsid w:val="6A884856"/>
    <w:rsid w:val="6BBB389C"/>
    <w:rsid w:val="6CBE56C9"/>
    <w:rsid w:val="6DCB4B0A"/>
    <w:rsid w:val="700A243F"/>
    <w:rsid w:val="710A7851"/>
    <w:rsid w:val="72271B5A"/>
    <w:rsid w:val="722A489A"/>
    <w:rsid w:val="724F0964"/>
    <w:rsid w:val="74177B9B"/>
    <w:rsid w:val="748F74AF"/>
    <w:rsid w:val="74EE1D2E"/>
    <w:rsid w:val="750B1763"/>
    <w:rsid w:val="75BA12B6"/>
    <w:rsid w:val="762F2B0B"/>
    <w:rsid w:val="77632678"/>
    <w:rsid w:val="786F5143"/>
    <w:rsid w:val="79264FA6"/>
    <w:rsid w:val="793311B0"/>
    <w:rsid w:val="7AFB177F"/>
    <w:rsid w:val="7B9E014A"/>
    <w:rsid w:val="7C997878"/>
    <w:rsid w:val="7D454EF4"/>
    <w:rsid w:val="7DB00E80"/>
    <w:rsid w:val="7E7349DA"/>
    <w:rsid w:val="7FA80824"/>
    <w:rsid w:val="7FE60EE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Noto Sans Mono CJK JP Bold" w:hAnsi="Noto Sans Mono CJK JP Bold" w:eastAsia="Noto Sans Mono CJK JP Bold" w:cs="Noto Sans Mono CJK JP Bold"/>
      <w:sz w:val="22"/>
      <w:szCs w:val="22"/>
      <w:lang w:val="en-US" w:eastAsia="zh-CN" w:bidi="ar-SA"/>
    </w:rPr>
  </w:style>
  <w:style w:type="character" w:default="1" w:styleId="6">
    <w:name w:val="Default Paragraph Font"/>
    <w:semiHidden/>
    <w:unhideWhenUsed/>
    <w:qFormat/>
    <w:uiPriority w:val="1"/>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qFormat/>
    <w:uiPriority w:val="1"/>
    <w:rPr>
      <w:rFonts w:ascii="Noto Sans Mono CJK JP Bold" w:hAnsi="Noto Sans Mono CJK JP Bold" w:eastAsia="Noto Sans Mono CJK JP Bold" w:cs="Noto Sans Mono CJK JP Bold"/>
      <w:sz w:val="32"/>
      <w:szCs w:val="32"/>
      <w:lang w:val="en-US" w:eastAsia="zh-CN" w:bidi="ar-SA"/>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itle"/>
    <w:basedOn w:val="1"/>
    <w:qFormat/>
    <w:uiPriority w:val="1"/>
    <w:pPr>
      <w:spacing w:line="740" w:lineRule="exact"/>
      <w:ind w:left="1001"/>
    </w:pPr>
    <w:rPr>
      <w:rFonts w:ascii="WenQuanYi Zen Hei Mono" w:hAnsi="WenQuanYi Zen Hei Mono" w:eastAsia="WenQuanYi Zen Hei Mono" w:cs="WenQuanYi Zen Hei Mono"/>
      <w:sz w:val="44"/>
      <w:szCs w:val="44"/>
      <w:lang w:val="en-US" w:eastAsia="zh-CN" w:bidi="ar-SA"/>
    </w:rPr>
  </w:style>
  <w:style w:type="table" w:customStyle="1" w:styleId="7">
    <w:name w:val="Table Normal"/>
    <w:semiHidden/>
    <w:unhideWhenUsed/>
    <w:qFormat/>
    <w:uiPriority w:val="2"/>
    <w:tblPr>
      <w:tblLayout w:type="fixed"/>
      <w:tblCellMar>
        <w:top w:w="0" w:type="dxa"/>
        <w:left w:w="0" w:type="dxa"/>
        <w:bottom w:w="0" w:type="dxa"/>
        <w:right w:w="0" w:type="dxa"/>
      </w:tblCellMar>
    </w:tblPr>
  </w:style>
  <w:style w:type="paragraph" w:styleId="8">
    <w:name w:val="List Paragraph"/>
    <w:basedOn w:val="1"/>
    <w:qFormat/>
    <w:uiPriority w:val="1"/>
    <w:pPr>
      <w:spacing w:line="604" w:lineRule="exact"/>
      <w:ind w:left="1074" w:hanging="322"/>
    </w:pPr>
    <w:rPr>
      <w:rFonts w:ascii="Noto Sans Mono CJK JP Bold" w:hAnsi="Noto Sans Mono CJK JP Bold" w:eastAsia="Noto Sans Mono CJK JP Bold" w:cs="Noto Sans Mono CJK JP Bold"/>
      <w:lang w:val="en-US" w:eastAsia="zh-CN" w:bidi="ar-SA"/>
    </w:rPr>
  </w:style>
  <w:style w:type="paragraph" w:customStyle="1" w:styleId="9">
    <w:name w:val="Table Paragraph"/>
    <w:basedOn w:val="1"/>
    <w:qFormat/>
    <w:uiPriority w:val="1"/>
    <w:rPr>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94</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2020-08-27T01:29:00Z</dcterms:created>
  <dc:creator>user</dc:creator>
  <cp:lastModifiedBy>怹。</cp:lastModifiedBy>
  <cp:lastPrinted>2020-09-10T02:05:00Z</cp:lastPrinted>
  <dcterms:modified xsi:type="dcterms:W3CDTF">2021-07-14T08:50:32Z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2020-08-12T00:00:00Z</vt:filetime>
  </property>
  <property fmtid="{D5CDD505-2E9C-101B-9397-08002B2CF9AE}" pid="3" name="Creator">
    <vt:lpwstr>Microsoft® Word 2010</vt:lpwstr>
  </property>
  <property fmtid="{D5CDD505-2E9C-101B-9397-08002B2CF9AE}" pid="4" name="LastSaved">
    <vt:filetime>2020-08-27T00:00:00Z</vt:filetime>
  </property>
  <property fmtid="{D5CDD505-2E9C-101B-9397-08002B2CF9AE}" pid="5" name="KSOProductBuildVer">
    <vt:lpwstr>2052-11.8.2.8593</vt:lpwstr>
  </property>
</Properties>
</file>