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pgBorders>
            <w:top w:val="none" w:sz="0" w:space="0"/>
            <w:left w:val="none" w:sz="0" w:space="0"/>
            <w:bottom w:val="none" w:sz="0" w:space="0"/>
            <w:right w:val="none" w:sz="0" w:space="0"/>
          </w:pgBorders>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hint="eastAsia" w:ascii="楷体" w:hAnsi="楷体" w:eastAsia="楷体" w:cs="楷体"/>
          <w:sz w:val="44"/>
          <w:szCs w:val="44"/>
          <w:lang w:eastAsia="zh-CN"/>
        </w:rPr>
      </w:pPr>
      <w:r>
        <w:rPr>
          <w:rFonts w:hint="eastAsia" w:ascii="楷体" w:hAnsi="楷体" w:eastAsia="楷体" w:cs="楷体"/>
          <w:sz w:val="44"/>
          <w:szCs w:val="44"/>
          <w:lang w:eastAsia="zh-CN"/>
        </w:rPr>
        <w:t>石家庄市藁城区畜牧工作总站</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pageBreakBefore w:val="0"/>
        <w:widowControl w:val="0"/>
        <w:numPr>
          <w:ilvl w:val="0"/>
          <w:numId w:val="1"/>
        </w:numPr>
        <w:kinsoku/>
        <w:wordWrap/>
        <w:overflowPunct/>
        <w:topLinePunct w:val="0"/>
        <w:autoSpaceDE/>
        <w:autoSpaceDN/>
        <w:bidi w:val="0"/>
        <w:adjustRightInd/>
        <w:snapToGrid/>
        <w:spacing w:before="0" w:after="0" w:line="360" w:lineRule="auto"/>
        <w:ind w:firstLine="640" w:firstLineChars="200"/>
        <w:jc w:val="left"/>
        <w:textAlignment w:val="auto"/>
      </w:pPr>
      <w:r>
        <w:rPr>
          <w:rFonts w:hint="eastAsia" w:ascii="黑体" w:eastAsia="黑体" w:cs="黑体"/>
          <w:b w:val="0"/>
          <w:bCs w:val="0"/>
          <w:kern w:val="0"/>
          <w:sz w:val="32"/>
          <w:szCs w:val="32"/>
        </w:rPr>
        <w:t>部门职责</w:t>
      </w:r>
    </w:p>
    <w:p>
      <w:pPr>
        <w:pageBreakBefore w:val="0"/>
        <w:widowControl w:val="0"/>
        <w:kinsoku/>
        <w:wordWrap/>
        <w:overflowPunct/>
        <w:topLinePunct w:val="0"/>
        <w:autoSpaceDE/>
        <w:autoSpaceDN/>
        <w:bidi w:val="0"/>
        <w:adjustRightInd/>
        <w:snapToGrid/>
        <w:spacing w:line="360" w:lineRule="auto"/>
        <w:ind w:firstLine="560"/>
        <w:textAlignment w:val="auto"/>
        <w:rPr>
          <w:rFonts w:hint="eastAsia" w:ascii="仿宋" w:hAnsi="仿宋" w:eastAsia="仿宋" w:cs="仿宋"/>
          <w:sz w:val="32"/>
          <w:szCs w:val="32"/>
        </w:rPr>
      </w:pPr>
      <w:r>
        <w:rPr>
          <w:rFonts w:hint="eastAsia" w:ascii="仿宋" w:hAnsi="仿宋" w:eastAsia="仿宋" w:cs="仿宋"/>
          <w:sz w:val="32"/>
          <w:szCs w:val="32"/>
        </w:rPr>
        <w:t>(一)</w:t>
      </w:r>
      <w:r>
        <w:rPr>
          <w:rFonts w:hint="eastAsia" w:ascii="仿宋" w:hAnsi="仿宋" w:eastAsia="仿宋" w:cs="仿宋"/>
          <w:sz w:val="32"/>
          <w:szCs w:val="32"/>
        </w:rPr>
        <w:tab/>
      </w:r>
      <w:r>
        <w:rPr>
          <w:rFonts w:hint="eastAsia" w:ascii="仿宋" w:hAnsi="仿宋" w:eastAsia="仿宋" w:cs="仿宋"/>
          <w:sz w:val="32"/>
          <w:szCs w:val="32"/>
        </w:rPr>
        <w:t>扶持畜牧业发展</w:t>
      </w:r>
      <w:r>
        <w:rPr>
          <w:rFonts w:hint="eastAsia" w:ascii="仿宋" w:hAnsi="仿宋" w:eastAsia="仿宋" w:cs="仿宋"/>
          <w:sz w:val="32"/>
          <w:szCs w:val="32"/>
        </w:rPr>
        <w:tab/>
      </w:r>
      <w:r>
        <w:rPr>
          <w:rFonts w:hint="eastAsia" w:ascii="仿宋" w:hAnsi="仿宋" w:eastAsia="仿宋" w:cs="仿宋"/>
          <w:sz w:val="32"/>
          <w:szCs w:val="32"/>
        </w:rPr>
        <w:t>对养殖场、养殖户采取补贴的办法，支持推广优良品种和先进技术，实施科学管理，提升畜牧业综合生产能力。提高畜产品产量和质量，优化产业结构，落实各项补贴，提高经济效益，增加农民收入。</w:t>
      </w:r>
    </w:p>
    <w:p>
      <w:pPr>
        <w:pageBreakBefore w:val="0"/>
        <w:widowControl w:val="0"/>
        <w:kinsoku/>
        <w:wordWrap/>
        <w:overflowPunct/>
        <w:topLinePunct w:val="0"/>
        <w:autoSpaceDE/>
        <w:autoSpaceDN/>
        <w:bidi w:val="0"/>
        <w:adjustRightInd/>
        <w:snapToGrid/>
        <w:spacing w:line="360" w:lineRule="auto"/>
        <w:ind w:firstLine="560"/>
        <w:textAlignment w:val="auto"/>
        <w:rPr>
          <w:rFonts w:hint="eastAsia" w:ascii="仿宋" w:hAnsi="仿宋" w:eastAsia="仿宋" w:cs="仿宋"/>
          <w:sz w:val="32"/>
          <w:szCs w:val="32"/>
        </w:rPr>
      </w:pPr>
      <w:r>
        <w:rPr>
          <w:rFonts w:hint="eastAsia" w:ascii="仿宋" w:hAnsi="仿宋" w:eastAsia="仿宋" w:cs="仿宋"/>
          <w:sz w:val="32"/>
          <w:szCs w:val="32"/>
        </w:rPr>
        <w:t>(二)</w:t>
      </w:r>
      <w:r>
        <w:rPr>
          <w:rFonts w:hint="eastAsia" w:ascii="仿宋" w:hAnsi="仿宋" w:eastAsia="仿宋" w:cs="仿宋"/>
          <w:sz w:val="32"/>
          <w:szCs w:val="32"/>
        </w:rPr>
        <w:tab/>
      </w:r>
      <w:r>
        <w:rPr>
          <w:rFonts w:hint="eastAsia" w:ascii="仿宋" w:hAnsi="仿宋" w:eastAsia="仿宋" w:cs="仿宋"/>
          <w:sz w:val="32"/>
          <w:szCs w:val="32"/>
        </w:rPr>
        <w:t>农业资源保护和生态建设</w:t>
      </w:r>
      <w:r>
        <w:rPr>
          <w:rFonts w:hint="eastAsia" w:ascii="仿宋" w:hAnsi="仿宋" w:eastAsia="仿宋" w:cs="仿宋"/>
          <w:sz w:val="32"/>
          <w:szCs w:val="32"/>
        </w:rPr>
        <w:tab/>
      </w:r>
      <w:r>
        <w:rPr>
          <w:rFonts w:hint="eastAsia" w:ascii="仿宋" w:hAnsi="仿宋" w:eastAsia="仿宋" w:cs="仿宋"/>
          <w:sz w:val="32"/>
          <w:szCs w:val="32"/>
        </w:rPr>
        <w:t>按照可持续发展和畜禽粪污资源化利用的要求，保护农业资源，改善和保护农村环境。实现畜牧业可持续发展。</w:t>
      </w:r>
    </w:p>
    <w:p>
      <w:pPr>
        <w:pageBreakBefore w:val="0"/>
        <w:widowControl w:val="0"/>
        <w:kinsoku/>
        <w:wordWrap/>
        <w:overflowPunct/>
        <w:topLinePunct w:val="0"/>
        <w:autoSpaceDE/>
        <w:autoSpaceDN/>
        <w:bidi w:val="0"/>
        <w:adjustRightInd/>
        <w:snapToGrid/>
        <w:spacing w:line="360" w:lineRule="auto"/>
        <w:ind w:firstLine="560"/>
        <w:textAlignment w:val="auto"/>
        <w:rPr>
          <w:rFonts w:hint="eastAsia" w:ascii="仿宋" w:hAnsi="仿宋" w:eastAsia="仿宋" w:cs="仿宋"/>
          <w:sz w:val="32"/>
          <w:szCs w:val="32"/>
        </w:rPr>
      </w:pPr>
      <w:r>
        <w:rPr>
          <w:rFonts w:hint="eastAsia" w:ascii="仿宋" w:hAnsi="仿宋" w:eastAsia="仿宋" w:cs="仿宋"/>
          <w:sz w:val="32"/>
          <w:szCs w:val="32"/>
        </w:rPr>
        <w:t>(三)</w:t>
      </w:r>
      <w:r>
        <w:rPr>
          <w:rFonts w:hint="eastAsia" w:ascii="仿宋" w:hAnsi="仿宋" w:eastAsia="仿宋" w:cs="仿宋"/>
          <w:sz w:val="32"/>
          <w:szCs w:val="32"/>
        </w:rPr>
        <w:tab/>
      </w:r>
      <w:r>
        <w:rPr>
          <w:rFonts w:hint="eastAsia" w:ascii="仿宋" w:hAnsi="仿宋" w:eastAsia="仿宋" w:cs="仿宋"/>
          <w:sz w:val="32"/>
          <w:szCs w:val="32"/>
        </w:rPr>
        <w:t>农业科技支撑和公共服务</w:t>
      </w:r>
      <w:r>
        <w:rPr>
          <w:rFonts w:hint="eastAsia" w:ascii="仿宋" w:hAnsi="仿宋" w:eastAsia="仿宋" w:cs="仿宋"/>
          <w:sz w:val="32"/>
          <w:szCs w:val="32"/>
        </w:rPr>
        <w:tab/>
      </w:r>
      <w:r>
        <w:rPr>
          <w:rFonts w:hint="eastAsia" w:ascii="仿宋" w:hAnsi="仿宋" w:eastAsia="仿宋" w:cs="仿宋"/>
          <w:sz w:val="32"/>
          <w:szCs w:val="32"/>
        </w:rPr>
        <w:t>建立健全畜牧业业科技服务和动物疫情防控体系，提高畜牧业发展水平，推动畜牧业生产向现代农业发展。</w:t>
      </w:r>
      <w:r>
        <w:rPr>
          <w:rFonts w:hint="eastAsia" w:ascii="仿宋" w:hAnsi="仿宋" w:eastAsia="仿宋" w:cs="仿宋"/>
          <w:sz w:val="32"/>
          <w:szCs w:val="32"/>
        </w:rPr>
        <w:tab/>
      </w:r>
    </w:p>
    <w:p>
      <w:pPr>
        <w:pageBreakBefore w:val="0"/>
        <w:widowControl w:val="0"/>
        <w:kinsoku/>
        <w:wordWrap/>
        <w:overflowPunct/>
        <w:topLinePunct w:val="0"/>
        <w:autoSpaceDE/>
        <w:autoSpaceDN/>
        <w:bidi w:val="0"/>
        <w:adjustRightInd/>
        <w:snapToGrid/>
        <w:spacing w:line="360" w:lineRule="auto"/>
        <w:ind w:firstLine="560"/>
        <w:textAlignment w:val="auto"/>
        <w:rPr>
          <w:rFonts w:hint="eastAsia" w:ascii="仿宋" w:hAnsi="仿宋" w:eastAsia="仿宋" w:cs="仿宋"/>
          <w:sz w:val="32"/>
          <w:szCs w:val="32"/>
        </w:rPr>
      </w:pPr>
      <w:r>
        <w:rPr>
          <w:rFonts w:hint="eastAsia" w:ascii="仿宋" w:hAnsi="仿宋" w:eastAsia="仿宋" w:cs="仿宋"/>
          <w:sz w:val="32"/>
          <w:szCs w:val="32"/>
        </w:rPr>
        <w:t>(四)</w:t>
      </w:r>
      <w:r>
        <w:rPr>
          <w:rFonts w:hint="eastAsia" w:ascii="仿宋" w:hAnsi="仿宋" w:eastAsia="仿宋" w:cs="仿宋"/>
          <w:sz w:val="32"/>
          <w:szCs w:val="32"/>
        </w:rPr>
        <w:tab/>
      </w:r>
      <w:r>
        <w:rPr>
          <w:rFonts w:hint="eastAsia" w:ascii="仿宋" w:hAnsi="仿宋" w:eastAsia="仿宋" w:cs="仿宋"/>
          <w:sz w:val="32"/>
          <w:szCs w:val="32"/>
        </w:rPr>
        <w:t>农业综合执法</w:t>
      </w:r>
      <w:r>
        <w:rPr>
          <w:rFonts w:hint="eastAsia" w:ascii="仿宋" w:hAnsi="仿宋" w:eastAsia="仿宋" w:cs="仿宋"/>
          <w:sz w:val="32"/>
          <w:szCs w:val="32"/>
        </w:rPr>
        <w:tab/>
      </w:r>
      <w:r>
        <w:rPr>
          <w:rFonts w:hint="eastAsia" w:ascii="仿宋" w:hAnsi="仿宋" w:eastAsia="仿宋" w:cs="仿宋"/>
          <w:sz w:val="32"/>
          <w:szCs w:val="32"/>
        </w:rPr>
        <w:t>指导畜牧业行政执法体系建设和法制宣传教育，搞好畜产品投入品执法监督管理，确保畜产品安全。健全执法体系，提升执法素质，提高执法效能。</w:t>
      </w:r>
    </w:p>
    <w:p>
      <w:pPr>
        <w:pageBreakBefore w:val="0"/>
        <w:widowControl w:val="0"/>
        <w:kinsoku/>
        <w:wordWrap/>
        <w:overflowPunct/>
        <w:topLinePunct w:val="0"/>
        <w:autoSpaceDE/>
        <w:autoSpaceDN/>
        <w:bidi w:val="0"/>
        <w:adjustRightInd/>
        <w:snapToGrid/>
        <w:spacing w:line="360" w:lineRule="auto"/>
        <w:ind w:firstLine="560"/>
        <w:textAlignment w:val="auto"/>
        <w:rPr>
          <w:rFonts w:hint="eastAsia" w:ascii="仿宋" w:hAnsi="仿宋" w:eastAsia="仿宋" w:cs="仿宋"/>
          <w:sz w:val="32"/>
          <w:szCs w:val="32"/>
          <w:lang w:eastAsia="zh-CN"/>
        </w:rPr>
      </w:pPr>
      <w:r>
        <w:rPr>
          <w:rFonts w:hint="eastAsia" w:ascii="仿宋" w:hAnsi="仿宋" w:eastAsia="仿宋" w:cs="仿宋"/>
          <w:sz w:val="32"/>
          <w:szCs w:val="32"/>
        </w:rPr>
        <w:t>(五)</w:t>
      </w:r>
      <w:r>
        <w:rPr>
          <w:rFonts w:hint="eastAsia" w:ascii="仿宋" w:hAnsi="仿宋" w:eastAsia="仿宋" w:cs="仿宋"/>
          <w:sz w:val="32"/>
          <w:szCs w:val="32"/>
        </w:rPr>
        <w:tab/>
      </w:r>
      <w:r>
        <w:rPr>
          <w:rFonts w:hint="eastAsia" w:ascii="仿宋" w:hAnsi="仿宋" w:eastAsia="仿宋" w:cs="仿宋"/>
          <w:sz w:val="32"/>
          <w:szCs w:val="32"/>
        </w:rPr>
        <w:t>畜牧业政务管理</w:t>
      </w:r>
      <w:r>
        <w:rPr>
          <w:rFonts w:hint="eastAsia" w:ascii="仿宋" w:hAnsi="仿宋" w:eastAsia="仿宋" w:cs="仿宋"/>
          <w:sz w:val="32"/>
          <w:szCs w:val="32"/>
        </w:rPr>
        <w:tab/>
      </w:r>
      <w:r>
        <w:rPr>
          <w:rFonts w:hint="eastAsia" w:ascii="仿宋" w:hAnsi="仿宋" w:eastAsia="仿宋" w:cs="仿宋"/>
          <w:sz w:val="32"/>
          <w:szCs w:val="32"/>
        </w:rPr>
        <w:t>开展畜牧政策宣传，推动各项政策落实。保障畜牧业信息网络和各项政党工作的开展，履行机关日常管理工作。保障各项工作的正常</w:t>
      </w:r>
      <w:r>
        <w:rPr>
          <w:rFonts w:hint="eastAsia" w:ascii="仿宋" w:hAnsi="仿宋" w:eastAsia="仿宋" w:cs="仿宋"/>
          <w:sz w:val="32"/>
          <w:szCs w:val="32"/>
          <w:lang w:eastAsia="zh-CN"/>
        </w:rPr>
        <w:t>。</w:t>
      </w:r>
    </w:p>
    <w:p>
      <w:pPr>
        <w:keepNext/>
        <w:keepLines/>
        <w:pageBreakBefore w:val="0"/>
        <w:widowControl w:val="0"/>
        <w:kinsoku/>
        <w:wordWrap/>
        <w:overflowPunct/>
        <w:topLinePunct w:val="0"/>
        <w:autoSpaceDE/>
        <w:autoSpaceDN/>
        <w:bidi w:val="0"/>
        <w:adjustRightInd/>
        <w:snapToGrid/>
        <w:spacing w:line="360" w:lineRule="auto"/>
        <w:ind w:firstLine="640" w:firstLineChars="200"/>
        <w:jc w:val="left"/>
        <w:textAlignment w:val="auto"/>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pageBreakBefore w:val="0"/>
        <w:widowControl w:val="0"/>
        <w:kinsoku/>
        <w:wordWrap/>
        <w:overflowPunct/>
        <w:topLinePunct w:val="0"/>
        <w:autoSpaceDE/>
        <w:autoSpaceDN/>
        <w:bidi w:val="0"/>
        <w:adjustRightInd/>
        <w:snapToGrid/>
        <w:spacing w:line="360" w:lineRule="auto"/>
        <w:ind w:firstLine="640" w:firstLineChars="200"/>
        <w:textAlignment w:val="auto"/>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71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5"/>
        <w:gridCol w:w="3605"/>
        <w:gridCol w:w="2550"/>
        <w:gridCol w:w="2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755" w:type="dxa"/>
            <w:tcBorders>
              <w:tl2br w:val="nil"/>
              <w:tr2bl w:val="nil"/>
            </w:tcBorders>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605" w:type="dxa"/>
            <w:tcBorders>
              <w:tl2br w:val="nil"/>
              <w:tr2bl w:val="nil"/>
            </w:tcBorders>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50" w:type="dxa"/>
            <w:tcBorders>
              <w:tl2br w:val="nil"/>
              <w:tr2bl w:val="nil"/>
            </w:tcBorders>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800" w:type="dxa"/>
            <w:tcBorders>
              <w:tl2br w:val="nil"/>
              <w:tr2bl w:val="nil"/>
            </w:tcBorders>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755" w:type="dxa"/>
            <w:tcBorders>
              <w:tl2br w:val="nil"/>
              <w:tr2bl w:val="nil"/>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605" w:type="dxa"/>
            <w:tcBorders>
              <w:tl2br w:val="nil"/>
              <w:tr2bl w:val="nil"/>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藁城区畜牧工作总站</w:t>
            </w:r>
            <w:r>
              <w:rPr>
                <w:rFonts w:hint="eastAsia" w:ascii="仿宋_GB2312" w:hAnsi="Calibri" w:eastAsia="仿宋_GB2312" w:cs="ArialUnicodeMS"/>
                <w:kern w:val="0"/>
                <w:sz w:val="28"/>
                <w:szCs w:val="28"/>
              </w:rPr>
              <w:t>(本级)</w:t>
            </w:r>
          </w:p>
        </w:tc>
        <w:tc>
          <w:tcPr>
            <w:tcW w:w="2550" w:type="dxa"/>
            <w:tcBorders>
              <w:tl2br w:val="nil"/>
              <w:tr2bl w:val="nil"/>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财政补助事业单位</w:t>
            </w:r>
          </w:p>
        </w:tc>
        <w:tc>
          <w:tcPr>
            <w:tcW w:w="2800" w:type="dxa"/>
            <w:tcBorders>
              <w:tl2br w:val="nil"/>
              <w:tr2bl w:val="nil"/>
            </w:tcBorders>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财政性资金基本保证</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Borders>
            <w:top w:val="none" w:sz="0" w:space="0"/>
            <w:left w:val="none" w:sz="0" w:space="0"/>
            <w:bottom w:val="none" w:sz="0" w:space="0"/>
            <w:right w:val="none" w:sz="0" w:space="0"/>
          </w:pgBorders>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5588.22</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540.7万元</w:t>
      </w:r>
      <w:r>
        <w:rPr>
          <w:rFonts w:hint="eastAsia" w:ascii="仿宋_GB2312" w:hAnsi="Times New Roman" w:eastAsia="仿宋_GB2312" w:cs="DengXian-Regular"/>
          <w:sz w:val="32"/>
          <w:szCs w:val="32"/>
        </w:rPr>
        <w:t>，增长</w:t>
      </w:r>
      <w:r>
        <w:rPr>
          <w:rFonts w:hint="eastAsia" w:ascii="仿宋_GB2312" w:hAnsi="Times New Roman" w:eastAsia="仿宋_GB2312" w:cs="DengXian-Regular"/>
          <w:sz w:val="32"/>
          <w:szCs w:val="32"/>
          <w:lang w:val="en-US" w:eastAsia="zh-CN"/>
        </w:rPr>
        <w:t>10.71</w:t>
      </w:r>
      <w:r>
        <w:rPr>
          <w:rFonts w:hint="eastAsia" w:ascii="仿宋_GB2312" w:hAnsi="Times New Roman" w:eastAsia="仿宋_GB2312" w:cs="DengXian-Regular"/>
          <w:sz w:val="32"/>
          <w:szCs w:val="32"/>
        </w:rPr>
        <w:t>%，主要原因是</w:t>
      </w:r>
      <w:r>
        <w:rPr>
          <w:rFonts w:hint="eastAsia" w:ascii="仿宋_GB2312" w:hAnsi="仿宋" w:eastAsia="仿宋_GB2312"/>
          <w:sz w:val="32"/>
          <w:szCs w:val="32"/>
          <w:lang w:val="en-US" w:eastAsia="zh-CN"/>
        </w:rPr>
        <w:t>新招聘人员10名、增加了</w:t>
      </w:r>
      <w:r>
        <w:rPr>
          <w:rFonts w:hint="eastAsia" w:ascii="仿宋" w:hAnsi="仿宋" w:eastAsia="仿宋" w:cs="仿宋"/>
          <w:sz w:val="32"/>
          <w:szCs w:val="32"/>
          <w:lang w:val="en-US" w:eastAsia="zh-CN"/>
        </w:rPr>
        <w:t>畜禽粪污资源化利用项目</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4506.35</w:t>
      </w:r>
      <w:r>
        <w:rPr>
          <w:rFonts w:hint="eastAsia" w:ascii="仿宋_GB2312" w:hAnsi="Times New Roman" w:eastAsia="仿宋_GB2312" w:cs="DengXian-Regular"/>
          <w:sz w:val="32"/>
          <w:szCs w:val="32"/>
        </w:rPr>
        <w:t>万元，其中：财政拨款收入</w:t>
      </w:r>
      <w:r>
        <w:rPr>
          <w:rFonts w:hint="eastAsia" w:ascii="仿宋_GB2312" w:hAnsi="仿宋" w:eastAsia="仿宋_GB2312"/>
          <w:sz w:val="32"/>
          <w:szCs w:val="32"/>
          <w:lang w:val="en-US" w:eastAsia="zh-CN"/>
        </w:rPr>
        <w:t>4506.35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仿宋" w:eastAsia="仿宋_GB2312"/>
          <w:sz w:val="32"/>
          <w:szCs w:val="32"/>
          <w:lang w:val="en-US" w:eastAsia="zh-CN"/>
        </w:rPr>
        <w:t>3400.72</w:t>
      </w:r>
      <w:r>
        <w:rPr>
          <w:rFonts w:hint="eastAsia" w:ascii="仿宋_GB2312" w:hAnsi="Times New Roman" w:eastAsia="仿宋_GB2312" w:cs="DengXian-Regular"/>
          <w:sz w:val="32"/>
          <w:szCs w:val="32"/>
        </w:rPr>
        <w:t>万元，其中：基本支出</w:t>
      </w:r>
      <w:r>
        <w:rPr>
          <w:rFonts w:hint="eastAsia" w:ascii="仿宋_GB2312" w:hAnsi="仿宋" w:eastAsia="仿宋_GB2312"/>
          <w:sz w:val="32"/>
          <w:szCs w:val="32"/>
          <w:lang w:val="en-US" w:eastAsia="zh-CN"/>
        </w:rPr>
        <w:t>361.47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10.63</w:t>
      </w:r>
      <w:r>
        <w:rPr>
          <w:rFonts w:hint="eastAsia" w:ascii="仿宋_GB2312" w:hAnsi="Times New Roman" w:eastAsia="仿宋_GB2312" w:cs="DengXian-Regular"/>
          <w:sz w:val="32"/>
          <w:szCs w:val="32"/>
        </w:rPr>
        <w:t>%；项目支出</w:t>
      </w:r>
      <w:r>
        <w:rPr>
          <w:rFonts w:hint="eastAsia" w:ascii="仿宋_GB2312" w:hAnsi="仿宋" w:eastAsia="仿宋_GB2312"/>
          <w:sz w:val="32"/>
          <w:szCs w:val="32"/>
          <w:lang w:val="en-US" w:eastAsia="zh-CN"/>
        </w:rPr>
        <w:t>3039.25</w:t>
      </w:r>
      <w:r>
        <w:rPr>
          <w:rFonts w:hint="eastAsia" w:ascii="仿宋_GB2312" w:hAnsi="Times New Roman" w:eastAsia="仿宋_GB2312" w:cs="DengXian-Regular"/>
          <w:sz w:val="32"/>
          <w:szCs w:val="32"/>
        </w:rPr>
        <w:t>万元，占</w:t>
      </w:r>
      <w:r>
        <w:rPr>
          <w:rFonts w:hint="eastAsia" w:ascii="仿宋_GB2312" w:hAnsi="仿宋" w:eastAsia="仿宋_GB2312"/>
          <w:sz w:val="32"/>
          <w:szCs w:val="32"/>
          <w:lang w:val="en-US" w:eastAsia="zh-CN"/>
        </w:rPr>
        <w:t>89.37</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rPr>
          <w:rFonts w:hint="eastAsia" w:ascii="仿宋_GB2312" w:hAnsi="Times New Roman" w:eastAsia="仿宋_GB2312" w:cs="DengXian-Regular"/>
          <w:sz w:val="32"/>
          <w:szCs w:val="32"/>
        </w:rPr>
      </w:pPr>
    </w:p>
    <w:p>
      <w:pPr>
        <w:keepNext/>
        <w:keepLines/>
        <w:snapToGrid w:val="0"/>
        <w:spacing w:line="580" w:lineRule="exact"/>
        <w:ind w:firstLine="420" w:firstLineChars="200"/>
        <w:outlineLvl w:val="1"/>
      </w:pPr>
    </w:p>
    <w:p>
      <w:pPr>
        <w:keepNext/>
        <w:keepLines/>
        <w:snapToGrid w:val="0"/>
        <w:spacing w:line="240" w:lineRule="auto"/>
        <w:ind w:firstLine="420" w:firstLineChars="200"/>
        <w:outlineLvl w:val="1"/>
        <w:rPr>
          <w:rFonts w:hint="eastAsia"/>
          <w:color w:val="auto"/>
          <w14:textFill>
            <w14:noFill/>
          </w14:textFill>
        </w:rPr>
      </w:pPr>
      <w:r>
        <w:rPr>
          <w:rFonts w:hint="eastAsia" w:eastAsiaTheme="minorEastAsia"/>
          <w:lang w:eastAsia="zh-CN"/>
        </w:rPr>
        <w:drawing>
          <wp:inline distT="0" distB="0" distL="114300" distR="114300">
            <wp:extent cx="4936490" cy="3709670"/>
            <wp:effectExtent l="0" t="0" r="16510" b="5080"/>
            <wp:docPr id="31" name="图片 31"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图片1"/>
                    <pic:cNvPicPr>
                      <a:picLocks noChangeAspect="1"/>
                    </pic:cNvPicPr>
                  </pic:nvPicPr>
                  <pic:blipFill>
                    <a:blip r:embed="rId29"/>
                    <a:srcRect l="4792" t="5684" r="4437" b="3315"/>
                    <a:stretch>
                      <a:fillRect/>
                    </a:stretch>
                  </pic:blipFill>
                  <pic:spPr>
                    <a:xfrm>
                      <a:off x="0" y="0"/>
                      <a:ext cx="4936490" cy="3709670"/>
                    </a:xfrm>
                    <a:prstGeom prst="rect">
                      <a:avLst/>
                    </a:prstGeom>
                    <a:ln>
                      <a:noFill/>
                    </a:ln>
                  </pic:spPr>
                </pic:pic>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snapToGrid w:val="0"/>
        <w:spacing w:line="520" w:lineRule="exact"/>
        <w:ind w:firstLine="640" w:firstLineChars="200"/>
        <w:rPr>
          <w:rFonts w:hint="eastAsia" w:ascii="仿宋_GB2312" w:hAnsi="仿宋" w:eastAsia="仿宋_GB2312" w:cs="仿宋"/>
          <w:color w:val="000000"/>
          <w:sz w:val="32"/>
          <w:szCs w:val="32"/>
          <w:lang w:val="en-US" w:eastAsia="zh-CN"/>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仿宋" w:eastAsia="仿宋_GB2312"/>
          <w:sz w:val="32"/>
          <w:szCs w:val="32"/>
          <w:lang w:val="en-US" w:eastAsia="zh-CN"/>
        </w:rPr>
        <w:t>4506.35</w:t>
      </w:r>
      <w:r>
        <w:rPr>
          <w:rFonts w:hint="eastAsia" w:ascii="仿宋_GB2312" w:hAnsi="Times New Roman" w:eastAsia="仿宋_GB2312" w:cs="DengXian-Regular"/>
          <w:sz w:val="32"/>
          <w:szCs w:val="32"/>
        </w:rPr>
        <w:t>万元,比2018年度减少</w:t>
      </w:r>
      <w:r>
        <w:rPr>
          <w:rFonts w:hint="eastAsia" w:ascii="仿宋_GB2312" w:hAnsi="仿宋" w:eastAsia="仿宋_GB2312"/>
          <w:sz w:val="32"/>
          <w:szCs w:val="32"/>
          <w:lang w:val="en-US" w:eastAsia="zh-CN"/>
        </w:rPr>
        <w:t>276.81</w:t>
      </w:r>
      <w:r>
        <w:rPr>
          <w:rFonts w:hint="eastAsia" w:ascii="仿宋_GB2312" w:hAnsi="Times New Roman" w:eastAsia="仿宋_GB2312" w:cs="DengXian-Regular"/>
          <w:sz w:val="32"/>
          <w:szCs w:val="32"/>
        </w:rPr>
        <w:t>万元，降低</w:t>
      </w:r>
      <w:r>
        <w:rPr>
          <w:rFonts w:hint="eastAsia" w:ascii="仿宋_GB2312" w:hAnsi="仿宋" w:eastAsia="仿宋_GB2312"/>
          <w:sz w:val="32"/>
          <w:szCs w:val="32"/>
          <w:lang w:val="en-US" w:eastAsia="zh-CN"/>
        </w:rPr>
        <w:t>5.79</w:t>
      </w:r>
      <w:r>
        <w:rPr>
          <w:rFonts w:hint="eastAsia" w:ascii="仿宋_GB2312" w:hAnsi="Times New Roman" w:eastAsia="仿宋_GB2312" w:cs="DengXian-Regular"/>
          <w:sz w:val="32"/>
          <w:szCs w:val="32"/>
        </w:rPr>
        <w:t>%（如图），主要是</w:t>
      </w:r>
      <w:r>
        <w:rPr>
          <w:rFonts w:hint="eastAsia" w:ascii="仿宋_GB2312" w:hAnsi="Times New Roman" w:eastAsia="仿宋_GB2312" w:cs="DengXian-Regular"/>
          <w:sz w:val="32"/>
          <w:szCs w:val="32"/>
          <w:lang w:eastAsia="zh-CN"/>
        </w:rPr>
        <w:t>粮改饲等项目资金减少</w:t>
      </w:r>
      <w:r>
        <w:rPr>
          <w:rFonts w:hint="eastAsia" w:ascii="仿宋_GB2312" w:hAnsi="Times New Roman" w:eastAsia="仿宋_GB2312" w:cs="DengXian-Regular"/>
          <w:sz w:val="32"/>
          <w:szCs w:val="32"/>
        </w:rPr>
        <w:t>；本年支出</w:t>
      </w:r>
      <w:r>
        <w:rPr>
          <w:rFonts w:hint="eastAsia" w:ascii="仿宋_GB2312" w:hAnsi="仿宋" w:eastAsia="仿宋_GB2312"/>
          <w:sz w:val="32"/>
          <w:szCs w:val="32"/>
          <w:lang w:val="en-US" w:eastAsia="zh-CN"/>
        </w:rPr>
        <w:t>3400.72</w:t>
      </w:r>
      <w:r>
        <w:rPr>
          <w:rFonts w:hint="eastAsia" w:ascii="仿宋_GB2312" w:hAnsi="Times New Roman" w:eastAsia="仿宋_GB2312" w:cs="DengXian-Regular"/>
          <w:sz w:val="32"/>
          <w:szCs w:val="32"/>
        </w:rPr>
        <w:t>万元，增加</w:t>
      </w:r>
      <w:r>
        <w:rPr>
          <w:rFonts w:hint="eastAsia" w:ascii="仿宋_GB2312" w:hAnsi="仿宋" w:eastAsia="仿宋_GB2312" w:cs="仿宋"/>
          <w:color w:val="000000"/>
          <w:sz w:val="32"/>
          <w:szCs w:val="32"/>
          <w:lang w:eastAsia="zh-CN"/>
        </w:rPr>
        <w:t>723</w:t>
      </w:r>
      <w:r>
        <w:rPr>
          <w:rFonts w:hint="eastAsia" w:ascii="仿宋_GB2312" w:hAnsi="仿宋" w:eastAsia="仿宋_GB2312" w:cs="仿宋"/>
          <w:color w:val="000000"/>
          <w:sz w:val="32"/>
          <w:szCs w:val="32"/>
          <w:lang w:val="en-US" w:eastAsia="zh-CN"/>
        </w:rPr>
        <w:t>.</w:t>
      </w:r>
      <w:r>
        <w:rPr>
          <w:rFonts w:hint="eastAsia" w:ascii="仿宋_GB2312" w:hAnsi="仿宋" w:eastAsia="仿宋_GB2312" w:cs="仿宋"/>
          <w:color w:val="000000"/>
          <w:sz w:val="32"/>
          <w:szCs w:val="32"/>
          <w:lang w:eastAsia="zh-CN"/>
        </w:rPr>
        <w:t>72923</w:t>
      </w:r>
      <w:r>
        <w:rPr>
          <w:rFonts w:hint="eastAsia" w:ascii="仿宋_GB2312" w:hAnsi="Times New Roman" w:eastAsia="仿宋_GB2312" w:cs="DengXian-Regular"/>
          <w:sz w:val="32"/>
          <w:szCs w:val="32"/>
        </w:rPr>
        <w:t>万元，增长</w:t>
      </w:r>
      <w:r>
        <w:rPr>
          <w:rFonts w:hint="eastAsia" w:ascii="仿宋_GB2312" w:hAnsi="仿宋" w:eastAsia="仿宋_GB2312" w:cs="仿宋"/>
          <w:color w:val="000000"/>
          <w:sz w:val="32"/>
          <w:szCs w:val="32"/>
          <w:lang w:val="en-US" w:eastAsia="zh-CN"/>
        </w:rPr>
        <w:t>27.04%</w:t>
      </w:r>
      <w:r>
        <w:rPr>
          <w:rFonts w:hint="eastAsia" w:ascii="仿宋_GB2312" w:hAnsi="Times New Roman" w:eastAsia="仿宋_GB2312" w:cs="DengXian-Regular"/>
          <w:sz w:val="32"/>
          <w:szCs w:val="32"/>
        </w:rPr>
        <w:t>%，主要是</w:t>
      </w:r>
      <w:r>
        <w:rPr>
          <w:rFonts w:hint="eastAsia" w:ascii="仿宋_GB2312" w:hAnsi="仿宋" w:eastAsia="仿宋_GB2312" w:cs="仿宋"/>
          <w:color w:val="000000"/>
          <w:sz w:val="32"/>
          <w:szCs w:val="32"/>
          <w:lang w:eastAsia="zh-CN"/>
        </w:rPr>
        <w:t>本年增加人员</w:t>
      </w:r>
      <w:r>
        <w:rPr>
          <w:rFonts w:hint="eastAsia" w:ascii="仿宋_GB2312" w:hAnsi="仿宋" w:eastAsia="仿宋_GB2312" w:cs="仿宋"/>
          <w:color w:val="000000"/>
          <w:sz w:val="32"/>
          <w:szCs w:val="32"/>
          <w:lang w:val="en-US" w:eastAsia="zh-CN"/>
        </w:rPr>
        <w:t>10名，上年项目结转资金在本年支出。</w:t>
      </w:r>
    </w:p>
    <w:p>
      <w:pPr>
        <w:snapToGrid w:val="0"/>
        <w:spacing w:line="520" w:lineRule="exact"/>
        <w:ind w:firstLine="640" w:firstLineChars="200"/>
        <w:rPr>
          <w:rFonts w:hint="eastAsia" w:ascii="仿宋_GB2312" w:hAnsi="仿宋" w:eastAsia="仿宋_GB2312" w:cs="仿宋"/>
          <w:color w:val="000000"/>
          <w:sz w:val="32"/>
          <w:szCs w:val="32"/>
          <w:lang w:val="en-US" w:eastAsia="zh-CN"/>
        </w:rPr>
      </w:pPr>
    </w:p>
    <w:p>
      <w:pPr>
        <w:snapToGrid w:val="0"/>
        <w:spacing w:line="520" w:lineRule="exact"/>
        <w:ind w:firstLine="640" w:firstLineChars="200"/>
        <w:rPr>
          <w:rFonts w:hint="eastAsia" w:ascii="仿宋_GB2312" w:hAnsi="仿宋" w:eastAsia="仿宋_GB2312" w:cs="仿宋"/>
          <w:color w:val="000000"/>
          <w:sz w:val="32"/>
          <w:szCs w:val="32"/>
          <w:lang w:val="en-US" w:eastAsia="zh-CN"/>
        </w:rPr>
      </w:pPr>
    </w:p>
    <w:p>
      <w:pPr>
        <w:snapToGrid w:val="0"/>
        <w:spacing w:line="520" w:lineRule="exact"/>
        <w:ind w:firstLine="640" w:firstLineChars="200"/>
        <w:rPr>
          <w:rFonts w:hint="eastAsia" w:ascii="仿宋_GB2312" w:hAnsi="仿宋" w:eastAsia="仿宋_GB2312" w:cs="仿宋"/>
          <w:color w:val="000000"/>
          <w:sz w:val="32"/>
          <w:szCs w:val="32"/>
          <w:lang w:val="en-US" w:eastAsia="zh-CN"/>
        </w:rPr>
      </w:pPr>
    </w:p>
    <w:p>
      <w:pPr>
        <w:snapToGrid w:val="0"/>
        <w:spacing w:line="520" w:lineRule="exact"/>
        <w:ind w:firstLine="420" w:firstLineChars="200"/>
        <w:rPr>
          <w:rFonts w:hint="eastAsia" w:ascii="仿宋_GB2312" w:hAnsi="仿宋" w:eastAsia="仿宋_GB2312" w:cs="仿宋"/>
          <w:color w:val="000000"/>
          <w:sz w:val="32"/>
          <w:szCs w:val="32"/>
          <w:lang w:val="en-US" w:eastAsia="zh-CN"/>
        </w:rPr>
      </w:pPr>
      <w:r>
        <w:drawing>
          <wp:anchor distT="0" distB="0" distL="114300" distR="114300" simplePos="0" relativeHeight="437282816" behindDoc="0" locked="0" layoutInCell="1" allowOverlap="1">
            <wp:simplePos x="0" y="0"/>
            <wp:positionH relativeFrom="column">
              <wp:posOffset>280670</wp:posOffset>
            </wp:positionH>
            <wp:positionV relativeFrom="paragraph">
              <wp:posOffset>-165735</wp:posOffset>
            </wp:positionV>
            <wp:extent cx="5010785" cy="3075940"/>
            <wp:effectExtent l="4445" t="4445" r="13970" b="5715"/>
            <wp:wrapSquare wrapText="bothSides"/>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keepNext w:val="0"/>
        <w:keepLines w:val="0"/>
        <w:pageBreakBefore w:val="0"/>
        <w:widowControl w:val="0"/>
        <w:numPr>
          <w:ilvl w:val="0"/>
          <w:numId w:val="0"/>
        </w:numPr>
        <w:kinsoku/>
        <w:wordWrap/>
        <w:overflowPunct/>
        <w:topLinePunct w:val="0"/>
        <w:autoSpaceDE/>
        <w:autoSpaceDN/>
        <w:bidi w:val="0"/>
        <w:adjustRightInd/>
        <w:spacing w:before="0" w:beforeLines="0" w:after="0" w:afterLines="0" w:line="360" w:lineRule="auto"/>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Times New Roman" w:eastAsia="仿宋_GB2312" w:cs="DengXian-Regular"/>
          <w:sz w:val="32"/>
          <w:szCs w:val="32"/>
        </w:rPr>
        <w:t>本部门2019年度一般公共预算财政拨款收入</w:t>
      </w:r>
      <w:r>
        <w:rPr>
          <w:rFonts w:hint="eastAsia" w:ascii="仿宋_GB2312" w:hAnsi="仿宋" w:eastAsia="仿宋_GB2312"/>
          <w:sz w:val="32"/>
          <w:szCs w:val="32"/>
          <w:lang w:val="en-US" w:eastAsia="zh-CN"/>
        </w:rPr>
        <w:t>4506.35</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211.81</w:t>
      </w:r>
      <w:r>
        <w:rPr>
          <w:rFonts w:hint="eastAsia" w:ascii="仿宋_GB2312" w:hAnsi="Times New Roman" w:eastAsia="仿宋_GB2312" w:cs="DengXian-Regular"/>
          <w:sz w:val="32"/>
          <w:szCs w:val="32"/>
        </w:rPr>
        <w:t>%（如图）,比年初预算增加</w:t>
      </w:r>
      <w:r>
        <w:rPr>
          <w:rFonts w:hint="eastAsia" w:ascii="仿宋_GB2312" w:hAnsi="仿宋_GB2312" w:eastAsia="仿宋_GB2312" w:cs="仿宋_GB2312"/>
          <w:sz w:val="32"/>
          <w:szCs w:val="32"/>
          <w:lang w:val="en-US" w:eastAsia="zh-CN"/>
        </w:rPr>
        <w:t>2378.81</w:t>
      </w:r>
      <w:r>
        <w:rPr>
          <w:rFonts w:hint="eastAsia" w:ascii="仿宋_GB2312" w:hAnsi="Times New Roman" w:eastAsia="仿宋_GB2312" w:cs="DengXian-Regular"/>
          <w:sz w:val="32"/>
          <w:szCs w:val="32"/>
        </w:rPr>
        <w:t>万元，决算数大于预算数主要原因是</w:t>
      </w:r>
      <w:r>
        <w:rPr>
          <w:rFonts w:hint="eastAsia" w:ascii="仿宋_GB2312" w:hAnsi="仿宋_GB2312" w:eastAsia="仿宋_GB2312" w:cs="仿宋_GB2312"/>
          <w:sz w:val="32"/>
          <w:szCs w:val="32"/>
          <w:lang w:val="en-US" w:eastAsia="zh-CN"/>
        </w:rPr>
        <w:t>人员增加10人，</w:t>
      </w:r>
      <w:r>
        <w:rPr>
          <w:rFonts w:hint="eastAsia" w:ascii="仿宋" w:hAnsi="仿宋" w:eastAsia="仿宋" w:cs="仿宋"/>
          <w:sz w:val="32"/>
          <w:szCs w:val="32"/>
          <w:lang w:val="en-US" w:eastAsia="zh-CN"/>
        </w:rPr>
        <w:t>增加了石财建（2019）31号、51号生猪调出大县奖励资金450万元、、石财农（2019）57号、111号畜禽粪污资源化利用1593万元等项目</w:t>
      </w:r>
      <w:r>
        <w:rPr>
          <w:rFonts w:hint="eastAsia" w:ascii="仿宋_GB2312" w:hAnsi="Times New Roman" w:eastAsia="仿宋_GB2312" w:cs="DengXian-Regular"/>
          <w:sz w:val="32"/>
          <w:szCs w:val="32"/>
        </w:rPr>
        <w:t>；本年支出</w:t>
      </w:r>
      <w:r>
        <w:rPr>
          <w:rFonts w:hint="eastAsia" w:ascii="仿宋_GB2312" w:hAnsi="仿宋" w:eastAsia="仿宋_GB2312"/>
          <w:sz w:val="32"/>
          <w:szCs w:val="32"/>
          <w:lang w:val="en-US" w:eastAsia="zh-CN"/>
        </w:rPr>
        <w:t>3400.72</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159.84</w:t>
      </w:r>
      <w:r>
        <w:rPr>
          <w:rFonts w:hint="eastAsia" w:ascii="仿宋_GB2312" w:hAnsi="Times New Roman" w:eastAsia="仿宋_GB2312" w:cs="DengXian-Regular"/>
          <w:sz w:val="32"/>
          <w:szCs w:val="32"/>
        </w:rPr>
        <w:t>%,比年初预算增加</w:t>
      </w:r>
      <w:r>
        <w:rPr>
          <w:rFonts w:hint="eastAsia" w:ascii="仿宋_GB2312" w:hAnsi="仿宋_GB2312" w:eastAsia="仿宋_GB2312" w:cs="仿宋_GB2312"/>
          <w:sz w:val="32"/>
          <w:szCs w:val="32"/>
          <w:lang w:val="en-US" w:eastAsia="zh-CN"/>
        </w:rPr>
        <w:t>1273.18</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eastAsia="zh-CN"/>
        </w:rPr>
        <w:t>新招聘</w:t>
      </w:r>
      <w:r>
        <w:rPr>
          <w:rFonts w:hint="eastAsia" w:ascii="仿宋_GB2312" w:hAnsi="仿宋_GB2312" w:eastAsia="仿宋_GB2312" w:cs="仿宋_GB2312"/>
          <w:sz w:val="32"/>
          <w:szCs w:val="32"/>
          <w:lang w:val="en-US" w:eastAsia="zh-CN"/>
        </w:rPr>
        <w:t>人员10人，</w:t>
      </w:r>
      <w:r>
        <w:rPr>
          <w:rFonts w:hint="eastAsia" w:ascii="仿宋" w:hAnsi="仿宋" w:eastAsia="仿宋" w:cs="仿宋"/>
          <w:sz w:val="32"/>
          <w:szCs w:val="32"/>
          <w:lang w:val="en-US" w:eastAsia="zh-CN"/>
        </w:rPr>
        <w:t>增加了石财建（2019）31号、51号生猪调出大县奖励资金450万元、、石财农（2019）57号、111号畜禽粪污资源化利用1593万元等项目</w:t>
      </w:r>
      <w:r>
        <w:rPr>
          <w:rFonts w:hint="eastAsia" w:ascii="仿宋_GB2312" w:hAnsi="Times New Roman" w:eastAsia="仿宋_GB2312" w:cs="DengXian-Regular"/>
          <w:sz w:val="32"/>
          <w:szCs w:val="32"/>
          <w:lang w:eastAsia="zh-CN"/>
        </w:rPr>
        <w:t>、</w:t>
      </w:r>
      <w:r>
        <w:rPr>
          <w:rFonts w:hint="eastAsia" w:ascii="仿宋_GB2312" w:hAnsi="仿宋_GB2312" w:eastAsia="仿宋_GB2312" w:cs="仿宋_GB2312"/>
          <w:sz w:val="32"/>
          <w:szCs w:val="32"/>
          <w:lang w:val="en-US" w:eastAsia="zh-CN"/>
        </w:rPr>
        <w:t>有上年项目结转资金。</w:t>
      </w:r>
    </w:p>
    <w:p>
      <w:pPr>
        <w:keepNext w:val="0"/>
        <w:keepLines w:val="0"/>
        <w:pageBreakBefore w:val="0"/>
        <w:widowControl w:val="0"/>
        <w:numPr>
          <w:ilvl w:val="0"/>
          <w:numId w:val="0"/>
        </w:numPr>
        <w:kinsoku/>
        <w:wordWrap/>
        <w:overflowPunct/>
        <w:topLinePunct w:val="0"/>
        <w:autoSpaceDE/>
        <w:autoSpaceDN/>
        <w:bidi w:val="0"/>
        <w:adjustRightInd/>
        <w:spacing w:before="0" w:beforeLines="0" w:after="0" w:afterLines="0" w:line="360" w:lineRule="auto"/>
        <w:ind w:left="0" w:leftChars="0" w:right="0" w:rightChars="0" w:firstLine="420" w:firstLineChars="200"/>
        <w:jc w:val="both"/>
        <w:textAlignment w:val="auto"/>
        <w:outlineLvl w:val="9"/>
        <w:rPr>
          <w:rFonts w:hint="eastAsia" w:ascii="仿宋_GB2312" w:hAnsi="仿宋_GB2312" w:eastAsia="仿宋_GB2312" w:cs="仿宋_GB2312"/>
          <w:sz w:val="32"/>
          <w:szCs w:val="32"/>
          <w:lang w:val="en-US" w:eastAsia="zh-CN"/>
        </w:rPr>
      </w:pPr>
      <w:r>
        <w:drawing>
          <wp:inline distT="0" distB="0" distL="114300" distR="114300">
            <wp:extent cx="4572000" cy="2743200"/>
            <wp:effectExtent l="4445" t="4445" r="14605" b="14605"/>
            <wp:docPr id="28"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3400.72</w:t>
      </w:r>
      <w:r>
        <w:rPr>
          <w:rFonts w:hint="eastAsia" w:ascii="仿宋_GB2312" w:hAnsi="Times New Roman" w:eastAsia="仿宋_GB2312" w:cs="DengXian-Regular"/>
          <w:sz w:val="32"/>
          <w:szCs w:val="32"/>
        </w:rPr>
        <w:t>万元，主要用于</w:t>
      </w:r>
      <w:r>
        <w:rPr>
          <w:rFonts w:hint="eastAsia" w:ascii="仿宋_GB2312" w:hAnsi="Times New Roman" w:eastAsia="仿宋_GB2312" w:cs="DengXian-Regular"/>
          <w:sz w:val="32"/>
          <w:szCs w:val="32"/>
          <w:lang w:eastAsia="zh-CN"/>
        </w:rPr>
        <w:t>农林水支出</w:t>
      </w:r>
      <w:r>
        <w:rPr>
          <w:rFonts w:hint="eastAsia" w:ascii="仿宋_GB2312" w:hAnsi="Times New Roman" w:eastAsia="仿宋_GB2312" w:cs="DengXian-Regular"/>
          <w:sz w:val="32"/>
          <w:szCs w:val="32"/>
          <w:lang w:val="en-US" w:eastAsia="zh-CN"/>
        </w:rPr>
        <w:t>3400.72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361.47</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337.09</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24.38</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 w:hAnsi="仿宋" w:eastAsia="仿宋" w:cs="仿宋"/>
          <w:sz w:val="32"/>
          <w:szCs w:val="32"/>
          <w:lang w:val="en-US" w:eastAsia="zh-CN"/>
        </w:rPr>
        <w:t>5.89</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85.99</w:t>
      </w:r>
      <w:r>
        <w:rPr>
          <w:rFonts w:hint="eastAsia" w:ascii="仿宋_GB2312" w:hAnsi="Times New Roman" w:eastAsia="仿宋_GB2312" w:cs="DengXian-Regular"/>
          <w:sz w:val="32"/>
          <w:szCs w:val="32"/>
        </w:rPr>
        <w:t>%,较预算减少</w:t>
      </w:r>
      <w:r>
        <w:rPr>
          <w:rFonts w:hint="eastAsia" w:ascii="仿宋" w:hAnsi="仿宋" w:eastAsia="仿宋" w:cs="仿宋"/>
          <w:sz w:val="32"/>
          <w:szCs w:val="32"/>
          <w:lang w:val="en-US" w:eastAsia="zh-CN"/>
        </w:rPr>
        <w:t>0.96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%，主要是</w:t>
      </w:r>
      <w:r>
        <w:rPr>
          <w:rFonts w:hint="eastAsia" w:ascii="仿宋" w:hAnsi="仿宋" w:eastAsia="仿宋" w:cs="仿宋"/>
          <w:sz w:val="32"/>
          <w:szCs w:val="32"/>
          <w:lang w:val="en-US" w:eastAsia="zh-CN"/>
        </w:rPr>
        <w:t>事业单位车改，车辆减少；</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0.71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10.76</w:t>
      </w:r>
      <w:r>
        <w:rPr>
          <w:rFonts w:hint="eastAsia" w:ascii="仿宋_GB2312" w:hAnsi="Times New Roman" w:eastAsia="仿宋_GB2312" w:cs="DengXian-Regular"/>
          <w:sz w:val="32"/>
          <w:szCs w:val="32"/>
        </w:rPr>
        <w:t>%，主要是</w:t>
      </w:r>
      <w:r>
        <w:rPr>
          <w:rFonts w:hint="eastAsia" w:ascii="仿宋" w:hAnsi="仿宋" w:eastAsia="仿宋" w:cs="仿宋"/>
          <w:sz w:val="32"/>
          <w:szCs w:val="32"/>
          <w:lang w:val="en-US" w:eastAsia="zh-CN"/>
        </w:rPr>
        <w:t>事业单位车改，车辆减少</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hAnsi="Times New Roman" w:eastAsia="仿宋_GB2312" w:cs="DengXian-Bold"/>
          <w:b/>
          <w:bCs/>
          <w:sz w:val="32"/>
          <w:szCs w:val="32"/>
        </w:rPr>
      </w:pPr>
      <w:r>
        <w:rPr>
          <w:rFonts w:hint="eastAsia" w:ascii="楷体_GB2312" w:hAnsi="Times New Roman" w:eastAsia="楷体_GB2312" w:cs="DengXian-Bold"/>
          <w:b w:val="0"/>
          <w:bCs w:val="0"/>
          <w:sz w:val="32"/>
          <w:szCs w:val="32"/>
          <w:lang w:eastAsia="zh-CN"/>
        </w:rPr>
        <w:t>（一）</w:t>
      </w: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未发生</w:t>
      </w:r>
      <w:r>
        <w:rPr>
          <w:rFonts w:hint="eastAsia" w:ascii="仿宋_GB2312" w:hAnsi="Times New Roman" w:eastAsia="仿宋_GB2312" w:cs="DengXian-Regular"/>
          <w:sz w:val="32"/>
          <w:szCs w:val="32"/>
        </w:rPr>
        <w:t>因公出国（境）</w:t>
      </w:r>
      <w:r>
        <w:rPr>
          <w:rFonts w:hint="eastAsia" w:ascii="仿宋_GB2312" w:hAnsi="Times New Roman" w:eastAsia="仿宋_GB2312" w:cs="DengXian-Regular"/>
          <w:sz w:val="32"/>
          <w:szCs w:val="32"/>
          <w:lang w:eastAsia="zh-CN"/>
        </w:rPr>
        <w:t>费支出。与年初预算持平；与</w:t>
      </w:r>
      <w:r>
        <w:rPr>
          <w:rFonts w:hint="eastAsia" w:ascii="仿宋_GB2312" w:hAnsi="Times New Roman" w:eastAsia="仿宋_GB2312" w:cs="DengXian-Regular"/>
          <w:sz w:val="32"/>
          <w:szCs w:val="32"/>
          <w:lang w:val="en-US" w:eastAsia="zh-CN"/>
        </w:rPr>
        <w:t>2018年度决算支出持平。</w:t>
      </w:r>
    </w:p>
    <w:p>
      <w:pPr>
        <w:numPr>
          <w:ilvl w:val="0"/>
          <w:numId w:val="0"/>
        </w:numPr>
        <w:adjustRightInd w:val="0"/>
        <w:snapToGrid w:val="0"/>
        <w:spacing w:line="580" w:lineRule="exact"/>
        <w:ind w:firstLine="640" w:firstLineChars="200"/>
        <w:rPr>
          <w:rFonts w:ascii="仿宋_GB2312" w:hAnsi="Times New Roman" w:eastAsia="仿宋_GB2312" w:cs="DengXian-Bold"/>
          <w:b/>
          <w:bCs/>
          <w:sz w:val="32"/>
          <w:szCs w:val="32"/>
        </w:rPr>
      </w:pPr>
      <w:r>
        <w:rPr>
          <w:rFonts w:hint="eastAsia" w:ascii="楷体_GB2312" w:hAnsi="Times New Roman" w:eastAsia="楷体_GB2312" w:cs="DengXian-Bold"/>
          <w:b w:val="0"/>
          <w:bCs w:val="0"/>
          <w:sz w:val="32"/>
          <w:szCs w:val="32"/>
          <w:lang w:eastAsia="zh-CN"/>
        </w:rPr>
        <w:t>（二）</w:t>
      </w:r>
      <w:r>
        <w:rPr>
          <w:rFonts w:hint="eastAsia" w:ascii="楷体_GB2312" w:hAnsi="Times New Roman" w:eastAsia="楷体_GB2312" w:cs="DengXian-Bold"/>
          <w:b/>
          <w:bCs/>
          <w:sz w:val="32"/>
          <w:szCs w:val="32"/>
        </w:rPr>
        <w:t>公务用车购置及运行维护费支出</w:t>
      </w:r>
      <w:r>
        <w:rPr>
          <w:rFonts w:hint="eastAsia" w:ascii="楷体_GB2312" w:hAnsi="Times New Roman" w:eastAsia="楷体_GB2312" w:cs="DengXian-Bold"/>
          <w:b/>
          <w:bCs/>
          <w:sz w:val="32"/>
          <w:szCs w:val="32"/>
          <w:lang w:val="en-US" w:eastAsia="zh-CN"/>
        </w:rPr>
        <w:t>5.89</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color w:val="auto"/>
          <w:sz w:val="32"/>
          <w:szCs w:val="32"/>
          <w:lang w:val="en-US" w:eastAsia="zh-CN"/>
        </w:rPr>
        <w:t>0.96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%,主要是</w:t>
      </w:r>
      <w:r>
        <w:rPr>
          <w:rFonts w:hint="eastAsia" w:ascii="仿宋" w:hAnsi="仿宋" w:eastAsia="仿宋" w:cs="仿宋"/>
          <w:sz w:val="32"/>
          <w:szCs w:val="32"/>
          <w:lang w:val="en-US" w:eastAsia="zh-CN"/>
        </w:rPr>
        <w:t>事业单位车改，车辆减少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0.71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10.76</w:t>
      </w:r>
      <w:r>
        <w:rPr>
          <w:rFonts w:hint="eastAsia" w:ascii="仿宋_GB2312" w:hAnsi="Times New Roman" w:eastAsia="仿宋_GB2312" w:cs="DengXian-Regular"/>
          <w:sz w:val="32"/>
          <w:szCs w:val="32"/>
        </w:rPr>
        <w:t>%,主要是</w:t>
      </w:r>
      <w:r>
        <w:rPr>
          <w:rFonts w:hint="eastAsia" w:ascii="仿宋" w:hAnsi="仿宋" w:eastAsia="仿宋" w:cs="仿宋"/>
          <w:sz w:val="32"/>
          <w:szCs w:val="32"/>
          <w:lang w:val="en-US" w:eastAsia="zh-CN"/>
        </w:rPr>
        <w:t>事业单位车改，车辆减少</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万元。本部门2019年度</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发生“公务用车购置”经费支出。</w:t>
      </w:r>
      <w:r>
        <w:rPr>
          <w:rFonts w:hint="eastAsia" w:ascii="仿宋_GB2312" w:hAnsi="Times New Roman" w:eastAsia="仿宋_GB2312" w:cs="DengXian-Regular"/>
          <w:sz w:val="32"/>
          <w:szCs w:val="32"/>
          <w:lang w:eastAsia="zh-CN"/>
        </w:rPr>
        <w:t>与年初预算持平；与</w:t>
      </w:r>
      <w:r>
        <w:rPr>
          <w:rFonts w:hint="eastAsia" w:ascii="仿宋_GB2312" w:hAnsi="Times New Roman" w:eastAsia="仿宋_GB2312" w:cs="DengXian-Regular"/>
          <w:sz w:val="32"/>
          <w:szCs w:val="32"/>
          <w:lang w:val="en-US" w:eastAsia="zh-CN"/>
        </w:rPr>
        <w:t>2018年度决算支出持平，主要是严格遵守公务用车管理政策。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0.96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%,主要是</w:t>
      </w:r>
      <w:r>
        <w:rPr>
          <w:rFonts w:hint="eastAsia" w:ascii="仿宋" w:hAnsi="仿宋" w:eastAsia="仿宋" w:cs="仿宋"/>
          <w:sz w:val="32"/>
          <w:szCs w:val="32"/>
          <w:lang w:val="en-US" w:eastAsia="zh-CN"/>
        </w:rPr>
        <w:t>事业单位车改，车辆减少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0.71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10.76</w:t>
      </w:r>
      <w:r>
        <w:rPr>
          <w:rFonts w:hint="eastAsia" w:ascii="仿宋_GB2312" w:hAnsi="Times New Roman" w:eastAsia="仿宋_GB2312" w:cs="DengXian-Regular"/>
          <w:sz w:val="32"/>
          <w:szCs w:val="32"/>
        </w:rPr>
        <w:t>%，主要是</w:t>
      </w:r>
      <w:r>
        <w:rPr>
          <w:rFonts w:hint="eastAsia" w:ascii="仿宋" w:hAnsi="仿宋" w:eastAsia="仿宋" w:cs="仿宋"/>
          <w:sz w:val="32"/>
          <w:szCs w:val="32"/>
          <w:lang w:val="en-US" w:eastAsia="zh-CN"/>
        </w:rPr>
        <w:t>事业单位车改，车辆减少</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0.25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执行八项规定，严格管理公务接待费</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2018年度决算支出持平，</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执行八项规定，严格管理公务接待费。</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1056.02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34.75%</w:t>
      </w:r>
      <w:r>
        <w:rPr>
          <w:rFonts w:hint="eastAsia" w:ascii="仿宋_GB2312" w:hAnsi="仿宋_GB2312" w:eastAsia="仿宋_GB2312" w:cs="仿宋_GB2312"/>
          <w:sz w:val="32"/>
          <w:szCs w:val="32"/>
        </w:rPr>
        <w:t>。组织对“病死畜禽集中无害化处理补助资金”“</w:t>
      </w:r>
      <w:r>
        <w:rPr>
          <w:rFonts w:hint="eastAsia" w:ascii="仿宋_GB2312" w:hAnsi="仿宋_GB2312" w:eastAsia="仿宋_GB2312" w:cs="仿宋_GB2312"/>
          <w:sz w:val="32"/>
          <w:szCs w:val="32"/>
          <w:lang w:eastAsia="zh-CN"/>
        </w:rPr>
        <w:t>瘦肉精检测试剂资金</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1056.02</w:t>
      </w:r>
      <w:r>
        <w:rPr>
          <w:rFonts w:hint="eastAsia" w:ascii="仿宋_GB2312" w:hAnsi="仿宋_GB2312" w:eastAsia="仿宋_GB2312" w:cs="仿宋_GB2312"/>
          <w:sz w:val="32"/>
          <w:szCs w:val="32"/>
        </w:rPr>
        <w:t>万元，从评价情况来看，</w:t>
      </w:r>
      <w:r>
        <w:rPr>
          <w:rFonts w:hint="eastAsia" w:ascii="仿宋" w:hAnsi="仿宋" w:eastAsia="仿宋" w:cs="仿宋"/>
          <w:sz w:val="32"/>
          <w:szCs w:val="32"/>
          <w:lang w:val="en-US" w:eastAsia="zh-CN"/>
        </w:rPr>
        <w:t>11个项目的实际完成率、项目完成及时率、项目完成质量达标率等指标达到100%，</w:t>
      </w:r>
      <w:r>
        <w:rPr>
          <w:rFonts w:hint="eastAsia" w:ascii="仿宋" w:hAnsi="仿宋" w:eastAsia="仿宋"/>
          <w:sz w:val="32"/>
          <w:szCs w:val="32"/>
        </w:rPr>
        <w:t>项目预期绩效总目标</w:t>
      </w:r>
      <w:r>
        <w:rPr>
          <w:rFonts w:hint="eastAsia" w:ascii="仿宋" w:hAnsi="仿宋" w:eastAsia="仿宋"/>
          <w:sz w:val="32"/>
          <w:szCs w:val="32"/>
          <w:lang w:eastAsia="zh-CN"/>
        </w:rPr>
        <w:t>已完成，自评</w:t>
      </w:r>
      <w:r>
        <w:rPr>
          <w:rFonts w:hint="eastAsia" w:ascii="仿宋" w:hAnsi="仿宋" w:eastAsia="仿宋"/>
          <w:sz w:val="32"/>
          <w:szCs w:val="32"/>
          <w:lang w:val="en-US" w:eastAsia="zh-CN"/>
        </w:rPr>
        <w:t>100分。</w:t>
      </w:r>
      <w:r>
        <w:rPr>
          <w:rFonts w:hint="eastAsia" w:ascii="仿宋" w:hAnsi="仿宋" w:eastAsia="仿宋" w:cs="仿宋"/>
          <w:sz w:val="32"/>
          <w:szCs w:val="32"/>
          <w:lang w:val="en-US" w:eastAsia="zh-CN"/>
        </w:rPr>
        <w:t>只有</w:t>
      </w:r>
      <w:r>
        <w:rPr>
          <w:rFonts w:hint="eastAsia" w:ascii="仿宋" w:hAnsi="仿宋" w:eastAsia="仿宋" w:cs="仿宋"/>
          <w:sz w:val="32"/>
          <w:szCs w:val="32"/>
          <w:lang w:eastAsia="zh-CN"/>
        </w:rPr>
        <w:t>动物卫生监督所人员及补助经费</w:t>
      </w:r>
      <w:r>
        <w:rPr>
          <w:rFonts w:hint="eastAsia" w:ascii="仿宋" w:hAnsi="仿宋" w:eastAsia="仿宋"/>
          <w:sz w:val="32"/>
          <w:szCs w:val="32"/>
        </w:rPr>
        <w:t>项目</w:t>
      </w:r>
      <w:r>
        <w:rPr>
          <w:rFonts w:hint="eastAsia" w:ascii="仿宋" w:hAnsi="仿宋" w:eastAsia="仿宋"/>
          <w:sz w:val="32"/>
          <w:szCs w:val="32"/>
          <w:lang w:eastAsia="zh-CN"/>
        </w:rPr>
        <w:t>资金</w:t>
      </w:r>
      <w:r>
        <w:rPr>
          <w:rFonts w:hint="eastAsia" w:ascii="仿宋" w:hAnsi="仿宋" w:eastAsia="仿宋"/>
          <w:sz w:val="32"/>
          <w:szCs w:val="32"/>
        </w:rPr>
        <w:t>的</w:t>
      </w:r>
      <w:r>
        <w:rPr>
          <w:rFonts w:hint="eastAsia" w:ascii="仿宋" w:hAnsi="仿宋" w:eastAsia="仿宋"/>
          <w:sz w:val="32"/>
          <w:szCs w:val="32"/>
          <w:lang w:eastAsia="zh-CN"/>
        </w:rPr>
        <w:t>年初预算是</w:t>
      </w:r>
      <w:r>
        <w:rPr>
          <w:rFonts w:hint="eastAsia" w:ascii="仿宋" w:hAnsi="仿宋" w:eastAsia="仿宋"/>
          <w:sz w:val="32"/>
          <w:szCs w:val="32"/>
          <w:lang w:val="en-US" w:eastAsia="zh-CN"/>
        </w:rPr>
        <w:t>534.3万元，支出532.878万元，</w:t>
      </w:r>
      <w:r>
        <w:rPr>
          <w:rFonts w:hint="eastAsia" w:ascii="仿宋" w:hAnsi="仿宋" w:eastAsia="仿宋"/>
          <w:sz w:val="32"/>
          <w:szCs w:val="32"/>
        </w:rPr>
        <w:t>实际完成率</w:t>
      </w:r>
      <w:r>
        <w:rPr>
          <w:rFonts w:hint="eastAsia" w:ascii="仿宋" w:hAnsi="仿宋" w:eastAsia="仿宋"/>
          <w:sz w:val="32"/>
          <w:szCs w:val="32"/>
          <w:lang w:eastAsia="zh-CN"/>
        </w:rPr>
        <w:t>是</w:t>
      </w:r>
      <w:r>
        <w:rPr>
          <w:rFonts w:hint="eastAsia" w:ascii="仿宋" w:hAnsi="仿宋" w:eastAsia="仿宋"/>
          <w:sz w:val="32"/>
          <w:szCs w:val="32"/>
          <w:lang w:val="en-US" w:eastAsia="zh-CN"/>
        </w:rPr>
        <w:t>99.7%，自评99.7分，</w:t>
      </w:r>
      <w:r>
        <w:rPr>
          <w:rFonts w:hint="eastAsia" w:ascii="仿宋" w:hAnsi="仿宋" w:eastAsia="仿宋"/>
          <w:sz w:val="32"/>
          <w:szCs w:val="32"/>
        </w:rPr>
        <w:t>主要</w:t>
      </w:r>
      <w:r>
        <w:rPr>
          <w:rFonts w:hint="eastAsia" w:ascii="仿宋" w:hAnsi="仿宋" w:eastAsia="仿宋"/>
          <w:sz w:val="32"/>
          <w:szCs w:val="32"/>
          <w:lang w:eastAsia="zh-CN"/>
        </w:rPr>
        <w:t>原因是单位上半年已完成在职人员体检，福利费有结转。</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本部门在今年部门决算公开中反映病死畜禽集中无害化处理补助资金及</w:t>
      </w:r>
      <w:r>
        <w:rPr>
          <w:rFonts w:hint="eastAsia" w:ascii="仿宋_GB2312" w:hAnsi="仿宋_GB2312" w:eastAsia="仿宋_GB2312" w:cs="仿宋_GB2312"/>
          <w:sz w:val="32"/>
          <w:szCs w:val="32"/>
          <w:lang w:eastAsia="zh-CN"/>
        </w:rPr>
        <w:t>瘦肉精检测试剂资金</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个项目绩效自评结果。</w:t>
      </w:r>
    </w:p>
    <w:p>
      <w:pPr>
        <w:numPr>
          <w:ilvl w:val="0"/>
          <w:numId w:val="3"/>
        </w:numPr>
        <w:adjustRightInd w:val="0"/>
        <w:snapToGrid w:val="0"/>
        <w:spacing w:line="580" w:lineRule="exact"/>
        <w:ind w:left="-10" w:leftChars="0" w:firstLine="640" w:firstLineChars="0"/>
        <w:rPr>
          <w:rFonts w:hint="eastAsia" w:ascii="仿宋" w:hAnsi="仿宋" w:eastAsia="仿宋" w:cs="仿宋"/>
          <w:sz w:val="32"/>
          <w:szCs w:val="32"/>
        </w:rPr>
      </w:pPr>
      <w:r>
        <w:rPr>
          <w:rFonts w:hint="eastAsia" w:ascii="仿宋_GB2312" w:hAnsi="仿宋_GB2312" w:eastAsia="仿宋_GB2312" w:cs="仿宋_GB2312"/>
          <w:sz w:val="32"/>
          <w:szCs w:val="32"/>
          <w:lang w:eastAsia="zh-CN"/>
        </w:rPr>
        <w:t>畜禽疫苗补贴资金</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畜禽疫苗补贴资金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29.25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29.25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产出指标</w:t>
      </w:r>
      <w:r>
        <w:rPr>
          <w:rFonts w:hint="eastAsia" w:ascii="仿宋_GB2312" w:hAnsi="仿宋_GB2312" w:eastAsia="仿宋_GB2312" w:cs="仿宋_GB2312"/>
          <w:sz w:val="32"/>
          <w:szCs w:val="32"/>
          <w:lang w:val="en-US" w:eastAsia="zh-CN"/>
        </w:rPr>
        <w:t>40分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预算执行率指标</w:t>
      </w:r>
      <w:r>
        <w:rPr>
          <w:rFonts w:hint="eastAsia" w:ascii="仿宋_GB2312" w:hAnsi="仿宋_GB2312" w:eastAsia="仿宋_GB2312" w:cs="仿宋_GB2312"/>
          <w:sz w:val="32"/>
          <w:szCs w:val="32"/>
          <w:lang w:val="en-US" w:eastAsia="zh-CN"/>
        </w:rPr>
        <w:t>10分；三是效益指标40分；四是满意度指标10分</w:t>
      </w:r>
      <w:r>
        <w:rPr>
          <w:rFonts w:hint="eastAsia" w:ascii="仿宋_GB2312" w:hAnsi="仿宋_GB2312" w:eastAsia="仿宋_GB2312" w:cs="仿宋_GB2312"/>
          <w:sz w:val="32"/>
          <w:szCs w:val="32"/>
        </w:rPr>
        <w:t>。发现的主要问题及原因：</w:t>
      </w:r>
      <w:r>
        <w:rPr>
          <w:rFonts w:hint="eastAsia" w:ascii="仿宋" w:hAnsi="仿宋" w:eastAsia="仿宋" w:cs="仿宋"/>
          <w:i w:val="0"/>
          <w:color w:val="000000"/>
          <w:kern w:val="0"/>
          <w:sz w:val="32"/>
          <w:szCs w:val="32"/>
          <w:u w:val="none"/>
          <w:lang w:val="en-US" w:eastAsia="zh-CN" w:bidi="ar"/>
        </w:rPr>
        <w:t>个别养殖场（户）对政府招标疫苗有质疑，则自行购买，未能真正享受畜禽疫苗补贴政策。</w:t>
      </w:r>
      <w:r>
        <w:rPr>
          <w:rFonts w:hint="eastAsia" w:ascii="仿宋" w:hAnsi="仿宋" w:eastAsia="仿宋" w:cs="仿宋"/>
          <w:sz w:val="32"/>
          <w:szCs w:val="32"/>
        </w:rPr>
        <w:t>。下一步改进措施：</w:t>
      </w:r>
      <w:r>
        <w:rPr>
          <w:rFonts w:hint="eastAsia" w:ascii="仿宋" w:hAnsi="仿宋" w:eastAsia="仿宋" w:cs="仿宋"/>
          <w:i w:val="0"/>
          <w:color w:val="000000"/>
          <w:kern w:val="0"/>
          <w:sz w:val="32"/>
          <w:szCs w:val="32"/>
          <w:u w:val="none"/>
          <w:lang w:val="en-US" w:eastAsia="zh-CN" w:bidi="ar"/>
        </w:rPr>
        <w:t>建议国家出台相关政策，全面推行“先打后补”政策，确保把惠农政策落实好。</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61"/>
        <w:gridCol w:w="1008"/>
        <w:gridCol w:w="961"/>
        <w:gridCol w:w="1"/>
        <w:gridCol w:w="914"/>
        <w:gridCol w:w="1030"/>
        <w:gridCol w:w="916"/>
        <w:gridCol w:w="656"/>
        <w:gridCol w:w="24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9"/>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9"/>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2931"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填报单位：区畜牧工作总站</w:t>
            </w:r>
          </w:p>
        </w:tc>
        <w:tc>
          <w:tcPr>
            <w:tcW w:w="91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308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9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0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8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畜禽疫苗补贴资金</w:t>
            </w:r>
          </w:p>
        </w:tc>
        <w:tc>
          <w:tcPr>
            <w:tcW w:w="10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99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7" w:hRule="atLeast"/>
        </w:trPr>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196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57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7"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29.25</w:t>
            </w:r>
          </w:p>
        </w:tc>
        <w:tc>
          <w:tcPr>
            <w:tcW w:w="9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29.25</w:t>
            </w: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29.25</w:t>
            </w:r>
          </w:p>
        </w:tc>
        <w:tc>
          <w:tcPr>
            <w:tcW w:w="24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29.25</w:t>
            </w:r>
          </w:p>
        </w:tc>
        <w:tc>
          <w:tcPr>
            <w:tcW w:w="9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29.25</w:t>
            </w:r>
          </w:p>
        </w:tc>
        <w:tc>
          <w:tcPr>
            <w:tcW w:w="9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29.25</w:t>
            </w:r>
          </w:p>
        </w:tc>
        <w:tc>
          <w:tcPr>
            <w:tcW w:w="24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88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260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0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8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及时发放强免疫苗，做好重大动物疫病免疫，保证畜禽免疫密度。</w:t>
            </w:r>
          </w:p>
        </w:tc>
        <w:tc>
          <w:tcPr>
            <w:tcW w:w="260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全部完成</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0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应免动物强制免疫率</w:t>
            </w:r>
          </w:p>
        </w:tc>
        <w:tc>
          <w:tcPr>
            <w:tcW w:w="9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资金到位率</w:t>
            </w: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疫病发病率</w:t>
            </w: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显著下降</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显著下降</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资金到位及时性</w:t>
            </w: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疫苗发放及时性</w:t>
            </w: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重大动物疫情</w:t>
            </w: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平稳</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平稳</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受益群体收入</w:t>
            </w: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显著增加</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显著增加</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受益养殖户满意度</w:t>
            </w: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80%以上</w:t>
            </w: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9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486"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24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05" w:hRule="atLeast"/>
        </w:trPr>
        <w:tc>
          <w:tcPr>
            <w:tcW w:w="9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913"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个别养殖场（户）对政府招标疫苗有质疑，则自行购买，未能真正享受畜禽疫苗补贴政策。建议国家出台相关政策，全面推行“先打后补”政策，确保把惠农政策落实好。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96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00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李丽华</w:t>
            </w:r>
          </w:p>
        </w:tc>
        <w:tc>
          <w:tcPr>
            <w:tcW w:w="96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5"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91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88108887</w:t>
            </w:r>
          </w:p>
        </w:tc>
        <w:tc>
          <w:tcPr>
            <w:tcW w:w="65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42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重大动物疫病检测经费</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重大动物疫病检测经费</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产出指标</w:t>
      </w:r>
      <w:r>
        <w:rPr>
          <w:rFonts w:hint="eastAsia" w:ascii="仿宋_GB2312" w:hAnsi="仿宋_GB2312" w:eastAsia="仿宋_GB2312" w:cs="仿宋_GB2312"/>
          <w:sz w:val="32"/>
          <w:szCs w:val="32"/>
          <w:lang w:val="en-US" w:eastAsia="zh-CN"/>
        </w:rPr>
        <w:t>40分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预算执行率指标</w:t>
      </w:r>
      <w:r>
        <w:rPr>
          <w:rFonts w:hint="eastAsia" w:ascii="仿宋_GB2312" w:hAnsi="仿宋_GB2312" w:eastAsia="仿宋_GB2312" w:cs="仿宋_GB2312"/>
          <w:sz w:val="32"/>
          <w:szCs w:val="32"/>
          <w:lang w:val="en-US" w:eastAsia="zh-CN"/>
        </w:rPr>
        <w:t>10分；三是效益指标40分；四是满意度指标10分</w:t>
      </w:r>
      <w:r>
        <w:rPr>
          <w:rFonts w:hint="eastAsia" w:ascii="仿宋_GB2312" w:hAnsi="仿宋_GB2312" w:eastAsia="仿宋_GB2312" w:cs="仿宋_GB2312"/>
          <w:sz w:val="32"/>
          <w:szCs w:val="32"/>
        </w:rPr>
        <w:t>。发现的主要问题及原因</w:t>
      </w:r>
      <w:r>
        <w:rPr>
          <w:rFonts w:hint="eastAsia" w:ascii="仿宋" w:hAnsi="仿宋" w:eastAsia="仿宋" w:cs="仿宋"/>
          <w:sz w:val="32"/>
          <w:szCs w:val="32"/>
        </w:rPr>
        <w:t>：</w:t>
      </w:r>
      <w:r>
        <w:rPr>
          <w:rFonts w:hint="eastAsia" w:ascii="仿宋" w:hAnsi="仿宋" w:eastAsia="仿宋" w:cs="仿宋"/>
          <w:i w:val="0"/>
          <w:color w:val="000000"/>
          <w:kern w:val="0"/>
          <w:sz w:val="32"/>
          <w:szCs w:val="32"/>
          <w:u w:val="none"/>
          <w:lang w:val="en-US" w:eastAsia="zh-CN" w:bidi="ar"/>
        </w:rPr>
        <w:t>检测试剂成本提升，检测数量减少，难以做到全覆盖。</w:t>
      </w:r>
      <w:r>
        <w:rPr>
          <w:rFonts w:hint="eastAsia" w:ascii="仿宋" w:hAnsi="仿宋" w:eastAsia="仿宋" w:cs="仿宋"/>
          <w:sz w:val="32"/>
          <w:szCs w:val="32"/>
        </w:rPr>
        <w:t>。下一步改进措施：</w:t>
      </w:r>
      <w:r>
        <w:rPr>
          <w:rFonts w:hint="eastAsia" w:ascii="仿宋" w:hAnsi="仿宋" w:eastAsia="仿宋" w:cs="仿宋"/>
          <w:i w:val="0"/>
          <w:color w:val="000000"/>
          <w:kern w:val="0"/>
          <w:sz w:val="32"/>
          <w:szCs w:val="32"/>
          <w:u w:val="none"/>
          <w:lang w:val="en-US" w:eastAsia="zh-CN" w:bidi="ar"/>
        </w:rPr>
        <w:t>建议上级出台相关文件，对重大动物疫病检测试剂进行补贴，确保以检测结果来指导科学免疫，给养殖场带来更大实惠。</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27"/>
        <w:gridCol w:w="1225"/>
        <w:gridCol w:w="820"/>
        <w:gridCol w:w="1141"/>
        <w:gridCol w:w="1082"/>
        <w:gridCol w:w="946"/>
        <w:gridCol w:w="1055"/>
        <w:gridCol w:w="12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3372"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填报单位：区畜牧工作总站</w:t>
            </w:r>
          </w:p>
        </w:tc>
        <w:tc>
          <w:tcPr>
            <w:tcW w:w="11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33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重大动物疫病检测经费</w:t>
            </w:r>
          </w:p>
        </w:tc>
        <w:tc>
          <w:tcPr>
            <w:tcW w:w="10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2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0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1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2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0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18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发挥动物疫病监测作用，有效降低疫病危害，保障畜牧业健康发展。</w:t>
            </w:r>
          </w:p>
        </w:tc>
        <w:tc>
          <w:tcPr>
            <w:tcW w:w="30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全部完成</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监测试剂使用率</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资金到位率</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免疫抗体合格率</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85%以上</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监测指导科学免疫效果</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显著提升</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显著提升</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资金到位及时性</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重大动物疫情</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平稳</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平稳</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受益养殖户满意度</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80%以上</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269"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05" w:hRule="atLeast"/>
        </w:trPr>
        <w:tc>
          <w:tcPr>
            <w:tcW w:w="13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4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检测试剂成本提升，检测数量减少，难以做到全覆盖。建议上级出台相关文件，对重大动物疫病检测试剂进行补贴，确保以检测结果来指导科学免疫，给养殖场带来更大实惠。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22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李丽华</w:t>
            </w:r>
          </w:p>
        </w:tc>
        <w:tc>
          <w:tcPr>
            <w:tcW w:w="8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94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88108887</w:t>
            </w:r>
          </w:p>
        </w:tc>
        <w:tc>
          <w:tcPr>
            <w:tcW w:w="10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3"/>
        </w:numPr>
        <w:adjustRightInd w:val="0"/>
        <w:snapToGrid w:val="0"/>
        <w:spacing w:line="580" w:lineRule="exact"/>
        <w:ind w:left="-10" w:leftChars="0" w:firstLine="640" w:firstLineChars="0"/>
        <w:rPr>
          <w:rFonts w:hint="eastAsia" w:ascii="仿宋" w:hAnsi="仿宋" w:eastAsia="仿宋" w:cs="仿宋"/>
          <w:sz w:val="32"/>
          <w:szCs w:val="32"/>
        </w:rPr>
      </w:pPr>
      <w:r>
        <w:rPr>
          <w:rFonts w:hint="eastAsia" w:ascii="仿宋_GB2312" w:hAnsi="仿宋_GB2312" w:eastAsia="仿宋_GB2312" w:cs="仿宋_GB2312"/>
          <w:sz w:val="32"/>
          <w:szCs w:val="32"/>
          <w:lang w:eastAsia="zh-CN"/>
        </w:rPr>
        <w:t>基层体系建设资金（村级动物防疫员补贴）</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基层体系建设资金（村级动物防疫员补贴）</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15.96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15.96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产出指标</w:t>
      </w:r>
      <w:r>
        <w:rPr>
          <w:rFonts w:hint="eastAsia" w:ascii="仿宋_GB2312" w:hAnsi="仿宋_GB2312" w:eastAsia="仿宋_GB2312" w:cs="仿宋_GB2312"/>
          <w:sz w:val="32"/>
          <w:szCs w:val="32"/>
          <w:lang w:val="en-US" w:eastAsia="zh-CN"/>
        </w:rPr>
        <w:t>40分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预算执行率指标</w:t>
      </w:r>
      <w:r>
        <w:rPr>
          <w:rFonts w:hint="eastAsia" w:ascii="仿宋_GB2312" w:hAnsi="仿宋_GB2312" w:eastAsia="仿宋_GB2312" w:cs="仿宋_GB2312"/>
          <w:sz w:val="32"/>
          <w:szCs w:val="32"/>
          <w:lang w:val="en-US" w:eastAsia="zh-CN"/>
        </w:rPr>
        <w:t>10分；三是效益指标40分；四是满意度指标10分</w:t>
      </w:r>
      <w:r>
        <w:rPr>
          <w:rFonts w:hint="eastAsia" w:ascii="仿宋_GB2312" w:hAnsi="仿宋_GB2312" w:eastAsia="仿宋_GB2312" w:cs="仿宋_GB2312"/>
          <w:sz w:val="32"/>
          <w:szCs w:val="32"/>
        </w:rPr>
        <w:t>。发现的主要问题及原因：</w:t>
      </w:r>
      <w:r>
        <w:rPr>
          <w:rFonts w:hint="eastAsia" w:ascii="仿宋" w:hAnsi="仿宋" w:eastAsia="仿宋" w:cs="仿宋"/>
          <w:i w:val="0"/>
          <w:color w:val="000000"/>
          <w:kern w:val="0"/>
          <w:sz w:val="32"/>
          <w:szCs w:val="32"/>
          <w:u w:val="none"/>
          <w:lang w:val="en-US" w:eastAsia="zh-CN" w:bidi="ar"/>
        </w:rPr>
        <w:t>部分村级防疫员年龄老化、防疫工作不到位，给动物防疫工作造成了隐患，影响了重大动物疫病防控工作的开展。</w:t>
      </w:r>
      <w:r>
        <w:rPr>
          <w:rFonts w:hint="eastAsia" w:ascii="仿宋" w:hAnsi="仿宋" w:eastAsia="仿宋" w:cs="仿宋"/>
          <w:sz w:val="32"/>
          <w:szCs w:val="32"/>
        </w:rPr>
        <w:t>下一步改进措施：</w:t>
      </w:r>
      <w:r>
        <w:rPr>
          <w:rFonts w:hint="eastAsia" w:ascii="仿宋" w:hAnsi="仿宋" w:eastAsia="仿宋" w:cs="仿宋"/>
          <w:i w:val="0"/>
          <w:color w:val="000000"/>
          <w:kern w:val="0"/>
          <w:sz w:val="32"/>
          <w:szCs w:val="32"/>
          <w:u w:val="none"/>
          <w:lang w:val="en-US" w:eastAsia="zh-CN" w:bidi="ar"/>
        </w:rPr>
        <w:t>对重大动物疫病防控工作推行政府购买动物防疫服务，交有专业技术队伍第三方来实施。</w:t>
      </w:r>
    </w:p>
    <w:p>
      <w:pPr>
        <w:numPr>
          <w:ilvl w:val="0"/>
          <w:numId w:val="0"/>
        </w:numPr>
        <w:adjustRightInd w:val="0"/>
        <w:snapToGrid w:val="0"/>
        <w:spacing w:line="580" w:lineRule="exact"/>
        <w:ind w:left="630" w:leftChars="0"/>
        <w:rPr>
          <w:rFonts w:ascii="仿宋_GB2312" w:hAnsi="仿宋_GB2312" w:eastAsia="仿宋_GB2312" w:cs="仿宋_GB2312"/>
          <w:sz w:val="32"/>
          <w:szCs w:val="32"/>
        </w:rPr>
      </w:pP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27"/>
        <w:gridCol w:w="1225"/>
        <w:gridCol w:w="820"/>
        <w:gridCol w:w="1141"/>
        <w:gridCol w:w="1097"/>
        <w:gridCol w:w="931"/>
        <w:gridCol w:w="1055"/>
        <w:gridCol w:w="12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3372"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填报单位：区畜牧工作总站</w:t>
            </w:r>
          </w:p>
        </w:tc>
        <w:tc>
          <w:tcPr>
            <w:tcW w:w="11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3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33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基层体系建设资金（村级动物防疫员补贴）</w:t>
            </w:r>
          </w:p>
        </w:tc>
        <w:tc>
          <w:tcPr>
            <w:tcW w:w="10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26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98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15.96</w:t>
            </w:r>
          </w:p>
        </w:tc>
        <w:tc>
          <w:tcPr>
            <w:tcW w:w="11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15.96</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15.96</w:t>
            </w:r>
          </w:p>
        </w:tc>
        <w:tc>
          <w:tcPr>
            <w:tcW w:w="12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15.96</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15.96</w:t>
            </w:r>
          </w:p>
        </w:tc>
        <w:tc>
          <w:tcPr>
            <w:tcW w:w="9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15.96</w:t>
            </w: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2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18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普及动物防疫的科学知识，提升动物防疫从业人员的技术能力，提高动物防疫的科学水平。</w:t>
            </w:r>
          </w:p>
        </w:tc>
        <w:tc>
          <w:tcPr>
            <w:tcW w:w="30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全部完成</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0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村级动物防疫员培训考核次数</w:t>
            </w:r>
          </w:p>
        </w:tc>
        <w:tc>
          <w:tcPr>
            <w:tcW w:w="9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2次</w:t>
            </w: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2次</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村级动物防疫员补贴人数数量 </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266</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266</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动物防疫技术能力</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显著提升</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显著提升</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补贴资金发放率</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项目资金到位及时性</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重大动物疫情</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平稳</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平稳</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村级防疫员满意度</w:t>
            </w: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80%以上</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269"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20" w:hRule="atLeast"/>
        </w:trPr>
        <w:tc>
          <w:tcPr>
            <w:tcW w:w="13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4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部分村级防疫员年龄老化、防疫工作不到位，给动物防疫工作造成了隐患，影响了重大动物疫病防控工作的开展。对重大动物疫病防控工作推行政府购买动物防疫服务，交有专业技术队伍第三方来实施。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22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李丽华</w:t>
            </w:r>
          </w:p>
        </w:tc>
        <w:tc>
          <w:tcPr>
            <w:tcW w:w="8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93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88108887</w:t>
            </w:r>
          </w:p>
        </w:tc>
        <w:tc>
          <w:tcPr>
            <w:tcW w:w="10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瘦肉精检测试剂资金</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瘦肉精检测试剂资金</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产出指标</w:t>
      </w:r>
      <w:r>
        <w:rPr>
          <w:rFonts w:hint="eastAsia" w:ascii="仿宋_GB2312" w:hAnsi="仿宋_GB2312" w:eastAsia="仿宋_GB2312" w:cs="仿宋_GB2312"/>
          <w:sz w:val="32"/>
          <w:szCs w:val="32"/>
          <w:lang w:val="en-US" w:eastAsia="zh-CN"/>
        </w:rPr>
        <w:t>40分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预算执行率指标</w:t>
      </w:r>
      <w:r>
        <w:rPr>
          <w:rFonts w:hint="eastAsia" w:ascii="仿宋_GB2312" w:hAnsi="仿宋_GB2312" w:eastAsia="仿宋_GB2312" w:cs="仿宋_GB2312"/>
          <w:sz w:val="32"/>
          <w:szCs w:val="32"/>
          <w:lang w:val="en-US" w:eastAsia="zh-CN"/>
        </w:rPr>
        <w:t>10分；三是效益指标40分；四是满意度指标10分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执行中未</w:t>
      </w:r>
      <w:r>
        <w:rPr>
          <w:rFonts w:hint="eastAsia" w:ascii="仿宋_GB2312" w:hAnsi="仿宋_GB2312" w:eastAsia="仿宋_GB2312" w:cs="仿宋_GB2312"/>
          <w:sz w:val="32"/>
          <w:szCs w:val="32"/>
        </w:rPr>
        <w:t>发现问题</w:t>
      </w:r>
      <w:r>
        <w:rPr>
          <w:rFonts w:hint="eastAsia" w:ascii="仿宋_GB2312" w:hAnsi="仿宋_GB2312" w:eastAsia="仿宋_GB2312" w:cs="仿宋_GB2312"/>
          <w:sz w:val="32"/>
          <w:szCs w:val="32"/>
          <w:lang w:eastAsia="zh-CN"/>
        </w:rPr>
        <w:t>。</w:t>
      </w:r>
    </w:p>
    <w:tbl>
      <w:tblPr>
        <w:tblStyle w:val="6"/>
        <w:tblpPr w:leftFromText="180" w:rightFromText="180" w:vertAnchor="text" w:horzAnchor="page" w:tblpX="1394" w:tblpY="621"/>
        <w:tblOverlap w:val="never"/>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089"/>
        <w:gridCol w:w="983"/>
        <w:gridCol w:w="666"/>
        <w:gridCol w:w="710"/>
        <w:gridCol w:w="1574"/>
        <w:gridCol w:w="1283"/>
        <w:gridCol w:w="659"/>
        <w:gridCol w:w="9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填报单位：藁城区畜牧工作总站</w:t>
            </w:r>
          </w:p>
        </w:tc>
        <w:tc>
          <w:tcPr>
            <w:tcW w:w="98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6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7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8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69"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2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瘦肉精检测试剂资金</w:t>
            </w:r>
          </w:p>
        </w:tc>
        <w:tc>
          <w:tcPr>
            <w:tcW w:w="15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85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16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9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9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7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9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7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5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9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35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51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2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5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购买瘦肉精试剂20万元，对猪、牛、羊进行抽检</w:t>
            </w:r>
          </w:p>
        </w:tc>
        <w:tc>
          <w:tcPr>
            <w:tcW w:w="351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购买瘦肉精试剂20万元</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75" w:hRule="atLeast"/>
        </w:trPr>
        <w:tc>
          <w:tcPr>
            <w:tcW w:w="20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9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6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6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 试剂使用率</w:t>
            </w: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 政府采购率</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 购置质量合格率</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 资金到位及时性</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6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6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2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 不发生瘦肉精事件</w:t>
            </w: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有力保证全区不发生瘦肉精事件</w:t>
            </w:r>
          </w:p>
        </w:tc>
        <w:tc>
          <w:tcPr>
            <w:tcW w:w="6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全区未发生瘦肉精事件</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6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 使用者满意度</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w:t>
            </w: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87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00" w:hRule="atLeast"/>
        </w:trPr>
        <w:tc>
          <w:tcPr>
            <w:tcW w:w="20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678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08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填报人：赵锁林</w:t>
            </w:r>
          </w:p>
        </w:tc>
        <w:tc>
          <w:tcPr>
            <w:tcW w:w="98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6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7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8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13930188807</w:t>
            </w:r>
          </w:p>
        </w:tc>
        <w:tc>
          <w:tcPr>
            <w:tcW w:w="65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病死畜禽集中无害化处理补助资金</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病死畜禽集中无害化处理补助资金</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136.49504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136.49504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产出指标</w:t>
      </w:r>
      <w:r>
        <w:rPr>
          <w:rFonts w:hint="eastAsia" w:ascii="仿宋_GB2312" w:hAnsi="仿宋_GB2312" w:eastAsia="仿宋_GB2312" w:cs="仿宋_GB2312"/>
          <w:sz w:val="32"/>
          <w:szCs w:val="32"/>
          <w:lang w:val="en-US" w:eastAsia="zh-CN"/>
        </w:rPr>
        <w:t>40分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预算执行率指标</w:t>
      </w:r>
      <w:r>
        <w:rPr>
          <w:rFonts w:hint="eastAsia" w:ascii="仿宋_GB2312" w:hAnsi="仿宋_GB2312" w:eastAsia="仿宋_GB2312" w:cs="仿宋_GB2312"/>
          <w:sz w:val="32"/>
          <w:szCs w:val="32"/>
          <w:lang w:val="en-US" w:eastAsia="zh-CN"/>
        </w:rPr>
        <w:t>10分；三是效益指标40分；四是满意度指标10分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执行中未</w:t>
      </w:r>
      <w:r>
        <w:rPr>
          <w:rFonts w:hint="eastAsia" w:ascii="仿宋_GB2312" w:hAnsi="仿宋_GB2312" w:eastAsia="仿宋_GB2312" w:cs="仿宋_GB2312"/>
          <w:sz w:val="32"/>
          <w:szCs w:val="32"/>
        </w:rPr>
        <w:t>发现问题</w:t>
      </w:r>
      <w:r>
        <w:rPr>
          <w:rFonts w:hint="eastAsia" w:ascii="仿宋_GB2312" w:hAnsi="仿宋_GB2312" w:eastAsia="仿宋_GB2312" w:cs="仿宋_GB2312"/>
          <w:sz w:val="32"/>
          <w:szCs w:val="32"/>
          <w:lang w:eastAsia="zh-CN"/>
        </w:rPr>
        <w:t>。</w:t>
      </w: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lang w:eastAsia="zh-CN"/>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lang w:eastAsia="zh-CN"/>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lang w:eastAsia="zh-CN"/>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lang w:eastAsia="zh-CN"/>
        </w:rPr>
      </w:pPr>
    </w:p>
    <w:tbl>
      <w:tblPr>
        <w:tblStyle w:val="6"/>
        <w:tblpPr w:leftFromText="180" w:rightFromText="180" w:vertAnchor="text" w:horzAnchor="page" w:tblpX="1304" w:tblpY="644"/>
        <w:tblOverlap w:val="never"/>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70"/>
        <w:gridCol w:w="717"/>
        <w:gridCol w:w="1007"/>
        <w:gridCol w:w="824"/>
        <w:gridCol w:w="1849"/>
        <w:gridCol w:w="911"/>
        <w:gridCol w:w="1007"/>
        <w:gridCol w:w="10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71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2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4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096"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7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83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病死畜禽集中无害化处理补助资金</w:t>
            </w:r>
          </w:p>
        </w:tc>
        <w:tc>
          <w:tcPr>
            <w:tcW w:w="18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0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172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9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136.49504</w:t>
            </w: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136.49504</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136.49504</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8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136.49504</w:t>
            </w:r>
          </w:p>
        </w:tc>
        <w:tc>
          <w:tcPr>
            <w:tcW w:w="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136.49504</w:t>
            </w:r>
          </w:p>
        </w:tc>
        <w:tc>
          <w:tcPr>
            <w:tcW w:w="9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136.49504</w:t>
            </w: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84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54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76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4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规范病死动物无害化处理</w:t>
            </w:r>
          </w:p>
        </w:tc>
        <w:tc>
          <w:tcPr>
            <w:tcW w:w="376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已规范处理</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75"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71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补贴资金发放率</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95%</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补助覆盖率</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 xml:space="preserve"> </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 xml:space="preserve"> </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 xml:space="preserve"> </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无害化处理率</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90%</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资金到位及时性</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及时</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及时</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rPr>
                <w:rFonts w:hint="default"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 xml:space="preserve"> </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 xml:space="preserve"> </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 xml:space="preserve"> </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1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预算率=执行数/预算数*100%）</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不发生重大动物疫情</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不发生</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未发生</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出栏生猪合格率</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出栏肉品合格率</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畜牧业健康持续发展</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健康发展</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发展健康</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养殖场户满意度</w:t>
            </w:r>
          </w:p>
        </w:tc>
        <w:tc>
          <w:tcPr>
            <w:tcW w:w="911"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85%</w:t>
            </w:r>
          </w:p>
        </w:tc>
        <w:tc>
          <w:tcPr>
            <w:tcW w:w="10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90%</w:t>
            </w:r>
          </w:p>
        </w:tc>
        <w:tc>
          <w:tcPr>
            <w:tcW w:w="1089"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7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91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31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0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40"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40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填报人：张建设</w:t>
            </w:r>
          </w:p>
        </w:tc>
        <w:tc>
          <w:tcPr>
            <w:tcW w:w="71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4"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4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联系电话：13780309639</w:t>
            </w:r>
          </w:p>
        </w:tc>
        <w:tc>
          <w:tcPr>
            <w:tcW w:w="911"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0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8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畜产品安全监测经费</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畜产品安全监测经费</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产出指标</w:t>
      </w:r>
      <w:r>
        <w:rPr>
          <w:rFonts w:hint="eastAsia" w:ascii="仿宋_GB2312" w:hAnsi="仿宋_GB2312" w:eastAsia="仿宋_GB2312" w:cs="仿宋_GB2312"/>
          <w:sz w:val="32"/>
          <w:szCs w:val="32"/>
          <w:lang w:val="en-US" w:eastAsia="zh-CN"/>
        </w:rPr>
        <w:t>40分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预算执行率指标</w:t>
      </w:r>
      <w:r>
        <w:rPr>
          <w:rFonts w:hint="eastAsia" w:ascii="仿宋_GB2312" w:hAnsi="仿宋_GB2312" w:eastAsia="仿宋_GB2312" w:cs="仿宋_GB2312"/>
          <w:sz w:val="32"/>
          <w:szCs w:val="32"/>
          <w:lang w:val="en-US" w:eastAsia="zh-CN"/>
        </w:rPr>
        <w:t>10分；三是效益指标40分；四是满意度指标10分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执行中未</w:t>
      </w:r>
      <w:r>
        <w:rPr>
          <w:rFonts w:hint="eastAsia" w:ascii="仿宋_GB2312" w:hAnsi="仿宋_GB2312" w:eastAsia="仿宋_GB2312" w:cs="仿宋_GB2312"/>
          <w:sz w:val="32"/>
          <w:szCs w:val="32"/>
        </w:rPr>
        <w:t>发现问题</w:t>
      </w:r>
      <w:r>
        <w:rPr>
          <w:rFonts w:hint="eastAsia" w:ascii="仿宋_GB2312" w:hAnsi="仿宋_GB2312" w:eastAsia="仿宋_GB2312" w:cs="仿宋_GB2312"/>
          <w:sz w:val="32"/>
          <w:szCs w:val="32"/>
          <w:lang w:eastAsia="zh-CN"/>
        </w:rPr>
        <w:t>。</w:t>
      </w: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lang w:eastAsia="zh-CN"/>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lang w:eastAsia="zh-CN"/>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lang w:eastAsia="zh-CN"/>
        </w:rPr>
      </w:pP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85"/>
        <w:gridCol w:w="1267"/>
        <w:gridCol w:w="734"/>
        <w:gridCol w:w="812"/>
        <w:gridCol w:w="1800"/>
        <w:gridCol w:w="869"/>
        <w:gridCol w:w="869"/>
        <w:gridCol w:w="103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6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藁城区畜牧工作总站</w:t>
            </w:r>
          </w:p>
        </w:tc>
        <w:tc>
          <w:tcPr>
            <w:tcW w:w="73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1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07"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5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畜产品安全监测经费</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7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0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7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5万元</w:t>
            </w:r>
          </w:p>
        </w:tc>
        <w:tc>
          <w:tcPr>
            <w:tcW w:w="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5万元</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5万元</w:t>
            </w:r>
          </w:p>
        </w:tc>
        <w:tc>
          <w:tcPr>
            <w:tcW w:w="10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5万元</w:t>
            </w:r>
          </w:p>
        </w:tc>
        <w:tc>
          <w:tcPr>
            <w:tcW w:w="8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5万元</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5万元</w:t>
            </w: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8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81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53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1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购买5万元试剂盒，对牧渔产品进行检测</w:t>
            </w:r>
          </w:p>
        </w:tc>
        <w:tc>
          <w:tcPr>
            <w:tcW w:w="353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购买5万元试剂盒</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75" w:hRule="atLeast"/>
        </w:trPr>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95"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 检测试剂使用率</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 政府采购率</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 购置质量合格率</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 资金到位及时性</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1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 牧渔产品质量安全率</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2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 不发生畜产品安全事件</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全区不发生畜产品质量安全事件</w:t>
            </w:r>
          </w:p>
        </w:tc>
        <w:tc>
          <w:tcPr>
            <w:tcW w:w="8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全区未发生畜产品质量安全事件</w:t>
            </w:r>
          </w:p>
        </w:tc>
        <w:tc>
          <w:tcPr>
            <w:tcW w:w="10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生态效益指标</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  服务对象满意度</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6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6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35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20" w:hRule="atLeast"/>
        </w:trPr>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389"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8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填报人：赵锁林</w:t>
            </w:r>
          </w:p>
        </w:tc>
        <w:tc>
          <w:tcPr>
            <w:tcW w:w="126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3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1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8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联系电话：13930188807</w:t>
            </w:r>
          </w:p>
        </w:tc>
        <w:tc>
          <w:tcPr>
            <w:tcW w:w="86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6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3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牛定点屠宰补贴资金</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牛定点屠宰补贴资金</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11.048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11.048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产出指标</w:t>
      </w:r>
      <w:r>
        <w:rPr>
          <w:rFonts w:hint="eastAsia" w:ascii="仿宋_GB2312" w:hAnsi="仿宋_GB2312" w:eastAsia="仿宋_GB2312" w:cs="仿宋_GB2312"/>
          <w:sz w:val="32"/>
          <w:szCs w:val="32"/>
          <w:lang w:val="en-US" w:eastAsia="zh-CN"/>
        </w:rPr>
        <w:t>40分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预算执行率指标</w:t>
      </w:r>
      <w:r>
        <w:rPr>
          <w:rFonts w:hint="eastAsia" w:ascii="仿宋_GB2312" w:hAnsi="仿宋_GB2312" w:eastAsia="仿宋_GB2312" w:cs="仿宋_GB2312"/>
          <w:sz w:val="32"/>
          <w:szCs w:val="32"/>
          <w:lang w:val="en-US" w:eastAsia="zh-CN"/>
        </w:rPr>
        <w:t>10分；三是效益指标40分；四是满意度指标10分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执行中未</w:t>
      </w:r>
      <w:r>
        <w:rPr>
          <w:rFonts w:hint="eastAsia" w:ascii="仿宋_GB2312" w:hAnsi="仿宋_GB2312" w:eastAsia="仿宋_GB2312" w:cs="仿宋_GB2312"/>
          <w:sz w:val="32"/>
          <w:szCs w:val="32"/>
        </w:rPr>
        <w:t>发现问题</w:t>
      </w:r>
      <w:r>
        <w:rPr>
          <w:rFonts w:hint="eastAsia" w:ascii="仿宋_GB2312" w:hAnsi="仿宋_GB2312" w:eastAsia="仿宋_GB2312" w:cs="仿宋_GB2312"/>
          <w:sz w:val="32"/>
          <w:szCs w:val="32"/>
          <w:lang w:eastAsia="zh-CN"/>
        </w:rPr>
        <w:t>。</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169"/>
        <w:gridCol w:w="1038"/>
        <w:gridCol w:w="691"/>
        <w:gridCol w:w="747"/>
        <w:gridCol w:w="1633"/>
        <w:gridCol w:w="827"/>
        <w:gridCol w:w="827"/>
        <w:gridCol w:w="9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填报单位：藁城区畜牧工作总站</w:t>
            </w:r>
          </w:p>
        </w:tc>
        <w:tc>
          <w:tcPr>
            <w:tcW w:w="103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69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4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3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2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69"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21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43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牛定点屠宰补贴资金</w:t>
            </w:r>
          </w:p>
        </w:tc>
        <w:tc>
          <w:tcPr>
            <w:tcW w:w="16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259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17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16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6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11.048</w:t>
            </w:r>
          </w:p>
        </w:tc>
        <w:tc>
          <w:tcPr>
            <w:tcW w:w="7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11.048</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11.048</w:t>
            </w:r>
          </w:p>
        </w:tc>
        <w:tc>
          <w:tcPr>
            <w:tcW w:w="9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6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11.048</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11.048</w:t>
            </w:r>
          </w:p>
        </w:tc>
        <w:tc>
          <w:tcPr>
            <w:tcW w:w="8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11.048</w:t>
            </w:r>
          </w:p>
        </w:tc>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6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6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2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35"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7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按照牛定点屠宰企业申报数给与补贴</w:t>
            </w:r>
          </w:p>
        </w:tc>
        <w:tc>
          <w:tcPr>
            <w:tcW w:w="32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按申报数补贴到位</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75" w:hRule="atLeast"/>
        </w:trPr>
        <w:tc>
          <w:tcPr>
            <w:tcW w:w="21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6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6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补贴资金发放率</w:t>
            </w:r>
          </w:p>
        </w:tc>
        <w:tc>
          <w:tcPr>
            <w:tcW w:w="8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合格肉品出厂率</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资金到位率</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资金到位及时性</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6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预算率=执行数/预算数*100%）</w:t>
            </w:r>
          </w:p>
        </w:tc>
        <w:tc>
          <w:tcPr>
            <w:tcW w:w="8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效益指标</w:t>
            </w:r>
            <w:r>
              <w:rPr>
                <w:rFonts w:hint="eastAsia" w:ascii="仿宋" w:hAnsi="仿宋" w:eastAsia="仿宋" w:cs="仿宋"/>
                <w:i w:val="0"/>
                <w:color w:val="000000"/>
                <w:kern w:val="0"/>
                <w:sz w:val="22"/>
                <w:szCs w:val="22"/>
                <w:u w:val="none"/>
                <w:lang w:val="en-US" w:eastAsia="zh-CN" w:bidi="ar"/>
              </w:rPr>
              <w:br w:type="textWrapping"/>
            </w:r>
            <w:r>
              <w:rPr>
                <w:rFonts w:hint="eastAsia" w:ascii="仿宋" w:hAnsi="仿宋" w:eastAsia="仿宋" w:cs="仿宋"/>
                <w:i w:val="0"/>
                <w:color w:val="000000"/>
                <w:kern w:val="0"/>
                <w:sz w:val="22"/>
                <w:szCs w:val="22"/>
                <w:u w:val="none"/>
                <w:lang w:val="en-US" w:eastAsia="zh-CN" w:bidi="ar"/>
              </w:rPr>
              <w:t>（40分）</w:t>
            </w:r>
          </w:p>
        </w:tc>
        <w:tc>
          <w:tcPr>
            <w:tcW w:w="6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经济效益</w:t>
            </w:r>
            <w:r>
              <w:rPr>
                <w:rFonts w:hint="eastAsia" w:ascii="仿宋" w:hAnsi="仿宋" w:eastAsia="仿宋" w:cs="仿宋"/>
                <w:i w:val="0"/>
                <w:color w:val="000000"/>
                <w:kern w:val="0"/>
                <w:sz w:val="22"/>
                <w:szCs w:val="22"/>
                <w:u w:val="none"/>
                <w:lang w:val="en-US" w:eastAsia="zh-CN" w:bidi="ar"/>
              </w:rPr>
              <w:br w:type="textWrapping"/>
            </w:r>
            <w:r>
              <w:rPr>
                <w:rFonts w:hint="eastAsia" w:ascii="仿宋" w:hAnsi="仿宋" w:eastAsia="仿宋" w:cs="仿宋"/>
                <w:i w:val="0"/>
                <w:color w:val="000000"/>
                <w:kern w:val="0"/>
                <w:sz w:val="22"/>
                <w:szCs w:val="22"/>
                <w:u w:val="none"/>
                <w:lang w:val="en-US" w:eastAsia="zh-CN" w:bidi="ar"/>
              </w:rPr>
              <w:t>指标</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减少屠宰企业负担</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11.048万元</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11.048万元</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指标2</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社会效益</w:t>
            </w:r>
            <w:r>
              <w:rPr>
                <w:rFonts w:hint="eastAsia" w:ascii="仿宋" w:hAnsi="仿宋" w:eastAsia="仿宋" w:cs="仿宋"/>
                <w:i w:val="0"/>
                <w:color w:val="000000"/>
                <w:kern w:val="0"/>
                <w:sz w:val="22"/>
                <w:szCs w:val="22"/>
                <w:u w:val="none"/>
                <w:lang w:val="en-US" w:eastAsia="zh-CN" w:bidi="ar"/>
              </w:rPr>
              <w:br w:type="textWrapping"/>
            </w:r>
            <w:r>
              <w:rPr>
                <w:rFonts w:hint="eastAsia" w:ascii="仿宋" w:hAnsi="仿宋" w:eastAsia="仿宋" w:cs="仿宋"/>
                <w:i w:val="0"/>
                <w:color w:val="000000"/>
                <w:kern w:val="0"/>
                <w:sz w:val="22"/>
                <w:szCs w:val="22"/>
                <w:u w:val="none"/>
                <w:lang w:val="en-US" w:eastAsia="zh-CN" w:bidi="ar"/>
              </w:rPr>
              <w:t>指标</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私屠滥宰率降低</w:t>
            </w:r>
          </w:p>
        </w:tc>
        <w:tc>
          <w:tcPr>
            <w:tcW w:w="8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保证人民吃上放心肉</w:t>
            </w:r>
          </w:p>
        </w:tc>
        <w:tc>
          <w:tcPr>
            <w:tcW w:w="8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生态效益指标</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指标1</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仿宋" w:hAnsi="仿宋" w:eastAsia="仿宋" w:cs="仿宋"/>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指标2</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仿宋" w:hAnsi="仿宋" w:eastAsia="仿宋" w:cs="仿宋"/>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可持续影响指标</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保障行业健康发展</w:t>
            </w:r>
          </w:p>
        </w:tc>
        <w:tc>
          <w:tcPr>
            <w:tcW w:w="8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指标2</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满意度指标</w:t>
            </w:r>
            <w:r>
              <w:rPr>
                <w:rFonts w:hint="eastAsia" w:ascii="仿宋" w:hAnsi="仿宋" w:eastAsia="仿宋" w:cs="仿宋"/>
                <w:i w:val="0"/>
                <w:color w:val="000000"/>
                <w:kern w:val="0"/>
                <w:sz w:val="22"/>
                <w:szCs w:val="22"/>
                <w:u w:val="none"/>
                <w:lang w:val="en-US" w:eastAsia="zh-CN" w:bidi="ar"/>
              </w:rPr>
              <w:br w:type="textWrapping"/>
            </w:r>
            <w:r>
              <w:rPr>
                <w:rFonts w:hint="eastAsia" w:ascii="仿宋" w:hAnsi="仿宋" w:eastAsia="仿宋" w:cs="仿宋"/>
                <w:i w:val="0"/>
                <w:color w:val="000000"/>
                <w:kern w:val="0"/>
                <w:sz w:val="22"/>
                <w:szCs w:val="22"/>
                <w:u w:val="none"/>
                <w:lang w:val="en-US" w:eastAsia="zh-CN" w:bidi="ar"/>
              </w:rPr>
              <w:t>（10分）</w:t>
            </w:r>
          </w:p>
        </w:tc>
        <w:tc>
          <w:tcPr>
            <w:tcW w:w="6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满意度</w:t>
            </w:r>
            <w:r>
              <w:rPr>
                <w:rFonts w:hint="eastAsia" w:ascii="仿宋" w:hAnsi="仿宋" w:eastAsia="仿宋" w:cs="仿宋"/>
                <w:i w:val="0"/>
                <w:color w:val="000000"/>
                <w:kern w:val="0"/>
                <w:sz w:val="22"/>
                <w:szCs w:val="22"/>
                <w:u w:val="none"/>
                <w:lang w:val="en-US" w:eastAsia="zh-CN" w:bidi="ar"/>
              </w:rPr>
              <w:br w:type="textWrapping"/>
            </w:r>
            <w:r>
              <w:rPr>
                <w:rFonts w:hint="eastAsia" w:ascii="仿宋" w:hAnsi="仿宋" w:eastAsia="仿宋" w:cs="仿宋"/>
                <w:i w:val="0"/>
                <w:color w:val="000000"/>
                <w:kern w:val="0"/>
                <w:sz w:val="22"/>
                <w:szCs w:val="22"/>
                <w:u w:val="none"/>
                <w:lang w:val="en-US" w:eastAsia="zh-CN" w:bidi="ar"/>
              </w:rPr>
              <w:t>指标</w:t>
            </w: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牛定点屠宰企业满意度</w:t>
            </w:r>
          </w:p>
        </w:tc>
        <w:tc>
          <w:tcPr>
            <w:tcW w:w="8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82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100%</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指标2</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103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6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23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w:t>
            </w: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8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5763"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总分 100</w:t>
            </w:r>
          </w:p>
        </w:tc>
        <w:tc>
          <w:tcPr>
            <w:tcW w:w="9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05" w:hRule="atLeast"/>
        </w:trPr>
        <w:tc>
          <w:tcPr>
            <w:tcW w:w="2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五、存在问题、原因及下一步整改措施</w:t>
            </w:r>
          </w:p>
        </w:tc>
        <w:tc>
          <w:tcPr>
            <w:tcW w:w="670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216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填报人：高玺涛</w:t>
            </w:r>
          </w:p>
        </w:tc>
        <w:tc>
          <w:tcPr>
            <w:tcW w:w="1038" w:type="dxa"/>
            <w:tcBorders>
              <w:top w:val="nil"/>
              <w:left w:val="nil"/>
              <w:bottom w:val="nil"/>
              <w:right w:val="nil"/>
            </w:tcBorders>
            <w:shd w:val="clear" w:color="auto" w:fill="auto"/>
            <w:noWrap/>
            <w:tcMar>
              <w:top w:w="15" w:type="dxa"/>
              <w:left w:w="15" w:type="dxa"/>
              <w:right w:w="15" w:type="dxa"/>
            </w:tcMar>
            <w:vAlign w:val="center"/>
          </w:tcPr>
          <w:p>
            <w:pPr>
              <w:rPr>
                <w:rFonts w:hint="eastAsia" w:ascii="仿宋" w:hAnsi="仿宋" w:eastAsia="仿宋" w:cs="仿宋"/>
                <w:i w:val="0"/>
                <w:color w:val="000000"/>
                <w:sz w:val="22"/>
                <w:szCs w:val="22"/>
                <w:u w:val="none"/>
              </w:rPr>
            </w:pPr>
          </w:p>
        </w:tc>
        <w:tc>
          <w:tcPr>
            <w:tcW w:w="691" w:type="dxa"/>
            <w:tcBorders>
              <w:top w:val="nil"/>
              <w:left w:val="nil"/>
              <w:bottom w:val="nil"/>
              <w:right w:val="nil"/>
            </w:tcBorders>
            <w:shd w:val="clear" w:color="auto" w:fill="auto"/>
            <w:noWrap/>
            <w:tcMar>
              <w:top w:w="15" w:type="dxa"/>
              <w:left w:w="15" w:type="dxa"/>
              <w:right w:w="15" w:type="dxa"/>
            </w:tcMar>
            <w:vAlign w:val="center"/>
          </w:tcPr>
          <w:p>
            <w:pPr>
              <w:rPr>
                <w:rFonts w:hint="eastAsia" w:ascii="仿宋" w:hAnsi="仿宋" w:eastAsia="仿宋" w:cs="仿宋"/>
                <w:i w:val="0"/>
                <w:color w:val="000000"/>
                <w:sz w:val="22"/>
                <w:szCs w:val="22"/>
                <w:u w:val="none"/>
              </w:rPr>
            </w:pPr>
          </w:p>
        </w:tc>
        <w:tc>
          <w:tcPr>
            <w:tcW w:w="747" w:type="dxa"/>
            <w:tcBorders>
              <w:top w:val="nil"/>
              <w:left w:val="nil"/>
              <w:bottom w:val="nil"/>
              <w:right w:val="nil"/>
            </w:tcBorders>
            <w:shd w:val="clear" w:color="auto" w:fill="auto"/>
            <w:noWrap/>
            <w:tcMar>
              <w:top w:w="15" w:type="dxa"/>
              <w:left w:w="15" w:type="dxa"/>
              <w:right w:w="15" w:type="dxa"/>
            </w:tcMar>
            <w:vAlign w:val="center"/>
          </w:tcPr>
          <w:p>
            <w:pPr>
              <w:rPr>
                <w:rFonts w:hint="eastAsia" w:ascii="仿宋" w:hAnsi="仿宋" w:eastAsia="仿宋" w:cs="仿宋"/>
                <w:i w:val="0"/>
                <w:color w:val="000000"/>
                <w:sz w:val="22"/>
                <w:szCs w:val="22"/>
                <w:u w:val="none"/>
              </w:rPr>
            </w:pPr>
          </w:p>
        </w:tc>
        <w:tc>
          <w:tcPr>
            <w:tcW w:w="163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仿宋" w:hAnsi="仿宋" w:eastAsia="仿宋" w:cs="仿宋"/>
                <w:i w:val="0"/>
                <w:color w:val="000000"/>
                <w:sz w:val="22"/>
                <w:szCs w:val="22"/>
                <w:u w:val="none"/>
              </w:rPr>
            </w:pPr>
            <w:r>
              <w:rPr>
                <w:rFonts w:hint="eastAsia" w:ascii="仿宋" w:hAnsi="仿宋" w:eastAsia="仿宋" w:cs="仿宋"/>
                <w:i w:val="0"/>
                <w:color w:val="000000"/>
                <w:kern w:val="0"/>
                <w:sz w:val="22"/>
                <w:szCs w:val="22"/>
                <w:u w:val="none"/>
                <w:lang w:val="en-US" w:eastAsia="zh-CN" w:bidi="ar"/>
              </w:rPr>
              <w:t>联系电话：13930157027</w:t>
            </w:r>
          </w:p>
        </w:tc>
        <w:tc>
          <w:tcPr>
            <w:tcW w:w="82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827"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c>
          <w:tcPr>
            <w:tcW w:w="942"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仿宋" w:hAnsi="仿宋" w:eastAsia="仿宋" w:cs="仿宋"/>
                <w:i w:val="0"/>
                <w:color w:val="000000"/>
                <w:sz w:val="22"/>
                <w:szCs w:val="22"/>
                <w:u w:val="none"/>
              </w:rPr>
            </w:pPr>
          </w:p>
        </w:tc>
      </w:tr>
    </w:tbl>
    <w:p>
      <w:pPr>
        <w:numPr>
          <w:ilvl w:val="0"/>
          <w:numId w:val="0"/>
        </w:numPr>
        <w:adjustRightInd w:val="0"/>
        <w:snapToGrid w:val="0"/>
        <w:spacing w:line="580" w:lineRule="exact"/>
        <w:rPr>
          <w:rFonts w:hint="eastAsia" w:ascii="仿宋" w:hAnsi="仿宋" w:eastAsia="仿宋" w:cs="仿宋"/>
          <w:sz w:val="32"/>
          <w:szCs w:val="32"/>
        </w:rPr>
      </w:pPr>
    </w:p>
    <w:p>
      <w:pPr>
        <w:numPr>
          <w:ilvl w:val="0"/>
          <w:numId w:val="3"/>
        </w:numPr>
        <w:adjustRightInd w:val="0"/>
        <w:snapToGrid w:val="0"/>
        <w:spacing w:line="580" w:lineRule="exact"/>
        <w:ind w:left="-10" w:leftChars="0" w:firstLine="640" w:firstLineChars="0"/>
        <w:rPr>
          <w:rFonts w:hint="eastAsia" w:ascii="仿宋" w:hAnsi="仿宋" w:eastAsia="仿宋" w:cs="仿宋"/>
          <w:sz w:val="32"/>
          <w:szCs w:val="32"/>
        </w:rPr>
      </w:pPr>
      <w:r>
        <w:rPr>
          <w:rFonts w:hint="eastAsia" w:ascii="仿宋" w:hAnsi="仿宋" w:eastAsia="仿宋" w:cs="仿宋"/>
          <w:sz w:val="32"/>
          <w:szCs w:val="32"/>
          <w:lang w:eastAsia="zh-CN"/>
        </w:rPr>
        <w:t>非洲猪瘟防控工作经费</w:t>
      </w:r>
      <w:r>
        <w:rPr>
          <w:rFonts w:hint="eastAsia" w:ascii="仿宋" w:hAnsi="仿宋" w:eastAsia="仿宋" w:cs="仿宋"/>
          <w:sz w:val="32"/>
          <w:szCs w:val="32"/>
        </w:rPr>
        <w:t>自评综述：根据年初设定的绩效目标，</w:t>
      </w:r>
      <w:r>
        <w:rPr>
          <w:rFonts w:hint="eastAsia" w:ascii="仿宋" w:hAnsi="仿宋" w:eastAsia="仿宋" w:cs="仿宋"/>
          <w:sz w:val="32"/>
          <w:szCs w:val="32"/>
          <w:lang w:eastAsia="zh-CN"/>
        </w:rPr>
        <w:t>非洲猪瘟防控工作经费</w:t>
      </w:r>
      <w:r>
        <w:rPr>
          <w:rFonts w:hint="eastAsia" w:ascii="仿宋" w:hAnsi="仿宋" w:eastAsia="仿宋" w:cs="仿宋"/>
          <w:sz w:val="32"/>
          <w:szCs w:val="32"/>
        </w:rPr>
        <w:t>绩效自评得分为</w:t>
      </w:r>
      <w:r>
        <w:rPr>
          <w:rFonts w:hint="eastAsia" w:ascii="仿宋" w:hAnsi="仿宋" w:eastAsia="仿宋" w:cs="仿宋"/>
          <w:sz w:val="32"/>
          <w:szCs w:val="32"/>
          <w:lang w:val="en-US" w:eastAsia="zh-CN"/>
        </w:rPr>
        <w:t>100</w:t>
      </w:r>
      <w:r>
        <w:rPr>
          <w:rFonts w:hint="eastAsia" w:ascii="仿宋" w:hAnsi="仿宋" w:eastAsia="仿宋" w:cs="仿宋"/>
          <w:sz w:val="32"/>
          <w:szCs w:val="32"/>
        </w:rPr>
        <w:t>分（绩效自评表附后）。全年预算数为</w:t>
      </w:r>
      <w:r>
        <w:rPr>
          <w:rFonts w:hint="eastAsia" w:ascii="仿宋" w:hAnsi="仿宋" w:eastAsia="仿宋" w:cs="仿宋"/>
          <w:sz w:val="32"/>
          <w:szCs w:val="32"/>
          <w:lang w:val="en-US" w:eastAsia="zh-CN"/>
        </w:rPr>
        <w:t>29.5</w:t>
      </w:r>
      <w:r>
        <w:rPr>
          <w:rFonts w:hint="eastAsia" w:ascii="仿宋" w:hAnsi="仿宋" w:eastAsia="仿宋" w:cs="仿宋"/>
          <w:sz w:val="32"/>
          <w:szCs w:val="32"/>
        </w:rPr>
        <w:t>万元，执行数为</w:t>
      </w:r>
      <w:r>
        <w:rPr>
          <w:rFonts w:hint="eastAsia" w:ascii="仿宋" w:hAnsi="仿宋" w:eastAsia="仿宋" w:cs="仿宋"/>
          <w:sz w:val="32"/>
          <w:szCs w:val="32"/>
          <w:lang w:val="en-US" w:eastAsia="zh-CN"/>
        </w:rPr>
        <w:t>29.5</w:t>
      </w:r>
      <w:r>
        <w:rPr>
          <w:rFonts w:hint="eastAsia" w:ascii="仿宋" w:hAnsi="仿宋" w:eastAsia="仿宋" w:cs="仿宋"/>
          <w:sz w:val="32"/>
          <w:szCs w:val="32"/>
        </w:rPr>
        <w:t>万元，完成预算的</w:t>
      </w:r>
      <w:r>
        <w:rPr>
          <w:rFonts w:hint="eastAsia" w:ascii="仿宋" w:hAnsi="仿宋" w:eastAsia="仿宋" w:cs="仿宋"/>
          <w:sz w:val="32"/>
          <w:szCs w:val="32"/>
          <w:lang w:val="en-US" w:eastAsia="zh-CN"/>
        </w:rPr>
        <w:t>100%</w:t>
      </w:r>
      <w:r>
        <w:rPr>
          <w:rFonts w:hint="eastAsia" w:ascii="仿宋" w:hAnsi="仿宋" w:eastAsia="仿宋" w:cs="仿宋"/>
          <w:sz w:val="32"/>
          <w:szCs w:val="32"/>
        </w:rPr>
        <w:t>。项目绩效目标完成情况：一是</w:t>
      </w:r>
      <w:r>
        <w:rPr>
          <w:rFonts w:hint="eastAsia" w:ascii="仿宋" w:hAnsi="仿宋" w:eastAsia="仿宋" w:cs="仿宋"/>
          <w:sz w:val="32"/>
          <w:szCs w:val="32"/>
          <w:lang w:eastAsia="zh-CN"/>
        </w:rPr>
        <w:t>产出指标</w:t>
      </w:r>
      <w:r>
        <w:rPr>
          <w:rFonts w:hint="eastAsia" w:ascii="仿宋" w:hAnsi="仿宋" w:eastAsia="仿宋" w:cs="仿宋"/>
          <w:sz w:val="32"/>
          <w:szCs w:val="32"/>
          <w:lang w:val="en-US" w:eastAsia="zh-CN"/>
        </w:rPr>
        <w:t>40分</w:t>
      </w:r>
      <w:r>
        <w:rPr>
          <w:rFonts w:hint="eastAsia" w:ascii="仿宋" w:hAnsi="仿宋" w:eastAsia="仿宋" w:cs="仿宋"/>
          <w:sz w:val="32"/>
          <w:szCs w:val="32"/>
        </w:rPr>
        <w:t>；二是</w:t>
      </w:r>
      <w:r>
        <w:rPr>
          <w:rFonts w:hint="eastAsia" w:ascii="仿宋" w:hAnsi="仿宋" w:eastAsia="仿宋" w:cs="仿宋"/>
          <w:sz w:val="32"/>
          <w:szCs w:val="32"/>
          <w:lang w:eastAsia="zh-CN"/>
        </w:rPr>
        <w:t>预算执行率指标</w:t>
      </w:r>
      <w:r>
        <w:rPr>
          <w:rFonts w:hint="eastAsia" w:ascii="仿宋" w:hAnsi="仿宋" w:eastAsia="仿宋" w:cs="仿宋"/>
          <w:sz w:val="32"/>
          <w:szCs w:val="32"/>
          <w:lang w:val="en-US" w:eastAsia="zh-CN"/>
        </w:rPr>
        <w:t>10分；三是效益指标40分；四是满意度指标10分</w:t>
      </w:r>
      <w:r>
        <w:rPr>
          <w:rFonts w:hint="eastAsia" w:ascii="仿宋" w:hAnsi="仿宋" w:eastAsia="仿宋" w:cs="仿宋"/>
          <w:sz w:val="32"/>
          <w:szCs w:val="32"/>
        </w:rPr>
        <w:t>。发现的主要问题及原因：</w:t>
      </w:r>
      <w:r>
        <w:rPr>
          <w:rFonts w:hint="eastAsia" w:ascii="仿宋" w:hAnsi="仿宋" w:eastAsia="仿宋" w:cs="仿宋"/>
          <w:i w:val="0"/>
          <w:color w:val="000000"/>
          <w:kern w:val="0"/>
          <w:sz w:val="32"/>
          <w:szCs w:val="32"/>
          <w:u w:val="none"/>
          <w:lang w:val="en-US" w:eastAsia="zh-CN" w:bidi="ar"/>
        </w:rPr>
        <w:t>非洲猪瘟防控工作是一项长期的工作，高效消毒药品有时效性，不能长时间储存，对后期非洲猪瘟防控工作产生不利影响。</w:t>
      </w:r>
      <w:r>
        <w:rPr>
          <w:rFonts w:hint="eastAsia" w:ascii="仿宋" w:hAnsi="仿宋" w:eastAsia="仿宋" w:cs="仿宋"/>
          <w:sz w:val="32"/>
          <w:szCs w:val="32"/>
        </w:rPr>
        <w:t>下一步改进措施：</w:t>
      </w:r>
      <w:r>
        <w:rPr>
          <w:rFonts w:hint="eastAsia" w:ascii="仿宋" w:hAnsi="仿宋" w:eastAsia="仿宋" w:cs="仿宋"/>
          <w:i w:val="0"/>
          <w:color w:val="000000"/>
          <w:kern w:val="0"/>
          <w:sz w:val="32"/>
          <w:szCs w:val="32"/>
          <w:u w:val="none"/>
          <w:lang w:val="en-US" w:eastAsia="zh-CN" w:bidi="ar"/>
        </w:rPr>
        <w:t>建议区财政针对非洲猪瘟防控专门列出储备金，一旦疫情发生，能够第一时间采购大量的防疫物资。</w:t>
      </w:r>
    </w:p>
    <w:p>
      <w:pPr>
        <w:numPr>
          <w:ilvl w:val="0"/>
          <w:numId w:val="0"/>
        </w:numPr>
        <w:adjustRightInd w:val="0"/>
        <w:snapToGrid w:val="0"/>
        <w:spacing w:line="580" w:lineRule="exact"/>
        <w:ind w:left="630" w:leftChars="0"/>
        <w:rPr>
          <w:rFonts w:ascii="仿宋_GB2312" w:hAnsi="仿宋_GB2312" w:eastAsia="仿宋_GB2312" w:cs="仿宋_GB2312"/>
          <w:sz w:val="32"/>
          <w:szCs w:val="32"/>
        </w:rPr>
      </w:pP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27"/>
        <w:gridCol w:w="1225"/>
        <w:gridCol w:w="820"/>
        <w:gridCol w:w="1141"/>
        <w:gridCol w:w="1052"/>
        <w:gridCol w:w="976"/>
        <w:gridCol w:w="1055"/>
        <w:gridCol w:w="12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3372"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填报单位：区畜牧工作总站</w:t>
            </w:r>
          </w:p>
        </w:tc>
        <w:tc>
          <w:tcPr>
            <w:tcW w:w="11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7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33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非洲猪瘟防控工作经费</w:t>
            </w:r>
          </w:p>
        </w:tc>
        <w:tc>
          <w:tcPr>
            <w:tcW w:w="10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3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3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w:t>
            </w:r>
          </w:p>
        </w:tc>
        <w:tc>
          <w:tcPr>
            <w:tcW w:w="11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w:t>
            </w:r>
          </w:p>
        </w:tc>
        <w:tc>
          <w:tcPr>
            <w:tcW w:w="12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29.5</w:t>
            </w: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6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18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扎实做好非洲猪瘟疫情防控工作，积极部署落实各项防控措施，为动物疫病防控工作提供坚强后盾，确保动物疫病防控有利开展。</w:t>
            </w:r>
          </w:p>
        </w:tc>
        <w:tc>
          <w:tcPr>
            <w:tcW w:w="30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全部完成</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人员补贴发放率</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设备购置合格率 </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 xml:space="preserve">设备购置验收通过率 </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资金到位及时性</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业务保障能力提升情况</w:t>
            </w:r>
          </w:p>
        </w:tc>
        <w:tc>
          <w:tcPr>
            <w:tcW w:w="9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显著提升</w:t>
            </w:r>
          </w:p>
        </w:tc>
        <w:tc>
          <w:tcPr>
            <w:tcW w:w="10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显著提升</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社会服务能力提升</w:t>
            </w:r>
          </w:p>
        </w:tc>
        <w:tc>
          <w:tcPr>
            <w:tcW w:w="97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显著提升</w:t>
            </w:r>
          </w:p>
        </w:tc>
        <w:tc>
          <w:tcPr>
            <w:tcW w:w="10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显著提升</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受益群体满意度</w:t>
            </w: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80%以上</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269"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05" w:hRule="atLeast"/>
        </w:trPr>
        <w:tc>
          <w:tcPr>
            <w:tcW w:w="13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4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非洲猪瘟防控工作是一项长期的工作，高效消毒药品有时效性，不能长时间储存，对后期非洲猪瘟防控工作产生不利影响。建议区财政针对非洲猪瘟防控专门列出储备金，一旦疫情发生，能够第一时间采购大量的防疫物资，迅速消灭非洲猪瘟疫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22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李丽华</w:t>
            </w:r>
          </w:p>
        </w:tc>
        <w:tc>
          <w:tcPr>
            <w:tcW w:w="8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97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88108887</w:t>
            </w:r>
          </w:p>
        </w:tc>
        <w:tc>
          <w:tcPr>
            <w:tcW w:w="10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3"/>
        </w:numPr>
        <w:adjustRightInd w:val="0"/>
        <w:snapToGrid w:val="0"/>
        <w:spacing w:line="580" w:lineRule="exact"/>
        <w:ind w:left="-10" w:leftChars="0" w:firstLine="640" w:firstLineChars="0"/>
        <w:rPr>
          <w:rFonts w:ascii="仿宋_GB2312" w:hAnsi="仿宋_GB2312" w:eastAsia="仿宋_GB2312" w:cs="仿宋_GB2312"/>
          <w:color w:val="FF0000"/>
          <w:sz w:val="32"/>
          <w:szCs w:val="32"/>
        </w:rPr>
      </w:pPr>
      <w:r>
        <w:rPr>
          <w:rFonts w:hint="eastAsia" w:ascii="仿宋_GB2312" w:hAnsi="仿宋_GB2312" w:eastAsia="仿宋_GB2312" w:cs="仿宋_GB2312"/>
          <w:sz w:val="32"/>
          <w:szCs w:val="32"/>
          <w:lang w:eastAsia="zh-CN"/>
        </w:rPr>
        <w:t>购置检测非洲猪瘟仪器设备资金</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购置检测非洲猪瘟仪器设备资金</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38.785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38.785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产出指标</w:t>
      </w:r>
      <w:r>
        <w:rPr>
          <w:rFonts w:hint="eastAsia" w:ascii="仿宋_GB2312" w:hAnsi="仿宋_GB2312" w:eastAsia="仿宋_GB2312" w:cs="仿宋_GB2312"/>
          <w:sz w:val="32"/>
          <w:szCs w:val="32"/>
          <w:lang w:val="en-US" w:eastAsia="zh-CN"/>
        </w:rPr>
        <w:t>40分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预算执行率指标</w:t>
      </w:r>
      <w:r>
        <w:rPr>
          <w:rFonts w:hint="eastAsia" w:ascii="仿宋_GB2312" w:hAnsi="仿宋_GB2312" w:eastAsia="仿宋_GB2312" w:cs="仿宋_GB2312"/>
          <w:sz w:val="32"/>
          <w:szCs w:val="32"/>
          <w:lang w:val="en-US" w:eastAsia="zh-CN"/>
        </w:rPr>
        <w:t>10分；三是效益指标40分；四是满意度指标10分</w:t>
      </w:r>
      <w:r>
        <w:rPr>
          <w:rFonts w:hint="eastAsia" w:ascii="仿宋_GB2312" w:hAnsi="仿宋_GB2312" w:eastAsia="仿宋_GB2312" w:cs="仿宋_GB2312"/>
          <w:sz w:val="32"/>
          <w:szCs w:val="32"/>
        </w:rPr>
        <w:t>。发现的主要问题及原因：</w:t>
      </w:r>
      <w:r>
        <w:rPr>
          <w:rFonts w:hint="eastAsia" w:ascii="仿宋" w:hAnsi="仿宋" w:eastAsia="仿宋" w:cs="仿宋"/>
          <w:i w:val="0"/>
          <w:color w:val="000000"/>
          <w:kern w:val="0"/>
          <w:sz w:val="32"/>
          <w:szCs w:val="32"/>
          <w:u w:val="none"/>
          <w:lang w:val="en-US" w:eastAsia="zh-CN" w:bidi="ar"/>
        </w:rPr>
        <w:t>随着检测数量的增加，检测试剂费用也在成比例增加，致使检测费用明显不足。</w:t>
      </w:r>
      <w:r>
        <w:rPr>
          <w:rFonts w:hint="eastAsia" w:ascii="仿宋" w:hAnsi="仿宋" w:eastAsia="仿宋" w:cs="仿宋"/>
          <w:sz w:val="32"/>
          <w:szCs w:val="32"/>
        </w:rPr>
        <w:t>下一步改进措施：</w:t>
      </w:r>
      <w:r>
        <w:rPr>
          <w:rFonts w:hint="eastAsia" w:ascii="仿宋" w:hAnsi="仿宋" w:eastAsia="仿宋" w:cs="仿宋"/>
          <w:i w:val="0"/>
          <w:color w:val="000000"/>
          <w:kern w:val="0"/>
          <w:sz w:val="32"/>
          <w:szCs w:val="32"/>
          <w:u w:val="none"/>
          <w:lang w:val="en-US" w:eastAsia="zh-CN" w:bidi="ar"/>
        </w:rPr>
        <w:t>区财政加大非洲猪瘟检测投入力度，增加检测数量，确保以检测结果来指导科学防控。</w:t>
      </w:r>
    </w:p>
    <w:p>
      <w:pPr>
        <w:numPr>
          <w:ilvl w:val="0"/>
          <w:numId w:val="0"/>
        </w:numPr>
        <w:adjustRightInd w:val="0"/>
        <w:snapToGrid w:val="0"/>
        <w:spacing w:line="580" w:lineRule="exact"/>
        <w:ind w:left="630" w:leftChars="0"/>
        <w:rPr>
          <w:rFonts w:ascii="仿宋_GB2312" w:hAnsi="仿宋_GB2312" w:eastAsia="仿宋_GB2312" w:cs="仿宋_GB2312"/>
          <w:color w:val="FF0000"/>
          <w:sz w:val="32"/>
          <w:szCs w:val="32"/>
        </w:rPr>
      </w:pP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27"/>
        <w:gridCol w:w="1225"/>
        <w:gridCol w:w="820"/>
        <w:gridCol w:w="1141"/>
        <w:gridCol w:w="1082"/>
        <w:gridCol w:w="946"/>
        <w:gridCol w:w="1055"/>
        <w:gridCol w:w="12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3372"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填报单位：区畜牧工作总站</w:t>
            </w:r>
          </w:p>
        </w:tc>
        <w:tc>
          <w:tcPr>
            <w:tcW w:w="11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33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购置检测非洲猪瘟仪器设备资金</w:t>
            </w:r>
          </w:p>
        </w:tc>
        <w:tc>
          <w:tcPr>
            <w:tcW w:w="10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2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0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38.785</w:t>
            </w:r>
          </w:p>
        </w:tc>
        <w:tc>
          <w:tcPr>
            <w:tcW w:w="11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38.785</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38.785</w:t>
            </w:r>
          </w:p>
        </w:tc>
        <w:tc>
          <w:tcPr>
            <w:tcW w:w="12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38.785</w:t>
            </w:r>
          </w:p>
        </w:tc>
        <w:tc>
          <w:tcPr>
            <w:tcW w:w="11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38.785</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38.785</w:t>
            </w: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8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4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18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加强仪器设备采购和实验室改造，使其具备检测非洲猪瘟的能力。</w:t>
            </w:r>
          </w:p>
        </w:tc>
        <w:tc>
          <w:tcPr>
            <w:tcW w:w="30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全部完成</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政府采购率</w:t>
            </w:r>
          </w:p>
        </w:tc>
        <w:tc>
          <w:tcPr>
            <w:tcW w:w="9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default" w:ascii="楷体_GB2312" w:hAnsi="宋体" w:eastAsia="楷体_GB2312" w:cs="楷体_GB2312"/>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购置质量合格率 </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 xml:space="preserve">购置验收通过率 </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资金到位及时性</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8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业务保障能力提升情况</w:t>
            </w:r>
          </w:p>
        </w:tc>
        <w:tc>
          <w:tcPr>
            <w:tcW w:w="94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显著提升</w:t>
            </w:r>
          </w:p>
        </w:tc>
        <w:tc>
          <w:tcPr>
            <w:tcW w:w="10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显著提升</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公共服务水平提升情况</w:t>
            </w:r>
          </w:p>
        </w:tc>
        <w:tc>
          <w:tcPr>
            <w:tcW w:w="946"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显著提升</w:t>
            </w:r>
          </w:p>
        </w:tc>
        <w:tc>
          <w:tcPr>
            <w:tcW w:w="105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显著提升</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受益群体满意度</w:t>
            </w: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80%以上</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2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4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269"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05" w:hRule="atLeast"/>
        </w:trPr>
        <w:tc>
          <w:tcPr>
            <w:tcW w:w="13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4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非洲猪瘟检测项目的开展，为非洲猪瘟防控工作提供了有效技术支撑，随着检测数量的增加，检测试剂费用也在成比例增加，致使检测费用明显不足。建议区财政加大非洲猪瘟检测投入力度，增加检测数量，确保以检测结果来指导科学防控，给养殖场带来更大经济效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22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李丽华</w:t>
            </w:r>
          </w:p>
        </w:tc>
        <w:tc>
          <w:tcPr>
            <w:tcW w:w="8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41"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94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88108887</w:t>
            </w:r>
          </w:p>
        </w:tc>
        <w:tc>
          <w:tcPr>
            <w:tcW w:w="10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3"/>
        </w:numPr>
        <w:adjustRightInd w:val="0"/>
        <w:snapToGrid w:val="0"/>
        <w:spacing w:line="580" w:lineRule="exact"/>
        <w:ind w:left="-10" w:leftChars="0" w:firstLine="640" w:firstLineChars="0"/>
        <w:rPr>
          <w:rFonts w:hint="eastAsia" w:ascii="仿宋" w:hAnsi="仿宋" w:eastAsia="仿宋" w:cs="仿宋"/>
          <w:sz w:val="32"/>
          <w:szCs w:val="32"/>
        </w:rPr>
      </w:pPr>
      <w:r>
        <w:rPr>
          <w:rFonts w:hint="eastAsia" w:ascii="仿宋_GB2312" w:hAnsi="仿宋_GB2312" w:eastAsia="仿宋_GB2312" w:cs="仿宋_GB2312"/>
          <w:sz w:val="32"/>
          <w:szCs w:val="32"/>
          <w:lang w:eastAsia="zh-CN"/>
        </w:rPr>
        <w:t>非洲猪瘟高速口临时检查站工作人员补助经费</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非洲猪瘟高速口临时检查站工作人员补助经费</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47.798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47.798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产出指标</w:t>
      </w:r>
      <w:r>
        <w:rPr>
          <w:rFonts w:hint="eastAsia" w:ascii="仿宋_GB2312" w:hAnsi="仿宋_GB2312" w:eastAsia="仿宋_GB2312" w:cs="仿宋_GB2312"/>
          <w:sz w:val="32"/>
          <w:szCs w:val="32"/>
          <w:lang w:val="en-US" w:eastAsia="zh-CN"/>
        </w:rPr>
        <w:t>40分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预算执行率指标</w:t>
      </w:r>
      <w:r>
        <w:rPr>
          <w:rFonts w:hint="eastAsia" w:ascii="仿宋_GB2312" w:hAnsi="仿宋_GB2312" w:eastAsia="仿宋_GB2312" w:cs="仿宋_GB2312"/>
          <w:sz w:val="32"/>
          <w:szCs w:val="32"/>
          <w:lang w:val="en-US" w:eastAsia="zh-CN"/>
        </w:rPr>
        <w:t>10分；三是效益指标40分；四是满意度指标10分</w:t>
      </w:r>
      <w:r>
        <w:rPr>
          <w:rFonts w:hint="eastAsia" w:ascii="仿宋_GB2312" w:hAnsi="仿宋_GB2312" w:eastAsia="仿宋_GB2312" w:cs="仿宋_GB2312"/>
          <w:sz w:val="32"/>
          <w:szCs w:val="32"/>
        </w:rPr>
        <w:t>。发现的主要问题及原因：</w:t>
      </w:r>
      <w:r>
        <w:rPr>
          <w:rFonts w:hint="eastAsia" w:ascii="仿宋" w:hAnsi="仿宋" w:eastAsia="仿宋" w:cs="仿宋"/>
          <w:i w:val="0"/>
          <w:color w:val="000000"/>
          <w:kern w:val="0"/>
          <w:sz w:val="32"/>
          <w:szCs w:val="32"/>
          <w:u w:val="none"/>
          <w:lang w:val="en-US" w:eastAsia="zh-CN" w:bidi="ar"/>
        </w:rPr>
        <w:t>对非洲猪瘟疫情长期防控认识不足，后期伙食和交通补贴资金下达晚，影响了检查站工作人员责任心，给非洲猪瘟防控防疫工作造成了隐患。</w:t>
      </w:r>
      <w:r>
        <w:rPr>
          <w:rFonts w:hint="eastAsia" w:ascii="仿宋" w:hAnsi="仿宋" w:eastAsia="仿宋" w:cs="仿宋"/>
          <w:sz w:val="32"/>
          <w:szCs w:val="32"/>
        </w:rPr>
        <w:t>下一步改进措施：</w:t>
      </w:r>
      <w:r>
        <w:rPr>
          <w:rFonts w:hint="eastAsia" w:ascii="仿宋" w:hAnsi="仿宋" w:eastAsia="仿宋" w:cs="仿宋"/>
          <w:i w:val="0"/>
          <w:color w:val="000000"/>
          <w:kern w:val="0"/>
          <w:sz w:val="32"/>
          <w:szCs w:val="32"/>
          <w:u w:val="none"/>
          <w:lang w:val="en-US" w:eastAsia="zh-CN" w:bidi="ar"/>
        </w:rPr>
        <w:t>及时落实伙食和交通补贴，稳定检查站工作人员思想，严防外来非洲猪瘟疫情传入我区。</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28"/>
        <w:gridCol w:w="1241"/>
        <w:gridCol w:w="819"/>
        <w:gridCol w:w="1167"/>
        <w:gridCol w:w="894"/>
        <w:gridCol w:w="1092"/>
        <w:gridCol w:w="1055"/>
        <w:gridCol w:w="12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3388"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填报单位：区畜牧工作总站</w:t>
            </w:r>
          </w:p>
        </w:tc>
        <w:tc>
          <w:tcPr>
            <w:tcW w:w="116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9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33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非洲猪瘟高速口临时检查站工作人员补助经费</w:t>
            </w:r>
          </w:p>
        </w:tc>
        <w:tc>
          <w:tcPr>
            <w:tcW w:w="8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42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47.798</w:t>
            </w:r>
          </w:p>
        </w:tc>
        <w:tc>
          <w:tcPr>
            <w:tcW w:w="1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8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47.798</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47.798</w:t>
            </w:r>
          </w:p>
        </w:tc>
        <w:tc>
          <w:tcPr>
            <w:tcW w:w="127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47.798</w:t>
            </w:r>
          </w:p>
        </w:tc>
        <w:tc>
          <w:tcPr>
            <w:tcW w:w="11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47.798</w:t>
            </w: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47.798</w:t>
            </w: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3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22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84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22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解决检查站人员吃饭、交通补贴等实际困难，保障检查站工作人员防控非洲猪瘟工作需要。</w:t>
            </w:r>
          </w:p>
        </w:tc>
        <w:tc>
          <w:tcPr>
            <w:tcW w:w="30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全部完成</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人员补贴发放率</w:t>
            </w:r>
          </w:p>
        </w:tc>
        <w:tc>
          <w:tcPr>
            <w:tcW w:w="10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资金到位率</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资金到位及时性</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资金发放及时性</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8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保障工作需要情况</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显著提升</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社会服务能力提升</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显著提升</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受益检查站工作人员满意度</w:t>
            </w: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80%以上</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80" w:hRule="atLeast"/>
        </w:trPr>
        <w:tc>
          <w:tcPr>
            <w:tcW w:w="13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268"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05" w:hRule="atLeast"/>
        </w:trPr>
        <w:tc>
          <w:tcPr>
            <w:tcW w:w="13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4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非洲猪瘟疫情长期防控认识不足，后期伙食和交通补贴资金下达晚，影响了检查站工作人员责任心，给非洲猪瘟防控防疫工作造成了隐患。及时落实伙食和交通补贴，稳定检查站工作人员思想，严防外来非洲猪瘟疫情传入我区。</w:t>
            </w: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动物卫生监督所目标奖精神文明奖</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动物卫生监督所目标奖精神文明奖</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168.18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168.18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产出指标</w:t>
      </w:r>
      <w:r>
        <w:rPr>
          <w:rFonts w:hint="eastAsia" w:ascii="仿宋_GB2312" w:hAnsi="仿宋_GB2312" w:eastAsia="仿宋_GB2312" w:cs="仿宋_GB2312"/>
          <w:sz w:val="32"/>
          <w:szCs w:val="32"/>
          <w:lang w:val="en-US" w:eastAsia="zh-CN"/>
        </w:rPr>
        <w:t>40分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预算执行率指标</w:t>
      </w:r>
      <w:r>
        <w:rPr>
          <w:rFonts w:hint="eastAsia" w:ascii="仿宋_GB2312" w:hAnsi="仿宋_GB2312" w:eastAsia="仿宋_GB2312" w:cs="仿宋_GB2312"/>
          <w:sz w:val="32"/>
          <w:szCs w:val="32"/>
          <w:lang w:val="en-US" w:eastAsia="zh-CN"/>
        </w:rPr>
        <w:t>10分；三是效益指标40分；四是满意度指标10分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执行中未</w:t>
      </w:r>
      <w:r>
        <w:rPr>
          <w:rFonts w:hint="eastAsia" w:ascii="仿宋_GB2312" w:hAnsi="仿宋_GB2312" w:eastAsia="仿宋_GB2312" w:cs="仿宋_GB2312"/>
          <w:sz w:val="32"/>
          <w:szCs w:val="32"/>
        </w:rPr>
        <w:t>发现问题</w:t>
      </w:r>
      <w:r>
        <w:rPr>
          <w:rFonts w:hint="eastAsia" w:ascii="仿宋_GB2312" w:hAnsi="仿宋_GB2312" w:eastAsia="仿宋_GB2312" w:cs="仿宋_GB2312"/>
          <w:sz w:val="32"/>
          <w:szCs w:val="32"/>
          <w:lang w:eastAsia="zh-CN"/>
        </w:rPr>
        <w:t>。</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30"/>
        <w:gridCol w:w="902"/>
        <w:gridCol w:w="786"/>
        <w:gridCol w:w="839"/>
        <w:gridCol w:w="1643"/>
        <w:gridCol w:w="1275"/>
        <w:gridCol w:w="792"/>
        <w:gridCol w:w="11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90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3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43"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899"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9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动物卫生监督所目标奖精神文明奖</w:t>
            </w:r>
          </w:p>
        </w:tc>
        <w:tc>
          <w:tcPr>
            <w:tcW w:w="1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17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168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6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168.18</w:t>
            </w:r>
          </w:p>
        </w:tc>
        <w:tc>
          <w:tcPr>
            <w:tcW w:w="8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168.18</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168.18</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168.18</w:t>
            </w: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168.18</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168.18</w:t>
            </w: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64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52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71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2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2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按月发放人员工资、缴纳社保费用和住房公积金，保障监督所日常运行</w:t>
            </w:r>
          </w:p>
        </w:tc>
        <w:tc>
          <w:tcPr>
            <w:tcW w:w="371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基本达成预期指标</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75" w:hRule="atLeast"/>
        </w:trPr>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9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482" w:type="dxa"/>
            <w:gridSpan w:val="2"/>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75"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792"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07"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86"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资金到位率</w:t>
            </w:r>
          </w:p>
        </w:tc>
        <w:tc>
          <w:tcPr>
            <w:tcW w:w="12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79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75"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2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财务管理制度健全性</w:t>
            </w:r>
          </w:p>
        </w:tc>
        <w:tc>
          <w:tcPr>
            <w:tcW w:w="12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79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积极落实各项人事、劳资等福利待遇</w:t>
            </w:r>
          </w:p>
        </w:tc>
        <w:tc>
          <w:tcPr>
            <w:tcW w:w="12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79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0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 xml:space="preserve">项目资金到位及时性 </w:t>
            </w:r>
          </w:p>
        </w:tc>
        <w:tc>
          <w:tcPr>
            <w:tcW w:w="12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及时</w:t>
            </w:r>
          </w:p>
        </w:tc>
        <w:tc>
          <w:tcPr>
            <w:tcW w:w="79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及时</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7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482" w:type="dxa"/>
            <w:gridSpan w:val="2"/>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792"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100.00%</w:t>
            </w:r>
          </w:p>
        </w:tc>
        <w:tc>
          <w:tcPr>
            <w:tcW w:w="1107"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8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资金发放率</w:t>
            </w:r>
          </w:p>
        </w:tc>
        <w:tc>
          <w:tcPr>
            <w:tcW w:w="12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79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资金发放人员数量</w:t>
            </w:r>
          </w:p>
        </w:tc>
        <w:tc>
          <w:tcPr>
            <w:tcW w:w="12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79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补助人员满意度</w:t>
            </w:r>
          </w:p>
        </w:tc>
        <w:tc>
          <w:tcPr>
            <w:tcW w:w="1275"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79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8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7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9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23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05" w:hRule="atLeast"/>
        </w:trPr>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34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5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填报人：路素珍</w:t>
            </w:r>
          </w:p>
        </w:tc>
        <w:tc>
          <w:tcPr>
            <w:tcW w:w="90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3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64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7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13832193760</w:t>
            </w:r>
          </w:p>
        </w:tc>
        <w:tc>
          <w:tcPr>
            <w:tcW w:w="792"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动物卫生监督所人员及补助经费</w:t>
      </w:r>
      <w:r>
        <w:rPr>
          <w:rFonts w:hint="eastAsia" w:ascii="仿宋_GB2312" w:hAnsi="仿宋_GB2312" w:eastAsia="仿宋_GB2312" w:cs="仿宋_GB2312"/>
          <w:sz w:val="32"/>
          <w:szCs w:val="32"/>
        </w:rPr>
        <w:t>自评综述：根据年初设定的绩效目标，</w:t>
      </w:r>
      <w:r>
        <w:rPr>
          <w:rFonts w:hint="eastAsia" w:ascii="仿宋_GB2312" w:hAnsi="仿宋_GB2312" w:eastAsia="仿宋_GB2312" w:cs="仿宋_GB2312"/>
          <w:sz w:val="32"/>
          <w:szCs w:val="32"/>
          <w:lang w:eastAsia="zh-CN"/>
        </w:rPr>
        <w:t>动物卫生监督所人员及补助经费</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99.7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534.3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532.878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99.7%</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产出指标</w:t>
      </w:r>
      <w:r>
        <w:rPr>
          <w:rFonts w:hint="eastAsia" w:ascii="仿宋_GB2312" w:hAnsi="仿宋_GB2312" w:eastAsia="仿宋_GB2312" w:cs="仿宋_GB2312"/>
          <w:sz w:val="32"/>
          <w:szCs w:val="32"/>
          <w:lang w:val="en-US" w:eastAsia="zh-CN"/>
        </w:rPr>
        <w:t>40分</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预算执行率指标</w:t>
      </w:r>
      <w:r>
        <w:rPr>
          <w:rFonts w:hint="eastAsia" w:ascii="仿宋_GB2312" w:hAnsi="仿宋_GB2312" w:eastAsia="仿宋_GB2312" w:cs="仿宋_GB2312"/>
          <w:sz w:val="32"/>
          <w:szCs w:val="32"/>
          <w:lang w:val="en-US" w:eastAsia="zh-CN"/>
        </w:rPr>
        <w:t>9.9分；三是效益指标40分；四是满意度指标10分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执行中未</w:t>
      </w:r>
      <w:r>
        <w:rPr>
          <w:rFonts w:hint="eastAsia" w:ascii="仿宋_GB2312" w:hAnsi="仿宋_GB2312" w:eastAsia="仿宋_GB2312" w:cs="仿宋_GB2312"/>
          <w:sz w:val="32"/>
          <w:szCs w:val="32"/>
        </w:rPr>
        <w:t>发现问题</w:t>
      </w:r>
      <w:r>
        <w:rPr>
          <w:rFonts w:hint="eastAsia" w:ascii="仿宋_GB2312" w:hAnsi="仿宋_GB2312" w:eastAsia="仿宋_GB2312" w:cs="仿宋_GB2312"/>
          <w:sz w:val="32"/>
          <w:szCs w:val="32"/>
          <w:lang w:eastAsia="zh-CN"/>
        </w:rPr>
        <w:t>。</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70"/>
        <w:gridCol w:w="962"/>
        <w:gridCol w:w="786"/>
        <w:gridCol w:w="839"/>
        <w:gridCol w:w="1568"/>
        <w:gridCol w:w="1290"/>
        <w:gridCol w:w="852"/>
        <w:gridCol w:w="11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74"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74"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00" w:hRule="atLeast"/>
        </w:trPr>
        <w:tc>
          <w:tcPr>
            <w:tcW w:w="887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96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3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6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959"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6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动物卫生监督所人员及补助经费</w:t>
            </w:r>
          </w:p>
        </w:tc>
        <w:tc>
          <w:tcPr>
            <w:tcW w:w="15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24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畜牧工作总站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17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4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534.3</w:t>
            </w:r>
          </w:p>
        </w:tc>
        <w:tc>
          <w:tcPr>
            <w:tcW w:w="8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534.3</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532.878</w:t>
            </w:r>
          </w:p>
        </w:tc>
        <w:tc>
          <w:tcPr>
            <w:tcW w:w="110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534.3</w:t>
            </w:r>
          </w:p>
        </w:tc>
        <w:tc>
          <w:tcPr>
            <w:tcW w:w="8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534.3</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532.878</w:t>
            </w: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5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5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71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2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按月发放人员工资、缴纳社保费用和住房公积金，保障监督所日常运行</w:t>
            </w:r>
          </w:p>
        </w:tc>
        <w:tc>
          <w:tcPr>
            <w:tcW w:w="371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基本达成预期指标</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75" w:hRule="atLeast"/>
        </w:trPr>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9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407" w:type="dxa"/>
            <w:gridSpan w:val="2"/>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290"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852"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07"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6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86"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资金到位率</w:t>
            </w:r>
          </w:p>
        </w:tc>
        <w:tc>
          <w:tcPr>
            <w:tcW w:w="12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8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50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lef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积极落实各项人事、劳资等福利待遇；加强人员科学管理，保证选人、用人客观、公正；高效保障单位日常运转</w:t>
            </w:r>
          </w:p>
        </w:tc>
        <w:tc>
          <w:tcPr>
            <w:tcW w:w="12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8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0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财务管理制度健全性</w:t>
            </w:r>
          </w:p>
        </w:tc>
        <w:tc>
          <w:tcPr>
            <w:tcW w:w="12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8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8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资金实际完成率</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99.70%</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407" w:type="dxa"/>
            <w:gridSpan w:val="2"/>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290"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852"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99.70%</w:t>
            </w:r>
          </w:p>
        </w:tc>
        <w:tc>
          <w:tcPr>
            <w:tcW w:w="1107"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8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资金发放率</w:t>
            </w:r>
          </w:p>
        </w:tc>
        <w:tc>
          <w:tcPr>
            <w:tcW w:w="12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8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资金发放人员数量</w:t>
            </w:r>
          </w:p>
        </w:tc>
        <w:tc>
          <w:tcPr>
            <w:tcW w:w="12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8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指标1</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补助人员满意度</w:t>
            </w:r>
          </w:p>
        </w:tc>
        <w:tc>
          <w:tcPr>
            <w:tcW w:w="1290"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852"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100%</w:t>
            </w:r>
          </w:p>
        </w:tc>
        <w:tc>
          <w:tcPr>
            <w:tcW w:w="1107" w:type="dxa"/>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right"/>
              <w:textAlignment w:val="center"/>
              <w:rPr>
                <w:rFonts w:hint="default" w:ascii="楷体_GB2312" w:hAnsi="宋体" w:eastAsia="楷体_GB2312" w:cs="楷体_GB2312"/>
                <w:i w:val="0"/>
                <w:color w:val="000000"/>
                <w:sz w:val="22"/>
                <w:szCs w:val="22"/>
                <w:u w:val="none"/>
              </w:rPr>
            </w:pPr>
            <w:r>
              <w:rPr>
                <w:rFonts w:hint="default" w:ascii="楷体_GB2312" w:hAnsi="宋体" w:eastAsia="楷体_GB2312" w:cs="楷体_GB2312"/>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指标2</w:t>
            </w:r>
          </w:p>
        </w:tc>
        <w:tc>
          <w:tcPr>
            <w:tcW w:w="12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07"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9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29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20" w:hRule="atLeast"/>
        </w:trPr>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40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4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填报人：路素珍</w:t>
            </w:r>
          </w:p>
        </w:tc>
        <w:tc>
          <w:tcPr>
            <w:tcW w:w="96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78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839"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6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2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13832193760</w:t>
            </w:r>
          </w:p>
        </w:tc>
        <w:tc>
          <w:tcPr>
            <w:tcW w:w="852"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0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numPr>
          <w:ilvl w:val="0"/>
          <w:numId w:val="0"/>
        </w:numPr>
        <w:adjustRightInd w:val="0"/>
        <w:snapToGrid w:val="0"/>
        <w:spacing w:line="580" w:lineRule="exact"/>
        <w:ind w:left="630" w:leftChars="0"/>
        <w:rPr>
          <w:rFonts w:ascii="仿宋_GB2312" w:hAnsi="仿宋_GB2312" w:eastAsia="仿宋_GB2312" w:cs="仿宋_GB2312"/>
          <w:sz w:val="32"/>
          <w:szCs w:val="32"/>
        </w:rPr>
      </w:pPr>
    </w:p>
    <w:p>
      <w:pPr>
        <w:keepNext/>
        <w:keepLines/>
        <w:numPr>
          <w:ilvl w:val="0"/>
          <w:numId w:val="4"/>
        </w:numPr>
        <w:snapToGrid w:val="0"/>
        <w:spacing w:line="580" w:lineRule="exact"/>
        <w:ind w:firstLine="643" w:firstLineChars="200"/>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numPr>
          <w:numId w:val="0"/>
        </w:numPr>
        <w:snapToGrid w:val="0"/>
        <w:spacing w:line="580" w:lineRule="exact"/>
        <w:outlineLvl w:val="1"/>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 xml:space="preserve">    </w:t>
      </w:r>
      <w:bookmarkStart w:id="0" w:name="_GoBack"/>
      <w:bookmarkEnd w:id="0"/>
      <w:r>
        <w:rPr>
          <w:rFonts w:hint="eastAsia" w:ascii="仿宋_GB2312" w:hAnsi="仿宋_GB2312" w:eastAsia="仿宋_GB2312" w:cs="仿宋_GB2312"/>
          <w:b/>
          <w:bCs/>
          <w:sz w:val="32"/>
          <w:szCs w:val="32"/>
          <w:lang w:val="en-US" w:eastAsia="zh-CN"/>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11.65</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1.5</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11.41</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厉行节俭，减少开支</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仿宋" w:eastAsia="仿宋_GB2312" w:cs="仿宋"/>
          <w:bCs/>
          <w:color w:val="auto"/>
          <w:sz w:val="32"/>
          <w:szCs w:val="32"/>
          <w:lang w:val="en-US" w:eastAsia="zh-CN"/>
        </w:rPr>
        <w:t>140.45</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140.45</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140.45</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140.45</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100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辆，比上年减少</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辆，主要是</w:t>
      </w:r>
      <w:r>
        <w:rPr>
          <w:rFonts w:hint="eastAsia" w:ascii="仿宋_GB2312" w:hAnsi="仿宋" w:eastAsia="仿宋_GB2312" w:cs="仿宋"/>
          <w:color w:val="000000"/>
          <w:sz w:val="32"/>
          <w:szCs w:val="32"/>
          <w:lang w:val="en-US" w:eastAsia="zh-CN"/>
        </w:rPr>
        <w:t>事业单位车改，上交报废了部分车辆</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，主要是一般公务用车</w:t>
      </w:r>
      <w:r>
        <w:rPr>
          <w:rFonts w:hint="eastAsia" w:ascii="仿宋_GB2312" w:hAnsi="Times New Roman" w:eastAsia="仿宋_GB2312" w:cs="DengXian-Regular"/>
          <w:sz w:val="32"/>
          <w:szCs w:val="32"/>
          <w:lang w:val="en-US" w:eastAsia="zh-CN"/>
        </w:rPr>
        <w:t>1辆、皮卡车1辆、疫苗冷藏车1辆</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一</w:t>
      </w:r>
      <w:r>
        <w:rPr>
          <w:rFonts w:hint="eastAsia" w:ascii="仿宋_GB2312" w:hAnsi="Times New Roman" w:eastAsia="仿宋_GB2312" w:cs="DengXian-Regular"/>
          <w:sz w:val="32"/>
          <w:szCs w:val="32"/>
        </w:rPr>
        <w:t>. 本部门2019年度收支及结转结余情况</w:t>
      </w:r>
      <w:r>
        <w:rPr>
          <w:rFonts w:hint="eastAsia" w:ascii="仿宋_GB2312" w:hAnsi="Times New Roman" w:eastAsia="仿宋_GB2312" w:cs="DengXian-Regular"/>
          <w:sz w:val="32"/>
          <w:szCs w:val="32"/>
          <w:lang w:eastAsia="zh-CN"/>
        </w:rPr>
        <w:t>如下：</w:t>
      </w:r>
    </w:p>
    <w:p>
      <w:pPr>
        <w:keepNext w:val="0"/>
        <w:keepLines w:val="0"/>
        <w:pageBreakBefore w:val="0"/>
        <w:widowControl w:val="0"/>
        <w:kinsoku/>
        <w:wordWrap/>
        <w:overflowPunct/>
        <w:topLinePunct w:val="0"/>
        <w:autoSpaceDE/>
        <w:autoSpaceDN/>
        <w:bidi w:val="0"/>
        <w:adjustRightInd/>
        <w:snapToGrid w:val="0"/>
        <w:spacing w:line="520" w:lineRule="exact"/>
        <w:ind w:firstLine="640" w:firstLineChars="200"/>
        <w:textAlignment w:val="auto"/>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年末基本支出结转0.96007万元，项目支出结转2186.541万元，结转资金共计2187.50107万元</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1、基本支出结转2019年福利费0.73987万元。</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rPr>
          <w:rFonts w:hint="default"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2、基本支出结转离退休人员公用经费及福利费0.2202万元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b w:val="0"/>
          <w:bCs/>
          <w:sz w:val="32"/>
          <w:szCs w:val="32"/>
          <w:lang w:val="en-US" w:eastAsia="zh-CN"/>
        </w:rPr>
        <w:t>3、</w:t>
      </w:r>
      <w:r>
        <w:rPr>
          <w:rFonts w:hint="eastAsia" w:ascii="仿宋" w:hAnsi="仿宋" w:eastAsia="仿宋" w:cs="仿宋"/>
          <w:sz w:val="32"/>
          <w:szCs w:val="32"/>
          <w:lang w:val="en-US" w:eastAsia="zh-CN"/>
        </w:rPr>
        <w:t>结转动物卫生监督所人员及补助经费福利费1.422万元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4、结转石财农[2019]116号2019年省级农业生产发展（奶业振兴）专项资金42.12万元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5、结转石财农[2018]158号提前下达2019年部分市级农业专项转移支付资金（动物防疫政府购买服务试点）30万元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6、结转石财农[2019]109号下达2019年省级农产品质量安全及疫病防治专项资金10万元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7、结转石财农[2018]158号提前下达2018年部分市级农业专项转移支付资金（政策性病死猪无害化处理补贴资金）22.257万元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8、结转石财农[2019]92号下达2019年中央农业生产发展资金30.6万元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9、结转石财农[2018]158号提前下达2018年部分市级农业专项转移支付资金（牛定点屠宰补助资金）7.142万元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10、结转石财农[2019]111号调整畜禽粪污资源化利用整市实施项目资金463万元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11、结转石财农[2019]57号下达2019年中央农业生产发展资金的通知（畜禽粪污资源化利用项目资金）1130万元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12、结转石财建[2019]31号下达2019年生猪调出大县奖励资金345万元、石财建[2019]51号下达2019年生猪调出大县奖励资金（第二批）105万元。</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240" w:lineRule="auto"/>
        <w:ind w:right="0" w:rightChars="0" w:firstLine="640" w:firstLineChars="200"/>
        <w:jc w:val="both"/>
        <w:textAlignment w:val="auto"/>
        <w:outlineLvl w:val="9"/>
        <w:rPr>
          <w:rFonts w:hint="eastAsia" w:ascii="仿宋_GB2312" w:hAnsi="Times New Roman" w:eastAsia="仿宋_GB2312" w:cs="DengXian-Regular"/>
          <w:sz w:val="32"/>
          <w:szCs w:val="32"/>
        </w:rPr>
      </w:pPr>
      <w:r>
        <w:rPr>
          <w:rFonts w:hint="eastAsia" w:ascii="仿宋" w:hAnsi="仿宋" w:eastAsia="仿宋" w:cs="仿宋"/>
          <w:sz w:val="32"/>
          <w:szCs w:val="32"/>
          <w:lang w:val="en-US" w:eastAsia="zh-CN"/>
        </w:rPr>
        <w:t>结转资金金额较大的原因是部分资金下达较晚，生猪调出大县奖励资金450万元，是跨年度资金正在制定实施方案；畜禽粪污资源化利用资金1593万元，是跨年度项目，正在</w:t>
      </w:r>
      <w:r>
        <w:rPr>
          <w:rFonts w:hint="eastAsia" w:ascii="仿宋" w:hAnsi="仿宋" w:eastAsia="仿宋" w:cs="仿宋"/>
          <w:b w:val="0"/>
          <w:bCs w:val="0"/>
          <w:sz w:val="32"/>
          <w:szCs w:val="32"/>
          <w:lang w:val="en-US" w:eastAsia="zh-CN"/>
        </w:rPr>
        <w:t>进行招投标等前期工作。</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二</w:t>
      </w:r>
      <w:r>
        <w:rPr>
          <w:rFonts w:hint="eastAsia" w:ascii="仿宋_GB2312" w:hAnsi="Times New Roman" w:eastAsia="仿宋_GB2312" w:cs="DengXian-Regular"/>
          <w:sz w:val="32"/>
          <w:szCs w:val="32"/>
        </w:rPr>
        <w:t>.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Borders>
            <w:top w:val="none" w:sz="0" w:space="0"/>
            <w:left w:val="none" w:sz="0" w:space="0"/>
            <w:bottom w:val="none" w:sz="0" w:space="0"/>
            <w:right w:val="none" w:sz="0" w:space="0"/>
          </w:pgBorders>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837"/>
        <w:gridCol w:w="3328"/>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13"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3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13"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80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713"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4506.35</w:t>
            </w: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3400.72</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4506.35</w:t>
            </w: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3400.72</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1081.87</w:t>
            </w: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2187.50</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5588.22</w:t>
            </w:r>
            <w:r>
              <w:rPr>
                <w:rFonts w:hint="eastAsia" w:ascii="宋体" w:hAnsi="宋体" w:eastAsia="宋体" w:cs="宋体"/>
                <w:color w:val="000000"/>
                <w:kern w:val="0"/>
                <w:sz w:val="22"/>
                <w:lang w:bidi="ar"/>
              </w:rPr>
              <w:t>　</w:t>
            </w:r>
          </w:p>
        </w:tc>
        <w:tc>
          <w:tcPr>
            <w:tcW w:w="33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5588.22</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Ind w:w="0" w:type="dxa"/>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Layout w:type="fixed"/>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4506.35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lang w:val="en-US" w:eastAsia="zh-CN"/>
              </w:rPr>
              <w:t>4506.35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农林水支出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lang w:val="en-US" w:eastAsia="zh-CN"/>
              </w:rPr>
              <w:t>4506.35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lang w:val="en-US" w:eastAsia="zh-CN"/>
              </w:rPr>
              <w:t>4506.35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农业</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lang w:val="en-US" w:eastAsia="zh-CN"/>
              </w:rPr>
              <w:t>4506.35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color w:val="000000"/>
                <w:sz w:val="22"/>
                <w:lang w:val="en-US" w:eastAsia="zh-CN"/>
              </w:rPr>
              <w:t>4506.35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2130104</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事业运行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3.48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2130106</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科技转化与推广服务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42.12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42.12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2130108</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病虫害控制</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2057.02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2057.02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2130109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农产品质量安全</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32.05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32.05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2130121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农业结构调整补贴</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295.00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295.00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2130124</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农业组织化与产业化经营</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463.00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463.00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2130199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其他农业支出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1163.68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1163.68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216</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商业服务业等支出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21602</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商业流通事务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2160299</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eastAsia="zh-CN"/>
              </w:rPr>
            </w:pPr>
            <w:r>
              <w:rPr>
                <w:rFonts w:hint="eastAsia" w:ascii="宋体" w:hAnsi="宋体" w:eastAsia="宋体" w:cs="宋体"/>
                <w:color w:val="000000"/>
                <w:sz w:val="22"/>
                <w:lang w:eastAsia="zh-CN"/>
              </w:rPr>
              <w:t>其他商业流通事务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450.00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Ind w:w="0" w:type="dxa"/>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3400.72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361.47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3039.25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农林水支出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3400.72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color w:val="000000"/>
                <w:sz w:val="22"/>
              </w:rPr>
            </w:pPr>
            <w:r>
              <w:rPr>
                <w:rFonts w:hint="eastAsia" w:ascii="宋体" w:hAnsi="宋体" w:eastAsia="宋体" w:cs="宋体"/>
                <w:b w:val="0"/>
                <w:bCs/>
                <w:color w:val="000000"/>
                <w:sz w:val="22"/>
                <w:lang w:val="en-US" w:eastAsia="zh-CN"/>
              </w:rPr>
              <w:t>361.47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color w:val="000000"/>
                <w:sz w:val="22"/>
              </w:rPr>
            </w:pPr>
            <w:r>
              <w:rPr>
                <w:rFonts w:hint="eastAsia" w:ascii="宋体" w:hAnsi="宋体" w:eastAsia="宋体" w:cs="宋体"/>
                <w:b w:val="0"/>
                <w:bCs/>
                <w:color w:val="000000"/>
                <w:sz w:val="22"/>
                <w:lang w:val="en-US" w:eastAsia="zh-CN"/>
              </w:rPr>
              <w:t>3039.25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农业</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3400.72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color w:val="000000"/>
                <w:sz w:val="22"/>
              </w:rPr>
            </w:pPr>
            <w:r>
              <w:rPr>
                <w:rFonts w:hint="eastAsia" w:ascii="宋体" w:hAnsi="宋体" w:eastAsia="宋体" w:cs="宋体"/>
                <w:b w:val="0"/>
                <w:bCs/>
                <w:color w:val="000000"/>
                <w:sz w:val="22"/>
                <w:lang w:val="en-US" w:eastAsia="zh-CN"/>
              </w:rPr>
              <w:t>361.47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color w:val="000000"/>
                <w:sz w:val="22"/>
              </w:rPr>
            </w:pPr>
            <w:r>
              <w:rPr>
                <w:rFonts w:hint="eastAsia" w:ascii="宋体" w:hAnsi="宋体" w:eastAsia="宋体" w:cs="宋体"/>
                <w:b w:val="0"/>
                <w:bCs/>
                <w:color w:val="000000"/>
                <w:sz w:val="22"/>
                <w:lang w:val="en-US" w:eastAsia="zh-CN"/>
              </w:rPr>
              <w:t>3039.25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事业运行</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3.48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2130106</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科技转化与推广服务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660.00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660.00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病虫害控制</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2034.57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color w:val="000000"/>
                <w:sz w:val="22"/>
              </w:rPr>
            </w:pPr>
            <w:r>
              <w:rPr>
                <w:rFonts w:hint="eastAsia" w:ascii="宋体" w:hAnsi="宋体" w:eastAsia="宋体" w:cs="宋体"/>
                <w:b w:val="0"/>
                <w:bCs/>
                <w:color w:val="000000"/>
                <w:sz w:val="22"/>
                <w:lang w:val="en-US" w:eastAsia="zh-CN"/>
              </w:rPr>
              <w:t>361.47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color w:val="000000"/>
                <w:sz w:val="22"/>
              </w:rPr>
            </w:pPr>
            <w:r>
              <w:rPr>
                <w:rFonts w:hint="eastAsia" w:ascii="宋体" w:hAnsi="宋体" w:eastAsia="宋体" w:cs="宋体"/>
                <w:b w:val="0"/>
                <w:bCs/>
                <w:color w:val="000000"/>
                <w:sz w:val="22"/>
                <w:lang w:val="en-US" w:eastAsia="zh-CN"/>
              </w:rPr>
              <w:t>1673.15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2130109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农产品质量安全</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27.10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2130121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农业结构调整补贴</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295.00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295.00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2130199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其他农业支出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380.57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380.57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520" w:type="dxa"/>
        <w:jc w:val="center"/>
        <w:tblInd w:w="0" w:type="dxa"/>
        <w:tblLayout w:type="fixed"/>
        <w:tblCellMar>
          <w:top w:w="0" w:type="dxa"/>
          <w:left w:w="0" w:type="dxa"/>
          <w:bottom w:w="0" w:type="dxa"/>
          <w:right w:w="0" w:type="dxa"/>
        </w:tblCellMar>
      </w:tblPr>
      <w:tblGrid>
        <w:gridCol w:w="2855"/>
        <w:gridCol w:w="345"/>
        <w:gridCol w:w="810"/>
        <w:gridCol w:w="2880"/>
        <w:gridCol w:w="300"/>
        <w:gridCol w:w="750"/>
        <w:gridCol w:w="791"/>
        <w:gridCol w:w="789"/>
      </w:tblGrid>
      <w:tr>
        <w:tblPrEx>
          <w:tblLayout w:type="fixed"/>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3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3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401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0"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85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8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5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85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4506.35</w:t>
            </w: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3400.72</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3400.72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4506.35</w:t>
            </w: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3400.72</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lang w:val="en-US" w:eastAsia="zh-CN"/>
              </w:rPr>
              <w:t>3400.72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1081.87</w:t>
            </w: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2187.50</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2187.50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1081.87</w:t>
            </w: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85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3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5588.22</w:t>
            </w:r>
          </w:p>
        </w:tc>
        <w:tc>
          <w:tcPr>
            <w:tcW w:w="28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5588.22</w:t>
            </w:r>
          </w:p>
        </w:tc>
        <w:tc>
          <w:tcPr>
            <w:tcW w:w="7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5588.22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Ind w:w="0" w:type="dxa"/>
        <w:tblLayout w:type="fixed"/>
        <w:tblCellMar>
          <w:top w:w="0" w:type="dxa"/>
          <w:left w:w="0" w:type="dxa"/>
          <w:bottom w:w="0" w:type="dxa"/>
          <w:right w:w="0" w:type="dxa"/>
        </w:tblCellMar>
      </w:tblPr>
      <w:tblGrid>
        <w:gridCol w:w="1174"/>
        <w:gridCol w:w="67"/>
        <w:gridCol w:w="67"/>
        <w:gridCol w:w="1695"/>
        <w:gridCol w:w="2329"/>
        <w:gridCol w:w="2329"/>
        <w:gridCol w:w="2329"/>
      </w:tblGrid>
      <w:tr>
        <w:tblPrEx>
          <w:tblLayout w:type="fixed"/>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lang w:val="en-US" w:eastAsia="zh-CN"/>
              </w:rPr>
              <w:t>3400.72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lang w:val="en-US" w:eastAsia="zh-CN"/>
              </w:rPr>
              <w:t>361.47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lang w:val="en-US" w:eastAsia="zh-CN"/>
              </w:rPr>
              <w:t>3039.25</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农林水支出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3400.72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361.47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3039.25</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农业</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3400.72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361.47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3039.25</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2130104</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事业运行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3.48</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3.48</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2130106</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科技转化与推广服务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660.00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660.00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2130108</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病虫害控制</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2034.57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361.47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b w:val="0"/>
                <w:bCs/>
                <w:color w:val="000000"/>
                <w:sz w:val="22"/>
                <w:lang w:val="en-US" w:eastAsia="zh-CN"/>
              </w:rPr>
              <w:t>1673.15</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2130109</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农产品质量安全</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27.10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27.10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2130121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农业结构调整补贴</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295.00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r>
              <w:rPr>
                <w:rFonts w:hint="eastAsia" w:ascii="宋体" w:hAnsi="宋体" w:eastAsia="宋体" w:cs="宋体"/>
                <w:color w:val="000000"/>
                <w:sz w:val="22"/>
                <w:lang w:val="en-US" w:eastAsia="zh-CN"/>
              </w:rPr>
              <w:t>295.00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2130199</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eastAsia="zh-CN"/>
              </w:rPr>
              <w:t>其他农业支出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380.57</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380.57</w:t>
            </w:r>
          </w:p>
        </w:tc>
      </w:tr>
    </w:tbl>
    <w:p>
      <w:r>
        <w:rPr>
          <w:rFonts w:hint="eastAsia" w:ascii="宋体" w:hAnsi="宋体" w:eastAsia="宋体" w:cs="宋体"/>
        </w:rPr>
        <w:t>注：本表反映部门本年度一般公共预算财政拨款支出情况。</w:t>
      </w:r>
      <w:r>
        <w:br w:type="page"/>
      </w:r>
    </w:p>
    <w:tbl>
      <w:tblPr>
        <w:tblStyle w:val="6"/>
        <w:tblW w:w="100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337.09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23.60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97.23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2.50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16.77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0.90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0.78</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72.94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0.78</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25.93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12.63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10.20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24.44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0.80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73.57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1.99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3.73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5.89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6.84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337.09</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24.38</w:t>
            </w:r>
          </w:p>
        </w:tc>
      </w:tr>
    </w:tbl>
    <w:p>
      <w:pPr>
        <w:rPr>
          <w:rFonts w:hint="eastAsia" w:ascii="宋体" w:hAnsi="宋体" w:eastAsia="宋体" w:cs="宋体"/>
          <w:sz w:val="22"/>
          <w:szCs w:val="22"/>
        </w:rPr>
      </w:pPr>
      <w:r>
        <w:rPr>
          <w:rFonts w:hint="eastAsia" w:ascii="宋体" w:hAnsi="宋体" w:eastAsia="宋体" w:cs="宋体"/>
          <w:sz w:val="22"/>
          <w:szCs w:val="22"/>
        </w:rPr>
        <w:t>注：本表反映部门本年度一般公共预算财政拨款基本支出明细情况。</w:t>
      </w:r>
      <w:r>
        <w:rPr>
          <w:rFonts w:hint="eastAsia" w:ascii="宋体" w:hAnsi="宋体" w:eastAsia="宋体" w:cs="宋体"/>
          <w:sz w:val="22"/>
          <w:szCs w:val="22"/>
        </w:rPr>
        <w:br w:type="page"/>
      </w:r>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6.85</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6.60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6.60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0.25</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5.89</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5.89</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5.89</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eastAsiaTheme="minorEastAsia"/>
          <w:lang w:eastAsia="zh-CN"/>
        </w:rPr>
      </w:pPr>
      <w:r>
        <w:rPr>
          <w:rFonts w:hint="eastAsia"/>
          <w:lang w:eastAsia="zh-CN"/>
        </w:rPr>
        <w:t>注：本表反映部门本年度政府性基金预算财政拨款收入、支出及结转和结余情况。本部门本年度无相关收支及结转结余情况，按要求空表列示。</w:t>
      </w:r>
    </w:p>
    <w:p>
      <w:r>
        <w:br w:type="page"/>
      </w:r>
    </w:p>
    <w:tbl>
      <w:tblPr>
        <w:tblStyle w:val="6"/>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eastAsiaTheme="minorEastAsia"/>
          <w:lang w:eastAsia="zh-CN"/>
        </w:rPr>
      </w:pPr>
      <w:r>
        <w:rPr>
          <w:rFonts w:hint="eastAsia"/>
          <w:lang w:eastAsia="zh-CN"/>
        </w:rPr>
        <w:t>注：本表反映部门本年度国有资本经营预算财政拨款支出情况。本部门本年度无相关支出情况，按要求空表列示。</w:t>
      </w:r>
    </w:p>
    <w:sectPr>
      <w:headerReference r:id="rId25" w:type="first"/>
      <w:headerReference r:id="rId24" w:type="default"/>
      <w:footerReference r:id="rId26" w:type="default"/>
      <w:pgSz w:w="11906" w:h="16838"/>
      <w:pgMar w:top="1701" w:right="1417" w:bottom="1281" w:left="1417" w:header="851" w:footer="992" w:gutter="0"/>
      <w:pgBorders>
        <w:top w:val="none" w:sz="0" w:space="0"/>
        <w:left w:val="none" w:sz="0" w:space="0"/>
        <w:bottom w:val="none" w:sz="0" w:space="0"/>
        <w:right w:val="none" w:sz="0" w:space="0"/>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C24702"/>
    <w:multiLevelType w:val="singleLevel"/>
    <w:tmpl w:val="91C24702"/>
    <w:lvl w:ilvl="0" w:tentative="0">
      <w:start w:val="3"/>
      <w:numFmt w:val="decimal"/>
      <w:lvlText w:val="%1."/>
      <w:lvlJc w:val="left"/>
      <w:pPr>
        <w:tabs>
          <w:tab w:val="left" w:pos="312"/>
        </w:tabs>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pPr>
        <w:ind w:left="-10"/>
      </w:pPr>
      <w:rPr>
        <w:rFonts w:hint="default"/>
        <w:color w:val="auto"/>
      </w:rPr>
    </w:lvl>
  </w:abstractNum>
  <w:abstractNum w:abstractNumId="3">
    <w:nsid w:val="5FE8C7BD"/>
    <w:multiLevelType w:val="singleLevel"/>
    <w:tmpl w:val="5FE8C7BD"/>
    <w:lvl w:ilvl="0" w:tentative="0">
      <w:start w:val="1"/>
      <w:numFmt w:val="chineseCounting"/>
      <w:suff w:val="nothing"/>
      <w:lvlText w:val="%1、"/>
      <w:lvlJc w:val="left"/>
      <w:rPr>
        <w:rFonts w:hint="eastAsia"/>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4721C9D"/>
    <w:rsid w:val="049E4075"/>
    <w:rsid w:val="05277D6C"/>
    <w:rsid w:val="05B00A30"/>
    <w:rsid w:val="09702B68"/>
    <w:rsid w:val="0B011416"/>
    <w:rsid w:val="0B7605CA"/>
    <w:rsid w:val="0B7E6403"/>
    <w:rsid w:val="0CCF4646"/>
    <w:rsid w:val="0D0102A1"/>
    <w:rsid w:val="136E1398"/>
    <w:rsid w:val="14055BF8"/>
    <w:rsid w:val="14AA31FE"/>
    <w:rsid w:val="18E736CB"/>
    <w:rsid w:val="1C3B6176"/>
    <w:rsid w:val="1DD526B0"/>
    <w:rsid w:val="1F982F24"/>
    <w:rsid w:val="1FD1513C"/>
    <w:rsid w:val="212B157B"/>
    <w:rsid w:val="21C92B75"/>
    <w:rsid w:val="233D1F54"/>
    <w:rsid w:val="25D9774C"/>
    <w:rsid w:val="26E6309D"/>
    <w:rsid w:val="270C2013"/>
    <w:rsid w:val="2B8A3DB4"/>
    <w:rsid w:val="2BB77249"/>
    <w:rsid w:val="2C036CF9"/>
    <w:rsid w:val="30DF21DA"/>
    <w:rsid w:val="31C2036A"/>
    <w:rsid w:val="320D02A5"/>
    <w:rsid w:val="34111490"/>
    <w:rsid w:val="348E566F"/>
    <w:rsid w:val="3A226944"/>
    <w:rsid w:val="3AEE6A48"/>
    <w:rsid w:val="3AF5018F"/>
    <w:rsid w:val="3B0B1918"/>
    <w:rsid w:val="3C1620AA"/>
    <w:rsid w:val="3D8F080F"/>
    <w:rsid w:val="3DC77458"/>
    <w:rsid w:val="3DE3059F"/>
    <w:rsid w:val="3E696959"/>
    <w:rsid w:val="3F903196"/>
    <w:rsid w:val="42265E89"/>
    <w:rsid w:val="424454B5"/>
    <w:rsid w:val="44CE1FA4"/>
    <w:rsid w:val="44E8284B"/>
    <w:rsid w:val="469F5063"/>
    <w:rsid w:val="487F73ED"/>
    <w:rsid w:val="49A442BE"/>
    <w:rsid w:val="49B541B6"/>
    <w:rsid w:val="4A347EAE"/>
    <w:rsid w:val="4CBC55DB"/>
    <w:rsid w:val="4CCA011A"/>
    <w:rsid w:val="4D7D6450"/>
    <w:rsid w:val="4E321C3D"/>
    <w:rsid w:val="51967CBB"/>
    <w:rsid w:val="52600405"/>
    <w:rsid w:val="529B4319"/>
    <w:rsid w:val="57773DD6"/>
    <w:rsid w:val="578B79AB"/>
    <w:rsid w:val="57A44D6A"/>
    <w:rsid w:val="57FB0186"/>
    <w:rsid w:val="596825D4"/>
    <w:rsid w:val="5CCD3FD5"/>
    <w:rsid w:val="5F553AB6"/>
    <w:rsid w:val="5F5E165E"/>
    <w:rsid w:val="616C3B47"/>
    <w:rsid w:val="61FA5F9D"/>
    <w:rsid w:val="6455679F"/>
    <w:rsid w:val="64CD6910"/>
    <w:rsid w:val="658E6D21"/>
    <w:rsid w:val="66470829"/>
    <w:rsid w:val="665607BF"/>
    <w:rsid w:val="66765129"/>
    <w:rsid w:val="6789158D"/>
    <w:rsid w:val="67D81BA4"/>
    <w:rsid w:val="6827503E"/>
    <w:rsid w:val="69014442"/>
    <w:rsid w:val="69254ACA"/>
    <w:rsid w:val="69F201AC"/>
    <w:rsid w:val="6AAF1C96"/>
    <w:rsid w:val="6C3221E5"/>
    <w:rsid w:val="6D5F30A1"/>
    <w:rsid w:val="6FAD0951"/>
    <w:rsid w:val="70572185"/>
    <w:rsid w:val="70EA09DB"/>
    <w:rsid w:val="71541C30"/>
    <w:rsid w:val="73F15454"/>
    <w:rsid w:val="7506460C"/>
    <w:rsid w:val="75681757"/>
    <w:rsid w:val="75A346A8"/>
    <w:rsid w:val="78415E38"/>
    <w:rsid w:val="793C13B7"/>
    <w:rsid w:val="79B9382C"/>
    <w:rsid w:val="7AAE183E"/>
    <w:rsid w:val="7B043B76"/>
    <w:rsid w:val="7B703817"/>
    <w:rsid w:val="7BF908E6"/>
    <w:rsid w:val="7C041A6A"/>
    <w:rsid w:val="7D5359A0"/>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2.xml"/><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Book2"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Book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2018-2019年度财政拨款收支对比                                          （单位：万）</a:t>
            </a:r>
          </a:p>
        </c:rich>
      </c:tx>
      <c:layout>
        <c:manualLayout>
          <c:xMode val="edge"/>
          <c:yMode val="edge"/>
          <c:x val="0.182230168641122"/>
          <c:y val="0.00619322873658134"/>
        </c:manualLayout>
      </c:layout>
      <c:overlay val="0"/>
      <c:spPr>
        <a:noFill/>
        <a:ln>
          <a:noFill/>
        </a:ln>
        <a:effectLst/>
      </c:spPr>
    </c:title>
    <c:autoTitleDeleted val="0"/>
    <c:plotArea>
      <c:layout>
        <c:manualLayout>
          <c:layoutTarget val="inner"/>
          <c:xMode val="edge"/>
          <c:yMode val="edge"/>
          <c:x val="0.0862501584083133"/>
          <c:y val="0.229149463253509"/>
          <c:w val="0.887770878215689"/>
          <c:h val="0.567795210569777"/>
        </c:manualLayout>
      </c:layout>
      <c:barChart>
        <c:barDir val="col"/>
        <c:grouping val="clustered"/>
        <c:varyColors val="0"/>
        <c:ser>
          <c:idx val="0"/>
          <c:order val="0"/>
          <c:tx>
            <c:strRef>
              <c:f>"2019年"</c:f>
              <c:strCache>
                <c:ptCount val="1"/>
                <c:pt idx="0">
                  <c:v>2019年</c:v>
                </c:pt>
              </c:strCache>
            </c:strRef>
          </c:tx>
          <c:spPr>
            <a:solidFill>
              <a:schemeClr val="accent1"/>
            </a:solidFill>
            <a:ln>
              <a:noFill/>
            </a:ln>
            <a:effectLst/>
          </c:spPr>
          <c:invertIfNegative val="0"/>
          <c:dLbls>
            <c:delete val="1"/>
          </c:dLbls>
          <c:cat>
            <c:strRef>
              <c:f>[Book2]Sheet1!$B$1:$C$1</c:f>
              <c:strCache>
                <c:ptCount val="2"/>
                <c:pt idx="0">
                  <c:v>收入</c:v>
                </c:pt>
                <c:pt idx="1">
                  <c:v>支出</c:v>
                </c:pt>
              </c:strCache>
            </c:strRef>
          </c:cat>
          <c:val>
            <c:numRef>
              <c:f>[Book2]Sheet1!$B$2:$C$2</c:f>
              <c:numCache>
                <c:formatCode>General</c:formatCode>
                <c:ptCount val="2"/>
                <c:pt idx="0">
                  <c:v>4506.35</c:v>
                </c:pt>
                <c:pt idx="1">
                  <c:v>3400.72</c:v>
                </c:pt>
              </c:numCache>
            </c:numRef>
          </c:val>
        </c:ser>
        <c:ser>
          <c:idx val="1"/>
          <c:order val="1"/>
          <c:tx>
            <c:strRef>
              <c:f>"2018年"</c:f>
              <c:strCache>
                <c:ptCount val="1"/>
                <c:pt idx="0">
                  <c:v>2018年</c:v>
                </c:pt>
              </c:strCache>
            </c:strRef>
          </c:tx>
          <c:spPr>
            <a:solidFill>
              <a:schemeClr val="accent2"/>
            </a:solidFill>
            <a:ln>
              <a:noFill/>
            </a:ln>
            <a:effectLst/>
          </c:spPr>
          <c:invertIfNegative val="0"/>
          <c:dLbls>
            <c:delete val="1"/>
          </c:dLbls>
          <c:cat>
            <c:strRef>
              <c:f>[Book2]Sheet1!$B$1:$C$1</c:f>
              <c:strCache>
                <c:ptCount val="2"/>
                <c:pt idx="0">
                  <c:v>收入</c:v>
                </c:pt>
                <c:pt idx="1">
                  <c:v>支出</c:v>
                </c:pt>
              </c:strCache>
            </c:strRef>
          </c:cat>
          <c:val>
            <c:numRef>
              <c:f>[Book2]Sheet1!$B$3:$C$3</c:f>
              <c:numCache>
                <c:formatCode>General</c:formatCode>
                <c:ptCount val="2"/>
                <c:pt idx="0">
                  <c:v>4783.16</c:v>
                </c:pt>
                <c:pt idx="1">
                  <c:v>2676.99077</c:v>
                </c:pt>
              </c:numCache>
            </c:numRef>
          </c:val>
        </c:ser>
        <c:dLbls>
          <c:showLegendKey val="0"/>
          <c:showVal val="0"/>
          <c:showCatName val="0"/>
          <c:showSerName val="0"/>
          <c:showPercent val="0"/>
          <c:showBubbleSize val="0"/>
        </c:dLbls>
        <c:gapWidth val="219"/>
        <c:overlap val="-27"/>
        <c:axId val="223583989"/>
        <c:axId val="830235756"/>
      </c:barChart>
      <c:catAx>
        <c:axId val="22358398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0235756"/>
        <c:crosses val="autoZero"/>
        <c:auto val="1"/>
        <c:lblAlgn val="ctr"/>
        <c:lblOffset val="100"/>
        <c:noMultiLvlLbl val="0"/>
      </c:catAx>
      <c:valAx>
        <c:axId val="8302357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3583989"/>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财政拨款收支与预算对比</a:t>
            </a:r>
          </a:p>
          <a:p>
            <a:pPr defTabSz="914400">
              <a:defRPr lang="zh-CN" sz="1400" b="0" i="0" u="none" strike="noStrike" kern="1200" spc="0" baseline="0">
                <a:solidFill>
                  <a:schemeClr val="tx1">
                    <a:lumMod val="65000"/>
                    <a:lumOff val="35000"/>
                  </a:schemeClr>
                </a:solidFill>
                <a:latin typeface="+mn-lt"/>
                <a:ea typeface="+mn-ea"/>
                <a:cs typeface="+mn-cs"/>
              </a:defRPr>
            </a:pPr>
            <a:r>
              <a:t>                         （单位：万）</a:t>
            </a:r>
          </a:p>
          <a:p>
            <a:pPr defTabSz="914400">
              <a:defRPr lang="zh-CN" sz="1400" b="0" i="0" u="none" strike="noStrike" kern="1200" spc="0" baseline="0">
                <a:solidFill>
                  <a:schemeClr val="tx1">
                    <a:lumMod val="65000"/>
                    <a:lumOff val="35000"/>
                  </a:schemeClr>
                </a:solidFill>
                <a:latin typeface="+mn-lt"/>
                <a:ea typeface="+mn-ea"/>
                <a:cs typeface="+mn-cs"/>
              </a:defRPr>
            </a:pPr>
          </a:p>
        </c:rich>
      </c:tx>
      <c:layout>
        <c:manualLayout>
          <c:xMode val="edge"/>
          <c:yMode val="edge"/>
          <c:x val="0.252847222222223"/>
          <c:y val="0.0416666666666667"/>
        </c:manualLayout>
      </c:layout>
      <c:overlay val="0"/>
      <c:spPr>
        <a:noFill/>
        <a:ln>
          <a:noFill/>
        </a:ln>
        <a:effectLst/>
      </c:spPr>
    </c:title>
    <c:autoTitleDeleted val="0"/>
    <c:plotArea>
      <c:layout/>
      <c:barChart>
        <c:barDir val="col"/>
        <c:grouping val="clustered"/>
        <c:varyColors val="0"/>
        <c:ser>
          <c:idx val="0"/>
          <c:order val="0"/>
          <c:tx>
            <c:strRef>
              <c:f>"收入"</c:f>
              <c:strCache>
                <c:ptCount val="1"/>
                <c:pt idx="0">
                  <c:v>收入</c:v>
                </c:pt>
              </c:strCache>
            </c:strRef>
          </c:tx>
          <c:spPr>
            <a:solidFill>
              <a:schemeClr val="accent1"/>
            </a:solidFill>
            <a:ln>
              <a:noFill/>
            </a:ln>
            <a:effectLst/>
          </c:spPr>
          <c:invertIfNegative val="0"/>
          <c:dLbls>
            <c:delete val="1"/>
          </c:dLbls>
          <c:cat>
            <c:strRef>
              <c:f>[Book2]Sheet1!$B$27:$C$27</c:f>
              <c:strCache>
                <c:ptCount val="2"/>
                <c:pt idx="0">
                  <c:v>2019预算</c:v>
                </c:pt>
                <c:pt idx="1">
                  <c:v>2019决算</c:v>
                </c:pt>
              </c:strCache>
            </c:strRef>
          </c:cat>
          <c:val>
            <c:numRef>
              <c:f>[Book2]Sheet1!$B$28:$C$28</c:f>
              <c:numCache>
                <c:formatCode>General</c:formatCode>
                <c:ptCount val="2"/>
                <c:pt idx="0">
                  <c:v>2127.54</c:v>
                </c:pt>
                <c:pt idx="1">
                  <c:v>4506.35</c:v>
                </c:pt>
              </c:numCache>
            </c:numRef>
          </c:val>
        </c:ser>
        <c:ser>
          <c:idx val="1"/>
          <c:order val="1"/>
          <c:tx>
            <c:strRef>
              <c:f>"支出"</c:f>
              <c:strCache>
                <c:ptCount val="1"/>
                <c:pt idx="0">
                  <c:v>支出</c:v>
                </c:pt>
              </c:strCache>
            </c:strRef>
          </c:tx>
          <c:spPr>
            <a:solidFill>
              <a:schemeClr val="accent2"/>
            </a:solidFill>
            <a:ln>
              <a:noFill/>
            </a:ln>
            <a:effectLst/>
          </c:spPr>
          <c:invertIfNegative val="0"/>
          <c:dLbls>
            <c:delete val="1"/>
          </c:dLbls>
          <c:cat>
            <c:strRef>
              <c:f>[Book2]Sheet1!$B$27:$C$27</c:f>
              <c:strCache>
                <c:ptCount val="2"/>
                <c:pt idx="0">
                  <c:v>2019预算</c:v>
                </c:pt>
                <c:pt idx="1">
                  <c:v>2019决算</c:v>
                </c:pt>
              </c:strCache>
            </c:strRef>
          </c:cat>
          <c:val>
            <c:numRef>
              <c:f>[Book2]Sheet1!$B$29:$C$29</c:f>
              <c:numCache>
                <c:formatCode>General</c:formatCode>
                <c:ptCount val="2"/>
                <c:pt idx="0">
                  <c:v>2127.54</c:v>
                </c:pt>
                <c:pt idx="1">
                  <c:v>3400.72</c:v>
                </c:pt>
              </c:numCache>
            </c:numRef>
          </c:val>
        </c:ser>
        <c:dLbls>
          <c:showLegendKey val="0"/>
          <c:showVal val="0"/>
          <c:showCatName val="0"/>
          <c:showSerName val="0"/>
          <c:showPercent val="0"/>
          <c:showBubbleSize val="0"/>
        </c:dLbls>
        <c:gapWidth val="219"/>
        <c:overlap val="-27"/>
        <c:axId val="724920762"/>
        <c:axId val="752347951"/>
      </c:barChart>
      <c:catAx>
        <c:axId val="72492076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52347951"/>
        <c:crosses val="autoZero"/>
        <c:auto val="1"/>
        <c:lblAlgn val="ctr"/>
        <c:lblOffset val="100"/>
        <c:noMultiLvlLbl val="0"/>
      </c:catAx>
      <c:valAx>
        <c:axId val="7523479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4920762"/>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23</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 11</cp:lastModifiedBy>
  <cp:lastPrinted>2020-10-23T09:10:00Z</cp:lastPrinted>
  <dcterms:modified xsi:type="dcterms:W3CDTF">2021-07-06T01:52:54Z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