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二〇二〇年十月</w:t>
                  </w:r>
                </w:p>
              </w:txbxContent>
            </v:textbox>
          </v:shape>
        </w:pict>
      </w:r>
      <w:r>
        <w:pict>
          <v:shape id="椭圆 8" o:spid="_x0000_s1051" o:spt="3" type="#_x0000_t3" style="position:absolute;left:0pt;margin-left:53.5pt;margin-top:232.45pt;height:121.95pt;width:121.95pt;z-index:251661312;v-text-anchor:middle;mso-width-relative:page;mso-height-relative:page;" fillcolor="#C8ECCC" filled="t" stroked="f" coordsize="21600,21600" o:gfxdata="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G06KhnaAAAACwEAAA8AAAAA&#10;AAAAAQAgAAAAIgAAAGRycy9kb3ducmV2LnhtbFBLAQIUABQAAAAIAIdO4kAMuQwt2QEAAIcDAAAO&#10;AAAAAAAAAAEAIAAAACkBAABkcnMvZTJvRG9jLnhtbFBLBQYAAAAABgAGAFkBAAB0BQAAAAA=&#10;">
            <v:path/>
            <v:fill on="t" focussize="0,0"/>
            <v:stroke on="f" weight="1pt" joinstyle="miter"/>
            <v:imagedata o:title=""/>
            <o:lock v:ext="edit"/>
            <v:textbox>
              <w:txbxContent>
                <w:p>
                  <w:pPr>
                    <w:jc w:val="center"/>
                  </w:pPr>
                </w:p>
              </w:txbxContent>
            </v:textbox>
          </v:shape>
        </w:pict>
      </w:r>
      <w:r>
        <w:pict>
          <v:rect id="矩形 14" o:spid="_x0000_s1050"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CCE8CF" w:themeColor="background1"/>
                      <w:kern w:val="24"/>
                      <w:sz w:val="72"/>
                      <w:szCs w:val="72"/>
                    </w:rPr>
                    <w:t>2019</w:t>
                  </w:r>
                </w:p>
              </w:txbxContent>
            </v:textbox>
          </v:rect>
        </w:pict>
      </w:r>
      <w:r>
        <w:pict>
          <v:shape id="椭圆 9" o:spid="_x0000_s1049"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_x0000_s1046" o:spid="_x0000_s1046" o:spt="203" style="position:absolute;left:0pt;margin-left:1.25pt;margin-top:821.7pt;height:21.45pt;width:595.25pt;z-index:251662336;mso-width-relative:page;mso-height-relative:page;" coordorigin="1483,16692" coordsize="11905,-2147483648"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48"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7"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43" o:spid="_x0000_s1043" o:spt="203" style="position:absolute;left:0pt;margin-left:-2.5pt;margin-top:-6.95pt;height:9.22337203578103e+17pt;width:9.22337203578103e+17pt;z-index:-251649024;mso-width-relative:page;mso-height-relative:page;" coordsize="25627,645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45"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color2="#FFFFFF" focussize="0,0"/>
              <v:stroke on="f" weight="1pt"/>
              <v:imagedata o:title=""/>
              <o:lock v:ext="edit" aspectratio="f"/>
            </v:rect>
            <v:shape id="_x0000_s1044" o:spid="_x0000_s1044" o:spt="202" type="#_x0000_t202" style="position:absolute;left:0;top:0;height:0;width:0;"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v:imagedata o:title=""/>
              <o:lock v:ext="edit" aspectratio="f"/>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42"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藁城区行政审批局</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二〇二〇年十月</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41" o:spid="_x0000_s1041"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yIwOptoAAAANAQAADwAAAAAAAAABACAAAAAiAAAAZHJzL2Rv&#10;d25yZXYueG1sUEsBAhQAFAAAAAgAh07iQJjFtplxAgAA3wQAAA4AAAAAAAAAAQAgAAAAKQEAAGRy&#10;cy9lMm9Eb2MueG1sUEsFBgAAAAAGAAYAWQEAAAwGAAAAAA==&#10;">
            <v:path/>
            <v:fill type="pattern" on="t" color2="#C8ECCC" o:title="image2" focussize="0,0" r:id="rId31"/>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tbl>
      <w:tblPr>
        <w:tblStyle w:val="7"/>
        <w:tblW w:w="94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05"/>
        <w:gridCol w:w="3876"/>
        <w:gridCol w:w="2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tcPr>
          <w:p>
            <w:pPr>
              <w:jc w:val="center"/>
              <w:rPr>
                <w:rFonts w:ascii="仿宋" w:hAnsi="仿宋" w:eastAsia="仿宋" w:cs="仿宋"/>
                <w:sz w:val="30"/>
                <w:szCs w:val="30"/>
              </w:rPr>
            </w:pPr>
            <w:r>
              <w:rPr>
                <w:rFonts w:hint="eastAsia" w:ascii="仿宋" w:hAnsi="仿宋" w:eastAsia="仿宋" w:cs="仿宋"/>
                <w:sz w:val="30"/>
                <w:szCs w:val="30"/>
              </w:rPr>
              <w:t>职责名称</w:t>
            </w:r>
          </w:p>
        </w:tc>
        <w:tc>
          <w:tcPr>
            <w:tcW w:w="3876" w:type="dxa"/>
          </w:tcPr>
          <w:p>
            <w:pPr>
              <w:jc w:val="center"/>
              <w:rPr>
                <w:rFonts w:ascii="仿宋" w:hAnsi="仿宋" w:eastAsia="仿宋" w:cs="仿宋"/>
                <w:sz w:val="30"/>
                <w:szCs w:val="30"/>
              </w:rPr>
            </w:pPr>
            <w:r>
              <w:rPr>
                <w:rFonts w:hint="eastAsia" w:ascii="仿宋" w:hAnsi="仿宋" w:eastAsia="仿宋" w:cs="仿宋"/>
                <w:sz w:val="30"/>
                <w:szCs w:val="30"/>
              </w:rPr>
              <w:t>职责描述</w:t>
            </w:r>
          </w:p>
        </w:tc>
        <w:tc>
          <w:tcPr>
            <w:tcW w:w="2983" w:type="dxa"/>
          </w:tcPr>
          <w:p>
            <w:pPr>
              <w:jc w:val="center"/>
              <w:rPr>
                <w:rFonts w:ascii="仿宋" w:hAnsi="仿宋" w:eastAsia="仿宋" w:cs="仿宋"/>
                <w:sz w:val="30"/>
                <w:szCs w:val="30"/>
              </w:rPr>
            </w:pPr>
            <w:r>
              <w:rPr>
                <w:rFonts w:hint="eastAsia" w:ascii="仿宋" w:hAnsi="仿宋" w:eastAsia="仿宋" w:cs="仿宋"/>
                <w:sz w:val="30"/>
                <w:szCs w:val="30"/>
              </w:rPr>
              <w:t>职责目标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机关行政事务和公文运转</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负责区委、区政府公文承办、落实.结合机关内部的具体情况，研究拟定关于机关事务工作的方针和规章制度</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保障区委、区政府指示精神的落实到位，保障中心正常运转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协调窗口事务及信息档案工作</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负责安排各单位入驻审批服务项目、进驻大厅工作人员,对涉及多部门的审批事项进行协调</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确保各单位入驻事项应进必进，重点项目并联审批事项顺利进行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对窗口工作人员管理和考核</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负责对窗口单位及窗口工作人员进行考核，采取量化考核和民主评议相结合的方式进行</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确保窗口工作人员爱岗敬业、遵守纪律、精通业务，为服务对象提供优质服务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协调窗口办件</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及时准确地提供相关政策、法律法规查询，完善“三证合一”登记管理制度</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及时准确地提供相关政策、法律法规查询。确保规定时间内完成三证合一登记出证工作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服务保障</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中心的环境卫生、绿化、美化以及大厅办公设施的维护管理购置工作。</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信息真实完整，线路畅通、运行稳定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安全保卫工作</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大厅的工作场所的安全保卫、消防工作，制定各项安全防范制度和措施。</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协助窗口单位做好文件保管及保密工作。维护机关正常工作秩序。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机关行政事务和机关会务信息档案工作</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根据党和国家及区委、区政府的有关方针政策，结合机关内部的具体情况，研究拟定关于机关事务工作的方针和规章制度</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保障中心各项后勤工作有序开展，为各窗口服好务。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服务保障</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中心的环境卫生、绿化、美化以及大厅办公设施的维护管理购置工作。</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为窗口工作人员提供良好的工作环境。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基建维修</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负责中心的房屋维修，水电暖通讯设备使用、管理及维修，对中央空调等大型设备进行定期维护。</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为各窗口工作人员提供良好的工作保障，做好各种大型设备的维修保养工作。确保正常运转。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办公用品采购</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负责中心水、电、暖、网、办公用品等硬、软件的管理工作的方针和规章制度</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保障中心正常开展各项业务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信息化建设</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负责全区行政审批、政务服务体系的信息化建设</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各项配套电子设备，保障高效办公。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其他事项</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承办区委、区政府交办的其他事项</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做好区委、区政府安排的突发及临时性工作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公共资源交易中心</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行使政府采购、住建局建筑市场交易、国土局地产交易等公共资源交易职能。收集和发布各类交易信息，为交易活动提供场所、设施和服务；负责公共资源交易程序的组织实施，发放中标(成交)通知书、收退相关费用等；综合使用社会中介服务机构库、各类评审专家库等；见证公共资源交易项目交易过程，为有关部门对公共资源交易活动进行监管提供依据；建立公共资源交易主体信誉评价制度，协助有关部门推进公共资源主体信誉管理体系建设等。</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建立公共资源交易主体信誉评价制度，协助有关部门推进公共资源主体信誉管理体系建设等。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5"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行政审批服务中心</w:t>
            </w:r>
          </w:p>
        </w:tc>
        <w:tc>
          <w:tcPr>
            <w:tcW w:w="3876"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对行政审批事项和政务服务事项提供咨询、领办、代办等服务，对全区重点项目提供全程帮办、无偿代办服务；负责行政审批局电子政务网络建设维护、平台运行和工作人员的技术培训、指导工作；承接省、市电子政务网络建设的有关工作，推行“互联网+政务服务”模式，建立实体服务大厅、网上办事大厅、移动客户端、自动终端等多种形式相结合的公共服务平台，构建区乡一体化的网上在线审批平台；建立完善行政审批服务中心的各项规章制度，提供各项优质服务；完成行政审批局交办的其他工作。</w:t>
            </w:r>
          </w:p>
        </w:tc>
        <w:tc>
          <w:tcPr>
            <w:tcW w:w="2983" w:type="dxa"/>
            <w:vAlign w:val="center"/>
          </w:tcPr>
          <w:p>
            <w:pPr>
              <w:spacing w:line="440" w:lineRule="exact"/>
              <w:jc w:val="center"/>
              <w:rPr>
                <w:rFonts w:ascii="仿宋" w:hAnsi="仿宋" w:eastAsia="仿宋" w:cs="仿宋"/>
                <w:sz w:val="28"/>
                <w:szCs w:val="28"/>
              </w:rPr>
            </w:pPr>
            <w:r>
              <w:rPr>
                <w:rFonts w:hint="eastAsia" w:ascii="仿宋" w:hAnsi="仿宋" w:eastAsia="仿宋" w:cs="仿宋"/>
                <w:sz w:val="28"/>
                <w:szCs w:val="28"/>
              </w:rPr>
              <w:t>审批事项代办、互联网络+政务服务模式建立。及局领导交办的各项工作。</w:t>
            </w:r>
          </w:p>
        </w:tc>
      </w:tr>
    </w:tbl>
    <w:p>
      <w:pPr>
        <w:keepNext/>
        <w:keepLines/>
        <w:spacing w:line="580" w:lineRule="exact"/>
        <w:ind w:firstLine="640" w:firstLineChars="200"/>
        <w:jc w:val="left"/>
        <w:outlineLvl w:val="0"/>
        <w:rPr>
          <w:rFonts w:ascii="黑体" w:hAnsi="Calibri" w:eastAsia="黑体" w:cs="黑体"/>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藁城区行政审批局</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40" o:spid="_x0000_s1040"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9" o:spid="_x0000_s1039"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WnDv39oAAAALAQAADwAAAAAAAAABACAAAAAiAAAAZHJzL2Rvd25yZXYueG1sUEsBAhQAFAAA&#10;AAgAh07iQEjwTAxfAgAAugQAAA4AAAAAAAAAAQAgAAAAKQEAAGRycy9lMm9Eb2MueG1sUEsFBgAA&#10;AAAGAAYAWQEAAPoFAAAAAA==&#10;">
            <v:path/>
            <v:fill type="pattern" on="t" color2="#C8ECCC" o:title="image2"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本部门2019年度收支总计（含结转和结余）1331.13万元。与2018年度决算相比，收支各增加245.78万元，增长22.6%，主要原因是人员增加。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drawing>
          <wp:anchor distT="0" distB="0" distL="114300" distR="114300" simplePos="0" relativeHeight="251695104" behindDoc="0" locked="0" layoutInCell="1" allowOverlap="1">
            <wp:simplePos x="0" y="0"/>
            <wp:positionH relativeFrom="column">
              <wp:posOffset>1749425</wp:posOffset>
            </wp:positionH>
            <wp:positionV relativeFrom="paragraph">
              <wp:posOffset>2172335</wp:posOffset>
            </wp:positionV>
            <wp:extent cx="3147695" cy="2086610"/>
            <wp:effectExtent l="5080" t="4445" r="9525" b="23495"/>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Pr>
          <w:rFonts w:hint="eastAsia" w:ascii="仿宋_GB2312" w:hAnsi="Times New Roman" w:eastAsia="仿宋_GB2312" w:cs="DengXian-Regular"/>
          <w:sz w:val="32"/>
          <w:szCs w:val="32"/>
        </w:rPr>
        <w:t>本部门2019年度本年收入合计1331.13万元，其中：财政拨款收入1331.13万元，占100%；</w:t>
      </w:r>
      <w:r>
        <w:rPr>
          <w:rFonts w:ascii="黑体" w:hAnsi="Calibri" w:eastAsia="黑体" w:cs="Times New Roman"/>
          <w:b/>
          <w:bCs/>
          <w:sz w:val="32"/>
          <w:szCs w:val="32"/>
        </w:rPr>
        <w:t xml:space="preserve"> </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本部门2019年度本年支出合计1331.13万元，其中：基本支出773.71万元，占58.1%；项目支出557.42万元，占41.9%；如图所示：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本部门2019年度形成的财政拨款收支均为一般公共预算财政拨款，其中本年收入1331.13万元,比2018年度增加245.78万元，增长22.6%，主要是人员增加；本年支出1331.13万元，增加245.78万元，增长22.6%，主要是人员增加。</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drawing>
          <wp:anchor distT="0" distB="0" distL="114300" distR="114300" simplePos="0" relativeHeight="251692032" behindDoc="0" locked="0" layoutInCell="1" allowOverlap="1">
            <wp:simplePos x="0" y="0"/>
            <wp:positionH relativeFrom="column">
              <wp:posOffset>672465</wp:posOffset>
            </wp:positionH>
            <wp:positionV relativeFrom="paragraph">
              <wp:posOffset>37465</wp:posOffset>
            </wp:positionV>
            <wp:extent cx="4065905" cy="3020060"/>
            <wp:effectExtent l="4445" t="4445" r="6350" b="23495"/>
            <wp:wrapSquare wrapText="bothSides"/>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1331.13万元，完成年初预算的113%（如图4）,比年初预算增加150.13万元，决算数大于预算数主要原因是人员增加；本年支出1331.13万元，完成年初预算的113%,比年初预算增加150.13万元，决算数大于预算数主要原因是主要是人员增加。</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3056" behindDoc="0" locked="0" layoutInCell="1" allowOverlap="1">
            <wp:simplePos x="0" y="0"/>
            <wp:positionH relativeFrom="column">
              <wp:posOffset>1082040</wp:posOffset>
            </wp:positionH>
            <wp:positionV relativeFrom="paragraph">
              <wp:posOffset>142240</wp:posOffset>
            </wp:positionV>
            <wp:extent cx="3642360" cy="2926715"/>
            <wp:effectExtent l="4445" t="4445" r="10795" b="21590"/>
            <wp:wrapSquare wrapText="bothSides"/>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年度财政拨款支出1331.13万元，主要用于以下方面一般公共服务（类）支出1331.13万元，占100%，；</w:t>
      </w:r>
      <w:r>
        <w:rPr>
          <w:rFonts w:ascii="楷体_GB2312" w:hAnsi="Times New Roman" w:eastAsia="楷体_GB2312" w:cs="DengXian-Bold"/>
          <w:b/>
          <w:bCs/>
          <w:sz w:val="32"/>
          <w:szCs w:val="32"/>
        </w:rPr>
        <w:t xml:space="preserve"> </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anchor distT="0" distB="0" distL="114300" distR="114300" simplePos="0" relativeHeight="251694080" behindDoc="0" locked="0" layoutInCell="1" allowOverlap="1">
            <wp:simplePos x="0" y="0"/>
            <wp:positionH relativeFrom="column">
              <wp:posOffset>1120140</wp:posOffset>
            </wp:positionH>
            <wp:positionV relativeFrom="paragraph">
              <wp:posOffset>81280</wp:posOffset>
            </wp:positionV>
            <wp:extent cx="3909060" cy="3160395"/>
            <wp:effectExtent l="4445" t="4445" r="10795" b="16510"/>
            <wp:wrapSquare wrapText="bothSides"/>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adjustRightInd w:val="0"/>
        <w:snapToGrid w:val="0"/>
        <w:spacing w:line="580" w:lineRule="exact"/>
        <w:ind w:firstLine="643" w:firstLineChars="200"/>
        <w:rPr>
          <w:rFonts w:ascii="楷体_GB2312" w:hAnsi="Times New Roman" w:eastAsia="楷体_GB2312" w:cs="DengXian-Bold"/>
          <w:b/>
          <w:bCs/>
          <w:sz w:val="32"/>
          <w:szCs w:val="32"/>
        </w:rPr>
      </w:pPr>
    </w:p>
    <w:p>
      <w:pPr>
        <w:adjustRightInd w:val="0"/>
        <w:snapToGrid w:val="0"/>
        <w:spacing w:line="580" w:lineRule="exact"/>
        <w:ind w:firstLine="643" w:firstLineChars="200"/>
        <w:rPr>
          <w:rFonts w:ascii="楷体_GB2312" w:hAnsi="Times New Roman" w:eastAsia="楷体_GB2312" w:cs="DengXian-Bold"/>
          <w:b/>
          <w:bCs/>
          <w:sz w:val="32"/>
          <w:szCs w:val="32"/>
        </w:rPr>
      </w:pPr>
    </w:p>
    <w:p>
      <w:pPr>
        <w:adjustRightInd w:val="0"/>
        <w:snapToGrid w:val="0"/>
        <w:spacing w:line="580" w:lineRule="exact"/>
        <w:ind w:firstLine="643" w:firstLineChars="200"/>
        <w:rPr>
          <w:rFonts w:ascii="楷体_GB2312" w:hAnsi="Times New Roman" w:eastAsia="楷体_GB2312" w:cs="DengXian-Bold"/>
          <w:b/>
          <w:bCs/>
          <w:sz w:val="32"/>
          <w:szCs w:val="32"/>
        </w:rPr>
      </w:pPr>
    </w:p>
    <w:p>
      <w:pPr>
        <w:adjustRightInd w:val="0"/>
        <w:snapToGrid w:val="0"/>
        <w:spacing w:line="580" w:lineRule="exact"/>
        <w:ind w:firstLine="643" w:firstLineChars="200"/>
        <w:rPr>
          <w:rFonts w:ascii="楷体_GB2312" w:hAnsi="Times New Roman" w:eastAsia="楷体_GB2312" w:cs="DengXian-Bold"/>
          <w:b/>
          <w:bCs/>
          <w:sz w:val="32"/>
          <w:szCs w:val="32"/>
        </w:rPr>
      </w:pPr>
    </w:p>
    <w:p>
      <w:pPr>
        <w:adjustRightInd w:val="0"/>
        <w:snapToGrid w:val="0"/>
        <w:spacing w:line="580" w:lineRule="exact"/>
        <w:ind w:firstLine="643" w:firstLine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年度财政拨款基本支出773.7万元，其中：人员经费 684.7万元，主要包括基本工资、津贴补贴、奖金、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89万元，主要包括办公费、印刷费、咨询费、手续费、水费、电费、邮电费、取暖费、物业管理费、差旅费、因公出国（境）费用、维修（护）费、租赁费、会议费、培训费、公务接待费、专用材料费、劳务费、委托业务费、工会经费、福利费、、税金及附加费用、其他商品和服务支出、办公设备购置、专用设备购置、信息网络及软件购置更新。</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本部门2019年度“三公”经费支出共计0万元，完成预算的0%,较预算增加0万元，增长0%，较2018年度增加0万元，增长0%。具体情况如下：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增加0万元，增长0%；较上年增加（减少）0万元，增长0%，</w:t>
      </w:r>
      <w:r>
        <w:rPr>
          <w:rFonts w:hint="eastAsia" w:ascii="仿宋_GB2312" w:hAnsi="Times New Roman" w:eastAsia="仿宋_GB2312" w:cs="DengXian-Regular"/>
          <w:color w:val="000000"/>
          <w:sz w:val="32"/>
          <w:szCs w:val="32"/>
        </w:rPr>
        <w:t>未发生“公务用车购置”经费支出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（二）公务用车购置及运行维护费支出0万元。</w:t>
      </w:r>
      <w:r>
        <w:rPr>
          <w:rFonts w:hint="eastAsia" w:ascii="仿宋_GB2312" w:hAnsi="Times New Roman" w:eastAsia="仿宋_GB2312" w:cs="DengXian-Regular"/>
          <w:sz w:val="32"/>
          <w:szCs w:val="32"/>
        </w:rPr>
        <w:t>本部门2019年度公务用车购置及运行维护费较预算减少0万元，降低0%；较上年减少0万元，降低0%。</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color w:val="000000"/>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本部门2019年度公务用车购置量0辆，发生“公务用车购置”经费支出0万元。公务用车购置费支出较预算增加0万元，增长0%,主要是</w:t>
      </w:r>
      <w:r>
        <w:rPr>
          <w:rFonts w:hint="eastAsia" w:ascii="仿宋_GB2312" w:hAnsi="Times New Roman" w:eastAsia="仿宋_GB2312" w:cs="DengXian-Regular"/>
          <w:color w:val="000000"/>
          <w:sz w:val="32"/>
          <w:szCs w:val="32"/>
        </w:rPr>
        <w:t>未发生“公务用车购置”经费支出</w:t>
      </w:r>
      <w:r>
        <w:rPr>
          <w:rFonts w:hint="eastAsia" w:ascii="仿宋_GB2312" w:hAnsi="Times New Roman" w:eastAsia="仿宋_GB2312" w:cs="DengXian-Regular"/>
          <w:sz w:val="32"/>
          <w:szCs w:val="32"/>
        </w:rPr>
        <w:t>；较上年增加0万元，增长0%,主要是</w:t>
      </w:r>
      <w:r>
        <w:rPr>
          <w:rFonts w:hint="eastAsia" w:ascii="仿宋_GB2312" w:hAnsi="Times New Roman" w:eastAsia="仿宋_GB2312" w:cs="DengXian-Regular"/>
          <w:color w:val="000000"/>
          <w:sz w:val="32"/>
          <w:szCs w:val="32"/>
        </w:rPr>
        <w:t>未发生“公务用车购置”经费支出。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本部门2019年度单位公务用车保有量0辆。公车运行维护费支出较预算增加0万元，增长0%,主要是</w:t>
      </w:r>
      <w:r>
        <w:rPr>
          <w:rFonts w:hint="eastAsia" w:ascii="仿宋_GB2312" w:hAnsi="Times New Roman" w:eastAsia="仿宋_GB2312" w:cs="DengXian-Regular"/>
          <w:color w:val="000000"/>
          <w:sz w:val="32"/>
          <w:szCs w:val="32"/>
        </w:rPr>
        <w:t>未发生“公务用车运行维护”经费支出</w:t>
      </w:r>
      <w:r>
        <w:rPr>
          <w:rFonts w:hint="eastAsia" w:ascii="仿宋_GB2312" w:hAnsi="Times New Roman" w:eastAsia="仿宋_GB2312" w:cs="DengXian-Regular"/>
          <w:sz w:val="32"/>
          <w:szCs w:val="32"/>
        </w:rPr>
        <w:t>；较上年增加0万元，增长0%，主要是</w:t>
      </w:r>
      <w:r>
        <w:rPr>
          <w:rFonts w:hint="eastAsia" w:ascii="仿宋_GB2312" w:hAnsi="Times New Roman" w:eastAsia="仿宋_GB2312" w:cs="DengXian-Regular"/>
          <w:color w:val="000000"/>
          <w:sz w:val="32"/>
          <w:szCs w:val="32"/>
        </w:rPr>
        <w:t>未发生“公务用车运行维护”经费支出。</w:t>
      </w:r>
    </w:p>
    <w:p>
      <w:pPr>
        <w:adjustRightInd w:val="0"/>
        <w:snapToGrid w:val="0"/>
        <w:spacing w:line="580" w:lineRule="exact"/>
        <w:ind w:firstLine="643" w:firstLineChars="200"/>
        <w:rPr>
          <w:rFonts w:ascii="仿宋_GB2312" w:hAnsi="Times New Roman" w:eastAsia="仿宋_GB2312" w:cs="DengXian-Regular"/>
          <w:color w:val="000000"/>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本部门2019年度公务接待共0批次、0人次。公务接待费支出较预算减少0万元，降低0%,主要是</w:t>
      </w:r>
      <w:r>
        <w:rPr>
          <w:rFonts w:hint="eastAsia" w:ascii="仿宋_GB2312" w:hAnsi="Times New Roman" w:eastAsia="仿宋_GB2312" w:cs="DengXian-Regular"/>
          <w:color w:val="000000"/>
          <w:sz w:val="32"/>
          <w:szCs w:val="32"/>
        </w:rPr>
        <w:t>未发生“公务接待费”经费支出</w:t>
      </w:r>
      <w:r>
        <w:rPr>
          <w:rFonts w:hint="eastAsia" w:ascii="仿宋_GB2312" w:hAnsi="Times New Roman" w:eastAsia="仿宋_GB2312" w:cs="DengXian-Regular"/>
          <w:sz w:val="32"/>
          <w:szCs w:val="32"/>
        </w:rPr>
        <w:t>；较上年度减少0万元，降低0%,主要是</w:t>
      </w:r>
      <w:r>
        <w:rPr>
          <w:rFonts w:hint="eastAsia" w:ascii="仿宋_GB2312" w:hAnsi="Times New Roman" w:eastAsia="仿宋_GB2312" w:cs="DengXian-Regular"/>
          <w:color w:val="000000"/>
          <w:sz w:val="32"/>
          <w:szCs w:val="32"/>
        </w:rPr>
        <w:t>未发生“公务接待费”经费支出。</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eastAsia="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根据预算绩效管理要求，本部门组织对2019年度一般公共预算项目支出全面开展绩效自评，其中，一级项目1个，二级项目1个，共涉及资金223.04万元，占一般公共预算项目支出总额的61.4%。</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本部门在今年部门决算公开中反映政务服务中心运行维护费项目绩效自评结果。</w:t>
      </w:r>
    </w:p>
    <w:p>
      <w:pPr>
        <w:adjustRightInd w:val="0"/>
        <w:snapToGrid w:val="0"/>
        <w:spacing w:line="580" w:lineRule="exact"/>
        <w:ind w:firstLine="640" w:firstLineChars="200"/>
        <w:rPr>
          <w:rFonts w:ascii="仿宋_GB2312" w:eastAsia="仿宋_GB2312"/>
          <w:sz w:val="32"/>
          <w:szCs w:val="32"/>
        </w:rPr>
      </w:pPr>
      <w:r>
        <w:rPr>
          <w:rFonts w:hint="eastAsia" w:ascii="仿宋_GB2312" w:eastAsia="仿宋_GB2312"/>
          <w:sz w:val="32"/>
          <w:szCs w:val="32"/>
        </w:rPr>
        <w:t>藁城区行政审批局运行维护费是保障局水电费、保洁、警卫及日常办公费用支出。</w:t>
      </w:r>
    </w:p>
    <w:p>
      <w:pPr>
        <w:ind w:firstLine="633" w:firstLineChars="198"/>
        <w:rPr>
          <w:rFonts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ascii="仿宋_GB2312" w:eastAsia="仿宋_GB2312"/>
          <w:sz w:val="32"/>
          <w:szCs w:val="32"/>
        </w:rPr>
      </w:pPr>
      <w:r>
        <w:rPr>
          <w:rFonts w:hint="eastAsia" w:ascii="仿宋_GB2312" w:eastAsia="仿宋_GB2312"/>
          <w:sz w:val="32"/>
          <w:szCs w:val="32"/>
        </w:rPr>
        <w:t>1、2018年12月底前运行维护费全部支出，项目资金34.26万全部落实，完成率100%</w:t>
      </w:r>
    </w:p>
    <w:p>
      <w:pPr>
        <w:numPr>
          <w:ilvl w:val="0"/>
          <w:numId w:val="2"/>
        </w:numPr>
        <w:ind w:firstLine="640" w:firstLineChars="200"/>
        <w:rPr>
          <w:rFonts w:ascii="仿宋_GB2312" w:eastAsia="仿宋_GB2312"/>
          <w:sz w:val="32"/>
          <w:szCs w:val="32"/>
        </w:rPr>
      </w:pPr>
      <w:r>
        <w:rPr>
          <w:rFonts w:hint="eastAsia" w:ascii="仿宋_GB2312" w:eastAsia="仿宋_GB2312"/>
          <w:sz w:val="32"/>
          <w:szCs w:val="32"/>
        </w:rPr>
        <w:t>项目完成及时率</w:t>
      </w:r>
    </w:p>
    <w:p>
      <w:pPr>
        <w:ind w:firstLine="960" w:firstLineChars="300"/>
        <w:rPr>
          <w:rFonts w:ascii="仿宋_GB2312" w:eastAsia="仿宋_GB2312"/>
          <w:sz w:val="32"/>
          <w:szCs w:val="32"/>
        </w:rPr>
      </w:pPr>
      <w:r>
        <w:rPr>
          <w:rFonts w:hint="eastAsia" w:ascii="仿宋_GB2312" w:eastAsia="仿宋_GB2312"/>
          <w:sz w:val="32"/>
          <w:szCs w:val="32"/>
        </w:rPr>
        <w:t>项目完成及时率100%</w:t>
      </w:r>
    </w:p>
    <w:p>
      <w:pPr>
        <w:numPr>
          <w:ilvl w:val="0"/>
          <w:numId w:val="2"/>
        </w:numPr>
        <w:ind w:firstLine="640" w:firstLineChars="200"/>
        <w:rPr>
          <w:rFonts w:ascii="仿宋_GB2312" w:eastAsia="仿宋_GB2312"/>
          <w:sz w:val="32"/>
          <w:szCs w:val="32"/>
        </w:rPr>
      </w:pPr>
      <w:r>
        <w:rPr>
          <w:rFonts w:hint="eastAsia" w:ascii="仿宋_GB2312" w:eastAsia="仿宋_GB2312"/>
          <w:sz w:val="32"/>
          <w:szCs w:val="32"/>
        </w:rPr>
        <w:t>项目完成质量达标率</w:t>
      </w:r>
    </w:p>
    <w:p>
      <w:pPr>
        <w:ind w:left="420" w:leftChars="200"/>
        <w:rPr>
          <w:rFonts w:ascii="仿宋_GB2312" w:eastAsia="仿宋_GB2312"/>
          <w:sz w:val="32"/>
          <w:szCs w:val="32"/>
        </w:rPr>
      </w:pPr>
      <w:r>
        <w:rPr>
          <w:rFonts w:hint="eastAsia" w:ascii="仿宋_GB2312" w:eastAsia="仿宋_GB2312"/>
          <w:sz w:val="32"/>
          <w:szCs w:val="32"/>
        </w:rPr>
        <w:t>质量达标100%</w:t>
      </w:r>
    </w:p>
    <w:p>
      <w:pPr>
        <w:ind w:firstLine="640" w:firstLineChars="200"/>
        <w:rPr>
          <w:rFonts w:ascii="仿宋_GB2312" w:eastAsia="仿宋_GB2312"/>
          <w:sz w:val="32"/>
          <w:szCs w:val="32"/>
        </w:rPr>
      </w:pPr>
      <w:r>
        <w:rPr>
          <w:rFonts w:hint="eastAsia" w:ascii="仿宋_GB2312" w:eastAsia="仿宋_GB2312"/>
          <w:sz w:val="32"/>
          <w:szCs w:val="32"/>
        </w:rPr>
        <w:t>4、项目成本节约率</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ascii="仿宋_GB2312" w:eastAsia="仿宋_GB2312"/>
          <w:sz w:val="32"/>
          <w:szCs w:val="32"/>
        </w:rPr>
      </w:pPr>
      <w:r>
        <w:rPr>
          <w:rFonts w:hint="eastAsia" w:ascii="仿宋_GB2312" w:eastAsia="仿宋_GB2312"/>
          <w:sz w:val="32"/>
          <w:szCs w:val="32"/>
        </w:rPr>
        <w:t>1、项目实施的社会效益分析</w:t>
      </w:r>
    </w:p>
    <w:p>
      <w:pPr>
        <w:ind w:firstLine="640" w:firstLineChars="200"/>
        <w:rPr>
          <w:rFonts w:ascii="仿宋_GB2312" w:eastAsia="仿宋_GB2312"/>
          <w:sz w:val="32"/>
          <w:szCs w:val="32"/>
        </w:rPr>
      </w:pPr>
      <w:r>
        <w:rPr>
          <w:rFonts w:hint="eastAsia" w:ascii="仿宋_GB2312" w:eastAsia="仿宋_GB2312"/>
          <w:sz w:val="32"/>
          <w:szCs w:val="32"/>
        </w:rPr>
        <w:t>区审批局做为窗口单位，而且各类审批事项也在不停划转中，此项目实施更好的保障区审批局工作人员正常开展工作，也方便群众办事，方便服务对象。</w:t>
      </w:r>
    </w:p>
    <w:p>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项目实施的可持续性影响分析</w:t>
      </w:r>
    </w:p>
    <w:p>
      <w:pPr>
        <w:rPr>
          <w:rFonts w:ascii="仿宋_GB2312" w:eastAsia="仿宋_GB2312"/>
          <w:sz w:val="32"/>
          <w:szCs w:val="32"/>
        </w:rPr>
      </w:pPr>
      <w:r>
        <w:rPr>
          <w:rFonts w:hint="eastAsia" w:ascii="仿宋_GB2312" w:eastAsia="仿宋_GB2312"/>
          <w:sz w:val="32"/>
          <w:szCs w:val="32"/>
        </w:rPr>
        <w:t xml:space="preserve"> 对审批工作开展创造了条件和基础。</w:t>
      </w:r>
    </w:p>
    <w:p>
      <w:pPr>
        <w:numPr>
          <w:ilvl w:val="0"/>
          <w:numId w:val="4"/>
        </w:numPr>
        <w:rPr>
          <w:rFonts w:ascii="仿宋_GB2312" w:eastAsia="仿宋_GB2312"/>
          <w:sz w:val="32"/>
          <w:szCs w:val="32"/>
        </w:rPr>
      </w:pPr>
      <w:r>
        <w:rPr>
          <w:rFonts w:hint="eastAsia" w:ascii="仿宋_GB2312" w:eastAsia="仿宋_GB2312"/>
          <w:sz w:val="32"/>
          <w:szCs w:val="32"/>
        </w:rPr>
        <w:t>满意度指标完成情况分析</w:t>
      </w:r>
    </w:p>
    <w:p>
      <w:pPr>
        <w:rPr>
          <w:rFonts w:ascii="仿宋_GB2312" w:eastAsia="仿宋_GB2312"/>
          <w:sz w:val="32"/>
          <w:szCs w:val="32"/>
        </w:rPr>
      </w:pPr>
      <w:r>
        <w:rPr>
          <w:rFonts w:hint="eastAsia" w:ascii="仿宋_GB2312" w:eastAsia="仿宋_GB2312"/>
          <w:sz w:val="32"/>
          <w:szCs w:val="32"/>
        </w:rPr>
        <w:t>保障区审批局工作人员正常开展工作，也方便群众办事，方便服务对象</w:t>
      </w:r>
    </w:p>
    <w:tbl>
      <w:tblPr>
        <w:tblStyle w:val="7"/>
        <w:tblW w:w="9330" w:type="dxa"/>
        <w:tblInd w:w="93" w:type="dxa"/>
        <w:shd w:val="clear" w:color="auto" w:fill="auto"/>
        <w:tblLayout w:type="autofit"/>
        <w:tblCellMar>
          <w:top w:w="0" w:type="dxa"/>
          <w:left w:w="108" w:type="dxa"/>
          <w:bottom w:w="0" w:type="dxa"/>
          <w:right w:w="108" w:type="dxa"/>
        </w:tblCellMar>
      </w:tblPr>
      <w:tblGrid>
        <w:gridCol w:w="540"/>
        <w:gridCol w:w="194"/>
        <w:gridCol w:w="436"/>
        <w:gridCol w:w="75"/>
        <w:gridCol w:w="998"/>
        <w:gridCol w:w="75"/>
        <w:gridCol w:w="75"/>
        <w:gridCol w:w="1200"/>
        <w:gridCol w:w="75"/>
        <w:gridCol w:w="1560"/>
        <w:gridCol w:w="75"/>
        <w:gridCol w:w="1050"/>
        <w:gridCol w:w="75"/>
        <w:gridCol w:w="660"/>
        <w:gridCol w:w="75"/>
        <w:gridCol w:w="405"/>
        <w:gridCol w:w="75"/>
        <w:gridCol w:w="1665"/>
        <w:gridCol w:w="75"/>
      </w:tblGrid>
      <w:tr>
        <w:tblPrEx>
          <w:shd w:val="clear" w:color="auto" w:fill="auto"/>
          <w:tblCellMar>
            <w:top w:w="0" w:type="dxa"/>
            <w:left w:w="108" w:type="dxa"/>
            <w:bottom w:w="0" w:type="dxa"/>
            <w:right w:w="108" w:type="dxa"/>
          </w:tblCellMar>
        </w:tblPrEx>
        <w:trPr>
          <w:trHeight w:val="450" w:hRule="atLeast"/>
        </w:trPr>
        <w:tc>
          <w:tcPr>
            <w:tcW w:w="9330" w:type="dxa"/>
            <w:gridSpan w:val="1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6"/>
                <w:szCs w:val="36"/>
                <w:u w:val="none"/>
              </w:rPr>
            </w:pPr>
            <w:r>
              <w:rPr>
                <w:rFonts w:hint="eastAsia" w:ascii="宋体" w:hAnsi="宋体" w:eastAsia="宋体" w:cs="宋体"/>
                <w:i w:val="0"/>
                <w:iCs w:val="0"/>
                <w:color w:val="000000"/>
                <w:kern w:val="0"/>
                <w:sz w:val="36"/>
                <w:szCs w:val="36"/>
                <w:u w:val="none"/>
                <w:lang w:val="en-US" w:eastAsia="zh-CN" w:bidi="ar"/>
              </w:rPr>
              <w:t>石家庄市藁城区财政项目支出绩效自评表</w:t>
            </w:r>
          </w:p>
        </w:tc>
      </w:tr>
      <w:tr>
        <w:tblPrEx>
          <w:tblCellMar>
            <w:top w:w="0" w:type="dxa"/>
            <w:left w:w="108" w:type="dxa"/>
            <w:bottom w:w="0" w:type="dxa"/>
            <w:right w:w="108" w:type="dxa"/>
          </w:tblCellMar>
        </w:tblPrEx>
        <w:trPr>
          <w:trHeight w:val="300" w:hRule="atLeast"/>
        </w:trPr>
        <w:tc>
          <w:tcPr>
            <w:tcW w:w="9330" w:type="dxa"/>
            <w:gridSpan w:val="1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2019年度）</w:t>
            </w:r>
          </w:p>
        </w:tc>
      </w:tr>
      <w:tr>
        <w:tblPrEx>
          <w:tblCellMar>
            <w:top w:w="0" w:type="dxa"/>
            <w:left w:w="108" w:type="dxa"/>
            <w:bottom w:w="0" w:type="dxa"/>
            <w:right w:w="108" w:type="dxa"/>
          </w:tblCellMar>
        </w:tblPrEx>
        <w:trPr>
          <w:trHeight w:val="555" w:hRule="atLeast"/>
        </w:trPr>
        <w:tc>
          <w:tcPr>
            <w:tcW w:w="2265" w:type="dxa"/>
            <w:gridSpan w:val="6"/>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项目名称</w:t>
            </w:r>
          </w:p>
        </w:tc>
        <w:tc>
          <w:tcPr>
            <w:tcW w:w="7065" w:type="dxa"/>
            <w:gridSpan w:val="13"/>
            <w:tcBorders>
              <w:top w:val="single" w:color="000000" w:sz="8" w:space="0"/>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石家庄市藁城区行政审批局营业执照一体机购置费</w:t>
            </w:r>
          </w:p>
        </w:tc>
      </w:tr>
      <w:tr>
        <w:tblPrEx>
          <w:tblCellMar>
            <w:top w:w="0" w:type="dxa"/>
            <w:left w:w="108" w:type="dxa"/>
            <w:bottom w:w="0" w:type="dxa"/>
            <w:right w:w="108" w:type="dxa"/>
          </w:tblCellMar>
        </w:tblPrEx>
        <w:trPr>
          <w:trHeight w:val="499" w:hRule="atLeast"/>
        </w:trPr>
        <w:tc>
          <w:tcPr>
            <w:tcW w:w="2265" w:type="dxa"/>
            <w:gridSpan w:val="6"/>
            <w:tcBorders>
              <w:top w:val="nil"/>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主管部门</w:t>
            </w:r>
          </w:p>
        </w:tc>
        <w:tc>
          <w:tcPr>
            <w:tcW w:w="2985" w:type="dxa"/>
            <w:gridSpan w:val="5"/>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石家庄市藁城区行政审批局</w:t>
            </w:r>
          </w:p>
        </w:tc>
        <w:tc>
          <w:tcPr>
            <w:tcW w:w="1125" w:type="dxa"/>
            <w:gridSpan w:val="2"/>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实施单位</w:t>
            </w:r>
          </w:p>
        </w:tc>
        <w:tc>
          <w:tcPr>
            <w:tcW w:w="2955" w:type="dxa"/>
            <w:gridSpan w:val="6"/>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石家庄市藁城区行政审批局</w:t>
            </w:r>
          </w:p>
        </w:tc>
      </w:tr>
      <w:tr>
        <w:tblPrEx>
          <w:tblCellMar>
            <w:top w:w="0" w:type="dxa"/>
            <w:left w:w="108" w:type="dxa"/>
            <w:bottom w:w="0" w:type="dxa"/>
            <w:right w:w="108" w:type="dxa"/>
          </w:tblCellMar>
        </w:tblPrEx>
        <w:trPr>
          <w:trHeight w:val="540" w:hRule="atLeast"/>
        </w:trPr>
        <w:tc>
          <w:tcPr>
            <w:tcW w:w="2265" w:type="dxa"/>
            <w:gridSpan w:val="6"/>
            <w:vMerge w:val="restart"/>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项目资金</w:t>
            </w:r>
            <w:r>
              <w:rPr>
                <w:rStyle w:val="14"/>
                <w:rFonts w:hAnsi="宋体"/>
                <w:lang w:val="en-US" w:eastAsia="zh-CN" w:bidi="ar"/>
              </w:rPr>
              <w:t>(万元)</w:t>
            </w:r>
          </w:p>
        </w:tc>
        <w:tc>
          <w:tcPr>
            <w:tcW w:w="1350" w:type="dxa"/>
            <w:gridSpan w:val="3"/>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1635" w:type="dxa"/>
            <w:gridSpan w:val="2"/>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全年预算数</w:t>
            </w:r>
            <w:r>
              <w:rPr>
                <w:rStyle w:val="14"/>
                <w:rFonts w:hAnsi="宋体"/>
                <w:lang w:val="en-US" w:eastAsia="zh-CN" w:bidi="ar"/>
              </w:rPr>
              <w:t>(A)</w:t>
            </w:r>
          </w:p>
        </w:tc>
        <w:tc>
          <w:tcPr>
            <w:tcW w:w="186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全年执行数</w:t>
            </w:r>
            <w:r>
              <w:rPr>
                <w:rStyle w:val="14"/>
                <w:rFonts w:hAnsi="宋体"/>
                <w:lang w:val="en-US" w:eastAsia="zh-CN" w:bidi="ar"/>
              </w:rPr>
              <w:t>(B)</w:t>
            </w:r>
          </w:p>
        </w:tc>
        <w:tc>
          <w:tcPr>
            <w:tcW w:w="222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执行率</w:t>
            </w:r>
            <w:r>
              <w:rPr>
                <w:rStyle w:val="14"/>
                <w:rFonts w:hAnsi="宋体"/>
                <w:lang w:val="en-US" w:eastAsia="zh-CN" w:bidi="ar"/>
              </w:rPr>
              <w:t>(B/A)</w:t>
            </w:r>
          </w:p>
        </w:tc>
      </w:tr>
      <w:tr>
        <w:tblPrEx>
          <w:tblCellMar>
            <w:top w:w="0" w:type="dxa"/>
            <w:left w:w="108" w:type="dxa"/>
            <w:bottom w:w="0" w:type="dxa"/>
            <w:right w:w="108" w:type="dxa"/>
          </w:tblCellMar>
        </w:tblPrEx>
        <w:trPr>
          <w:trHeight w:val="540" w:hRule="atLeast"/>
        </w:trPr>
        <w:tc>
          <w:tcPr>
            <w:tcW w:w="2265" w:type="dxa"/>
            <w:gridSpan w:val="6"/>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350" w:type="dxa"/>
            <w:gridSpan w:val="3"/>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年度资金总额</w:t>
            </w:r>
          </w:p>
        </w:tc>
        <w:tc>
          <w:tcPr>
            <w:tcW w:w="1635" w:type="dxa"/>
            <w:gridSpan w:val="2"/>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24.12</w:t>
            </w:r>
          </w:p>
        </w:tc>
        <w:tc>
          <w:tcPr>
            <w:tcW w:w="186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24.12</w:t>
            </w:r>
          </w:p>
        </w:tc>
        <w:tc>
          <w:tcPr>
            <w:tcW w:w="222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r>
      <w:tr>
        <w:tblPrEx>
          <w:tblCellMar>
            <w:top w:w="0" w:type="dxa"/>
            <w:left w:w="108" w:type="dxa"/>
            <w:bottom w:w="0" w:type="dxa"/>
            <w:right w:w="108" w:type="dxa"/>
          </w:tblCellMar>
        </w:tblPrEx>
        <w:trPr>
          <w:trHeight w:val="540" w:hRule="atLeast"/>
        </w:trPr>
        <w:tc>
          <w:tcPr>
            <w:tcW w:w="2265" w:type="dxa"/>
            <w:gridSpan w:val="6"/>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350" w:type="dxa"/>
            <w:gridSpan w:val="3"/>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其中</w:t>
            </w:r>
            <w:r>
              <w:rPr>
                <w:rStyle w:val="14"/>
                <w:rFonts w:hAnsi="宋体"/>
                <w:lang w:val="en-US" w:eastAsia="zh-CN" w:bidi="ar"/>
              </w:rPr>
              <w:t>:上级资金</w:t>
            </w:r>
          </w:p>
        </w:tc>
        <w:tc>
          <w:tcPr>
            <w:tcW w:w="1635" w:type="dxa"/>
            <w:gridSpan w:val="2"/>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186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222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trHeight w:val="540" w:hRule="atLeast"/>
        </w:trPr>
        <w:tc>
          <w:tcPr>
            <w:tcW w:w="2265" w:type="dxa"/>
            <w:gridSpan w:val="6"/>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350" w:type="dxa"/>
            <w:gridSpan w:val="3"/>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r>
              <w:rPr>
                <w:rStyle w:val="14"/>
                <w:rFonts w:hAnsi="宋体"/>
                <w:lang w:val="en-US" w:eastAsia="zh-CN" w:bidi="ar"/>
              </w:rPr>
              <w:t>区级资金</w:t>
            </w:r>
          </w:p>
        </w:tc>
        <w:tc>
          <w:tcPr>
            <w:tcW w:w="1635" w:type="dxa"/>
            <w:gridSpan w:val="2"/>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24.12</w:t>
            </w:r>
          </w:p>
        </w:tc>
        <w:tc>
          <w:tcPr>
            <w:tcW w:w="186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24.12</w:t>
            </w:r>
          </w:p>
        </w:tc>
        <w:tc>
          <w:tcPr>
            <w:tcW w:w="222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r>
      <w:tr>
        <w:tblPrEx>
          <w:tblCellMar>
            <w:top w:w="0" w:type="dxa"/>
            <w:left w:w="108" w:type="dxa"/>
            <w:bottom w:w="0" w:type="dxa"/>
            <w:right w:w="108" w:type="dxa"/>
          </w:tblCellMar>
        </w:tblPrEx>
        <w:trPr>
          <w:trHeight w:val="540" w:hRule="atLeast"/>
        </w:trPr>
        <w:tc>
          <w:tcPr>
            <w:tcW w:w="2265" w:type="dxa"/>
            <w:gridSpan w:val="6"/>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350" w:type="dxa"/>
            <w:gridSpan w:val="3"/>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r>
              <w:rPr>
                <w:rStyle w:val="14"/>
                <w:rFonts w:hAnsi="宋体"/>
                <w:lang w:val="en-US" w:eastAsia="zh-CN" w:bidi="ar"/>
              </w:rPr>
              <w:t>其他资金(包括结转结余)</w:t>
            </w:r>
          </w:p>
        </w:tc>
        <w:tc>
          <w:tcPr>
            <w:tcW w:w="1635" w:type="dxa"/>
            <w:gridSpan w:val="2"/>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186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222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trHeight w:val="525" w:hRule="atLeast"/>
        </w:trPr>
        <w:tc>
          <w:tcPr>
            <w:tcW w:w="540" w:type="dxa"/>
            <w:vMerge w:val="restart"/>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年度总体目标</w:t>
            </w:r>
          </w:p>
        </w:tc>
        <w:tc>
          <w:tcPr>
            <w:tcW w:w="4710" w:type="dxa"/>
            <w:gridSpan w:val="10"/>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年初设定目标</w:t>
            </w:r>
          </w:p>
        </w:tc>
        <w:tc>
          <w:tcPr>
            <w:tcW w:w="4080" w:type="dxa"/>
            <w:gridSpan w:val="8"/>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全年实际完成情况</w:t>
            </w:r>
          </w:p>
        </w:tc>
      </w:tr>
      <w:tr>
        <w:tblPrEx>
          <w:tblCellMar>
            <w:top w:w="0" w:type="dxa"/>
            <w:left w:w="108" w:type="dxa"/>
            <w:bottom w:w="0" w:type="dxa"/>
            <w:right w:w="108" w:type="dxa"/>
          </w:tblCellMar>
        </w:tblPrEx>
        <w:trPr>
          <w:trHeight w:val="570" w:hRule="atLeast"/>
        </w:trPr>
        <w:tc>
          <w:tcPr>
            <w:tcW w:w="540" w:type="dxa"/>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4710" w:type="dxa"/>
            <w:gridSpan w:val="10"/>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年初区财政拨入区审批局24.12万用于审批局营业执照一体机购置</w:t>
            </w:r>
          </w:p>
        </w:tc>
        <w:tc>
          <w:tcPr>
            <w:tcW w:w="4080" w:type="dxa"/>
            <w:gridSpan w:val="8"/>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完成全年一体机购置24.12万</w:t>
            </w:r>
          </w:p>
        </w:tc>
      </w:tr>
      <w:tr>
        <w:tblPrEx>
          <w:tblCellMar>
            <w:top w:w="0" w:type="dxa"/>
            <w:left w:w="108" w:type="dxa"/>
            <w:bottom w:w="0" w:type="dxa"/>
            <w:right w:w="108" w:type="dxa"/>
          </w:tblCellMar>
        </w:tblPrEx>
        <w:trPr>
          <w:trHeight w:val="540" w:hRule="atLeast"/>
        </w:trPr>
        <w:tc>
          <w:tcPr>
            <w:tcW w:w="540" w:type="dxa"/>
            <w:vMerge w:val="restart"/>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绩</w:t>
            </w:r>
            <w:r>
              <w:rPr>
                <w:rStyle w:val="14"/>
                <w:rFonts w:hAnsi="宋体"/>
                <w:lang w:val="en-US" w:eastAsia="zh-CN" w:bidi="ar"/>
              </w:rPr>
              <w:t xml:space="preserve">      效    指    标</w:t>
            </w:r>
          </w:p>
        </w:tc>
        <w:tc>
          <w:tcPr>
            <w:tcW w:w="64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一级指标</w:t>
            </w: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二级指标</w:t>
            </w:r>
          </w:p>
        </w:tc>
        <w:tc>
          <w:tcPr>
            <w:tcW w:w="2910"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三级指标</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年度指标值</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全年完成值</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未完成原因和整改措施</w:t>
            </w:r>
          </w:p>
        </w:tc>
      </w:tr>
      <w:tr>
        <w:tblPrEx>
          <w:tblCellMar>
            <w:top w:w="0" w:type="dxa"/>
            <w:left w:w="108" w:type="dxa"/>
            <w:bottom w:w="0" w:type="dxa"/>
            <w:right w:w="108" w:type="dxa"/>
          </w:tblCellMar>
        </w:tblPrEx>
        <w:trPr>
          <w:trHeight w:val="540" w:hRule="atLeast"/>
        </w:trPr>
        <w:tc>
          <w:tcPr>
            <w:tcW w:w="540" w:type="dxa"/>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645" w:type="dxa"/>
            <w:gridSpan w:val="3"/>
            <w:vMerge w:val="restart"/>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产</w:t>
            </w:r>
            <w:r>
              <w:rPr>
                <w:rStyle w:val="14"/>
                <w:rFonts w:hAnsi="宋体"/>
                <w:lang w:val="en-US" w:eastAsia="zh-CN" w:bidi="ar"/>
              </w:rPr>
              <w:t xml:space="preserve">   出   指   标</w:t>
            </w: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数量指标</w:t>
            </w:r>
          </w:p>
        </w:tc>
        <w:tc>
          <w:tcPr>
            <w:tcW w:w="2910"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新开办保障各项工作开展</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trHeight w:val="540" w:hRule="atLeast"/>
        </w:trPr>
        <w:tc>
          <w:tcPr>
            <w:tcW w:w="540" w:type="dxa"/>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645" w:type="dxa"/>
            <w:gridSpan w:val="3"/>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质量指标</w:t>
            </w:r>
          </w:p>
        </w:tc>
        <w:tc>
          <w:tcPr>
            <w:tcW w:w="2910"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新开办保障各项工作开展</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trHeight w:val="540" w:hRule="atLeast"/>
        </w:trPr>
        <w:tc>
          <w:tcPr>
            <w:tcW w:w="540" w:type="dxa"/>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645" w:type="dxa"/>
            <w:gridSpan w:val="3"/>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时效指标</w:t>
            </w:r>
          </w:p>
        </w:tc>
        <w:tc>
          <w:tcPr>
            <w:tcW w:w="2910"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年度资金执行率</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trHeight w:val="540" w:hRule="atLeast"/>
        </w:trPr>
        <w:tc>
          <w:tcPr>
            <w:tcW w:w="540" w:type="dxa"/>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645" w:type="dxa"/>
            <w:gridSpan w:val="3"/>
            <w:vMerge w:val="restart"/>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效</w:t>
            </w:r>
            <w:r>
              <w:rPr>
                <w:rStyle w:val="14"/>
                <w:rFonts w:hAnsi="宋体"/>
                <w:lang w:val="en-US" w:eastAsia="zh-CN" w:bidi="ar"/>
              </w:rPr>
              <w:t xml:space="preserve">   益   指   标</w:t>
            </w: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经济效益指标</w:t>
            </w: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25" w:type="dxa"/>
            <w:gridSpan w:val="2"/>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215" w:type="dxa"/>
            <w:gridSpan w:val="4"/>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trHeight w:val="540" w:hRule="atLeast"/>
        </w:trPr>
        <w:tc>
          <w:tcPr>
            <w:tcW w:w="540" w:type="dxa"/>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645" w:type="dxa"/>
            <w:gridSpan w:val="3"/>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vMerge w:val="restart"/>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社会效益指标</w:t>
            </w: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购置后，办事效率提高工作效率</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trHeight w:val="540" w:hRule="atLeast"/>
        </w:trPr>
        <w:tc>
          <w:tcPr>
            <w:tcW w:w="540" w:type="dxa"/>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645" w:type="dxa"/>
            <w:gridSpan w:val="3"/>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满足办事群众需求</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40" w:type="dxa"/>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645" w:type="dxa"/>
            <w:gridSpan w:val="3"/>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生态效益指标</w:t>
            </w: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25" w:type="dxa"/>
            <w:gridSpan w:val="2"/>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215" w:type="dxa"/>
            <w:gridSpan w:val="4"/>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trHeight w:val="540" w:hRule="atLeast"/>
        </w:trPr>
        <w:tc>
          <w:tcPr>
            <w:tcW w:w="540" w:type="dxa"/>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645" w:type="dxa"/>
            <w:gridSpan w:val="3"/>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可持续影响指标</w:t>
            </w: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为审批局工作开展提供必要的保障</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trHeight w:val="540" w:hRule="atLeast"/>
        </w:trPr>
        <w:tc>
          <w:tcPr>
            <w:tcW w:w="540" w:type="dxa"/>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645" w:type="dxa"/>
            <w:gridSpan w:val="3"/>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w:t>
            </w: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trHeight w:val="540" w:hRule="atLeast"/>
        </w:trPr>
        <w:tc>
          <w:tcPr>
            <w:tcW w:w="540" w:type="dxa"/>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645" w:type="dxa"/>
            <w:gridSpan w:val="3"/>
            <w:vMerge w:val="restart"/>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满意度指标</w:t>
            </w: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服务对象满意度指标</w:t>
            </w: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服务群众满意度</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trHeight w:val="540" w:hRule="atLeast"/>
        </w:trPr>
        <w:tc>
          <w:tcPr>
            <w:tcW w:w="540" w:type="dxa"/>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645" w:type="dxa"/>
            <w:gridSpan w:val="3"/>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tcBorders>
              <w:top w:val="nil"/>
              <w:left w:val="nil"/>
              <w:bottom w:val="nil"/>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w:t>
            </w:r>
          </w:p>
        </w:tc>
        <w:tc>
          <w:tcPr>
            <w:tcW w:w="1275" w:type="dxa"/>
            <w:gridSpan w:val="2"/>
            <w:tcBorders>
              <w:top w:val="nil"/>
              <w:left w:val="nil"/>
              <w:bottom w:val="nil"/>
              <w:right w:val="nil"/>
            </w:tcBorders>
            <w:shd w:val="clear" w:color="auto" w:fill="FFFFFF"/>
            <w:noWrap/>
            <w:vAlign w:val="center"/>
          </w:tcPr>
          <w:p>
            <w:pPr>
              <w:rPr>
                <w:rFonts w:hint="default" w:ascii="楷体_GB2312" w:hAnsi="宋体" w:eastAsia="楷体_GB2312" w:cs="楷体_GB2312"/>
                <w:i w:val="0"/>
                <w:iCs w:val="0"/>
                <w:color w:val="000000"/>
                <w:sz w:val="22"/>
                <w:szCs w:val="22"/>
                <w:u w:val="none"/>
              </w:rPr>
            </w:pPr>
          </w:p>
        </w:tc>
        <w:tc>
          <w:tcPr>
            <w:tcW w:w="1635" w:type="dxa"/>
            <w:gridSpan w:val="2"/>
            <w:tcBorders>
              <w:top w:val="nil"/>
              <w:left w:val="nil"/>
              <w:bottom w:val="nil"/>
              <w:right w:val="nil"/>
            </w:tcBorders>
            <w:shd w:val="clear" w:color="auto" w:fill="FFFFFF"/>
            <w:noWrap/>
            <w:vAlign w:val="center"/>
          </w:tcPr>
          <w:p>
            <w:pPr>
              <w:rPr>
                <w:rFonts w:hint="default" w:ascii="楷体_GB2312" w:hAnsi="宋体" w:eastAsia="楷体_GB2312" w:cs="楷体_GB2312"/>
                <w:i w:val="0"/>
                <w:iCs w:val="0"/>
                <w:color w:val="000000"/>
                <w:sz w:val="22"/>
                <w:szCs w:val="22"/>
                <w:u w:val="none"/>
              </w:rPr>
            </w:pPr>
          </w:p>
        </w:tc>
        <w:tc>
          <w:tcPr>
            <w:tcW w:w="1125" w:type="dxa"/>
            <w:gridSpan w:val="2"/>
            <w:tcBorders>
              <w:top w:val="nil"/>
              <w:left w:val="single" w:color="000000" w:sz="8" w:space="0"/>
              <w:bottom w:val="nil"/>
              <w:right w:val="single" w:color="000000" w:sz="8" w:space="0"/>
            </w:tcBorders>
            <w:shd w:val="clear" w:color="auto" w:fill="FFFFFF"/>
            <w:noWrap/>
            <w:vAlign w:val="center"/>
          </w:tcPr>
          <w:p>
            <w:pPr>
              <w:rPr>
                <w:rFonts w:hint="default" w:ascii="楷体_GB2312" w:hAnsi="宋体" w:eastAsia="楷体_GB2312" w:cs="楷体_GB2312"/>
                <w:i w:val="0"/>
                <w:iCs w:val="0"/>
                <w:color w:val="000000"/>
                <w:sz w:val="22"/>
                <w:szCs w:val="22"/>
                <w:u w:val="none"/>
              </w:rPr>
            </w:pPr>
          </w:p>
        </w:tc>
        <w:tc>
          <w:tcPr>
            <w:tcW w:w="1215" w:type="dxa"/>
            <w:gridSpan w:val="4"/>
            <w:tcBorders>
              <w:top w:val="nil"/>
              <w:left w:val="single" w:color="000000" w:sz="8" w:space="0"/>
              <w:bottom w:val="nil"/>
              <w:right w:val="single" w:color="000000" w:sz="8" w:space="0"/>
            </w:tcBorders>
            <w:shd w:val="clear" w:color="auto" w:fill="FFFFFF"/>
            <w:noWrap/>
            <w:vAlign w:val="center"/>
          </w:tcPr>
          <w:p>
            <w:pPr>
              <w:jc w:val="center"/>
              <w:rPr>
                <w:rFonts w:hint="default" w:ascii="楷体_GB2312" w:hAnsi="宋体" w:eastAsia="楷体_GB2312" w:cs="楷体_GB2312"/>
                <w:i w:val="0"/>
                <w:iCs w:val="0"/>
                <w:color w:val="000000"/>
                <w:sz w:val="22"/>
                <w:szCs w:val="22"/>
                <w:u w:val="none"/>
              </w:rPr>
            </w:pPr>
          </w:p>
        </w:tc>
        <w:tc>
          <w:tcPr>
            <w:tcW w:w="1740" w:type="dxa"/>
            <w:gridSpan w:val="2"/>
            <w:tcBorders>
              <w:top w:val="nil"/>
              <w:left w:val="nil"/>
              <w:bottom w:val="nil"/>
              <w:right w:val="single" w:color="000000" w:sz="8" w:space="0"/>
            </w:tcBorders>
            <w:shd w:val="clear" w:color="auto" w:fill="FFFFFF"/>
            <w:noWrap/>
            <w:vAlign w:val="center"/>
          </w:tcPr>
          <w:p>
            <w:pPr>
              <w:rPr>
                <w:rFonts w:hint="default" w:ascii="楷体_GB2312" w:hAnsi="宋体" w:eastAsia="楷体_GB2312" w:cs="楷体_GB2312"/>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40"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说明</w:t>
            </w:r>
          </w:p>
        </w:tc>
        <w:tc>
          <w:tcPr>
            <w:tcW w:w="8790" w:type="dxa"/>
            <w:gridSpan w:val="18"/>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无</w:t>
            </w:r>
          </w:p>
        </w:tc>
      </w:tr>
      <w:tr>
        <w:tblPrEx>
          <w:tblCellMar>
            <w:top w:w="0" w:type="dxa"/>
            <w:left w:w="108" w:type="dxa"/>
            <w:bottom w:w="0" w:type="dxa"/>
            <w:right w:w="108" w:type="dxa"/>
          </w:tblCellMar>
        </w:tblPrEx>
        <w:trPr>
          <w:gridAfter w:val="1"/>
          <w:wAfter w:w="75" w:type="dxa"/>
          <w:trHeight w:val="450" w:hRule="atLeast"/>
        </w:trPr>
        <w:tc>
          <w:tcPr>
            <w:tcW w:w="9255" w:type="dxa"/>
            <w:gridSpan w:val="1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6"/>
                <w:szCs w:val="36"/>
                <w:u w:val="none"/>
              </w:rPr>
            </w:pPr>
            <w:r>
              <w:rPr>
                <w:rFonts w:hint="eastAsia" w:ascii="宋体" w:hAnsi="宋体" w:eastAsia="宋体" w:cs="宋体"/>
                <w:i w:val="0"/>
                <w:iCs w:val="0"/>
                <w:color w:val="000000"/>
                <w:kern w:val="0"/>
                <w:sz w:val="36"/>
                <w:szCs w:val="36"/>
                <w:u w:val="none"/>
                <w:lang w:val="en-US" w:eastAsia="zh-CN" w:bidi="ar"/>
              </w:rPr>
              <w:t>石家庄市藁城区财政项目支出绩效自评表</w:t>
            </w:r>
          </w:p>
        </w:tc>
      </w:tr>
      <w:tr>
        <w:tblPrEx>
          <w:tblCellMar>
            <w:top w:w="0" w:type="dxa"/>
            <w:left w:w="108" w:type="dxa"/>
            <w:bottom w:w="0" w:type="dxa"/>
            <w:right w:w="108" w:type="dxa"/>
          </w:tblCellMar>
        </w:tblPrEx>
        <w:trPr>
          <w:gridAfter w:val="1"/>
          <w:wAfter w:w="75" w:type="dxa"/>
          <w:trHeight w:val="300" w:hRule="atLeast"/>
        </w:trPr>
        <w:tc>
          <w:tcPr>
            <w:tcW w:w="9255" w:type="dxa"/>
            <w:gridSpan w:val="1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2019年度）</w:t>
            </w:r>
          </w:p>
        </w:tc>
      </w:tr>
      <w:tr>
        <w:tblPrEx>
          <w:tblCellMar>
            <w:top w:w="0" w:type="dxa"/>
            <w:left w:w="108" w:type="dxa"/>
            <w:bottom w:w="0" w:type="dxa"/>
            <w:right w:w="108" w:type="dxa"/>
          </w:tblCellMar>
        </w:tblPrEx>
        <w:trPr>
          <w:gridAfter w:val="1"/>
          <w:wAfter w:w="75" w:type="dxa"/>
          <w:trHeight w:val="555" w:hRule="atLeast"/>
        </w:trPr>
        <w:tc>
          <w:tcPr>
            <w:tcW w:w="2190" w:type="dxa"/>
            <w:gridSpan w:val="5"/>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项目名称</w:t>
            </w:r>
          </w:p>
        </w:tc>
        <w:tc>
          <w:tcPr>
            <w:tcW w:w="7065" w:type="dxa"/>
            <w:gridSpan w:val="13"/>
            <w:tcBorders>
              <w:top w:val="single" w:color="000000" w:sz="8" w:space="0"/>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石家庄市藁城区行政审批局办公场所租赁费</w:t>
            </w:r>
          </w:p>
        </w:tc>
      </w:tr>
      <w:tr>
        <w:tblPrEx>
          <w:tblCellMar>
            <w:top w:w="0" w:type="dxa"/>
            <w:left w:w="108" w:type="dxa"/>
            <w:bottom w:w="0" w:type="dxa"/>
            <w:right w:w="108" w:type="dxa"/>
          </w:tblCellMar>
        </w:tblPrEx>
        <w:trPr>
          <w:gridAfter w:val="1"/>
          <w:wAfter w:w="75" w:type="dxa"/>
          <w:trHeight w:val="499" w:hRule="atLeast"/>
        </w:trPr>
        <w:tc>
          <w:tcPr>
            <w:tcW w:w="2190" w:type="dxa"/>
            <w:gridSpan w:val="5"/>
            <w:tcBorders>
              <w:top w:val="nil"/>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主管部门</w:t>
            </w:r>
          </w:p>
        </w:tc>
        <w:tc>
          <w:tcPr>
            <w:tcW w:w="2985" w:type="dxa"/>
            <w:gridSpan w:val="5"/>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石家庄市藁城区行政审批局</w:t>
            </w:r>
          </w:p>
        </w:tc>
        <w:tc>
          <w:tcPr>
            <w:tcW w:w="1125" w:type="dxa"/>
            <w:gridSpan w:val="2"/>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实施单位</w:t>
            </w:r>
          </w:p>
        </w:tc>
        <w:tc>
          <w:tcPr>
            <w:tcW w:w="2955" w:type="dxa"/>
            <w:gridSpan w:val="6"/>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石家庄市藁城区行政审批局</w:t>
            </w:r>
          </w:p>
        </w:tc>
      </w:tr>
      <w:tr>
        <w:tblPrEx>
          <w:tblCellMar>
            <w:top w:w="0" w:type="dxa"/>
            <w:left w:w="108" w:type="dxa"/>
            <w:bottom w:w="0" w:type="dxa"/>
            <w:right w:w="108" w:type="dxa"/>
          </w:tblCellMar>
        </w:tblPrEx>
        <w:trPr>
          <w:gridAfter w:val="1"/>
          <w:wAfter w:w="75" w:type="dxa"/>
          <w:trHeight w:val="480" w:hRule="atLeast"/>
        </w:trPr>
        <w:tc>
          <w:tcPr>
            <w:tcW w:w="2190" w:type="dxa"/>
            <w:gridSpan w:val="5"/>
            <w:vMerge w:val="restart"/>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项目资金(万元)</w:t>
            </w:r>
          </w:p>
        </w:tc>
        <w:tc>
          <w:tcPr>
            <w:tcW w:w="1350" w:type="dxa"/>
            <w:gridSpan w:val="3"/>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1635" w:type="dxa"/>
            <w:gridSpan w:val="2"/>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全年预算数(A)</w:t>
            </w:r>
          </w:p>
        </w:tc>
        <w:tc>
          <w:tcPr>
            <w:tcW w:w="186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全年执行数(B)</w:t>
            </w:r>
          </w:p>
        </w:tc>
        <w:tc>
          <w:tcPr>
            <w:tcW w:w="222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执行率(B/A)</w:t>
            </w:r>
          </w:p>
        </w:tc>
      </w:tr>
      <w:tr>
        <w:tblPrEx>
          <w:tblCellMar>
            <w:top w:w="0" w:type="dxa"/>
            <w:left w:w="108" w:type="dxa"/>
            <w:bottom w:w="0" w:type="dxa"/>
            <w:right w:w="108" w:type="dxa"/>
          </w:tblCellMar>
        </w:tblPrEx>
        <w:trPr>
          <w:gridAfter w:val="1"/>
          <w:wAfter w:w="75" w:type="dxa"/>
          <w:trHeight w:val="480" w:hRule="atLeast"/>
        </w:trPr>
        <w:tc>
          <w:tcPr>
            <w:tcW w:w="2190" w:type="dxa"/>
            <w:gridSpan w:val="5"/>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350" w:type="dxa"/>
            <w:gridSpan w:val="3"/>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年度资金总额</w:t>
            </w:r>
          </w:p>
        </w:tc>
        <w:tc>
          <w:tcPr>
            <w:tcW w:w="1635" w:type="dxa"/>
            <w:gridSpan w:val="2"/>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25</w:t>
            </w:r>
          </w:p>
        </w:tc>
        <w:tc>
          <w:tcPr>
            <w:tcW w:w="186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25</w:t>
            </w:r>
          </w:p>
        </w:tc>
        <w:tc>
          <w:tcPr>
            <w:tcW w:w="222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r>
      <w:tr>
        <w:tblPrEx>
          <w:tblCellMar>
            <w:top w:w="0" w:type="dxa"/>
            <w:left w:w="108" w:type="dxa"/>
            <w:bottom w:w="0" w:type="dxa"/>
            <w:right w:w="108" w:type="dxa"/>
          </w:tblCellMar>
        </w:tblPrEx>
        <w:trPr>
          <w:gridAfter w:val="1"/>
          <w:wAfter w:w="75" w:type="dxa"/>
          <w:trHeight w:val="480" w:hRule="atLeast"/>
        </w:trPr>
        <w:tc>
          <w:tcPr>
            <w:tcW w:w="2190" w:type="dxa"/>
            <w:gridSpan w:val="5"/>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350" w:type="dxa"/>
            <w:gridSpan w:val="3"/>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其中:上级资金</w:t>
            </w:r>
          </w:p>
        </w:tc>
        <w:tc>
          <w:tcPr>
            <w:tcW w:w="1635" w:type="dxa"/>
            <w:gridSpan w:val="2"/>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186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222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gridAfter w:val="1"/>
          <w:wAfter w:w="75" w:type="dxa"/>
          <w:trHeight w:val="480" w:hRule="atLeast"/>
        </w:trPr>
        <w:tc>
          <w:tcPr>
            <w:tcW w:w="2190" w:type="dxa"/>
            <w:gridSpan w:val="5"/>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350" w:type="dxa"/>
            <w:gridSpan w:val="3"/>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区级资金</w:t>
            </w:r>
          </w:p>
        </w:tc>
        <w:tc>
          <w:tcPr>
            <w:tcW w:w="1635" w:type="dxa"/>
            <w:gridSpan w:val="2"/>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25</w:t>
            </w:r>
          </w:p>
        </w:tc>
        <w:tc>
          <w:tcPr>
            <w:tcW w:w="186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25</w:t>
            </w:r>
          </w:p>
        </w:tc>
        <w:tc>
          <w:tcPr>
            <w:tcW w:w="222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center"/>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r>
      <w:tr>
        <w:tblPrEx>
          <w:tblCellMar>
            <w:top w:w="0" w:type="dxa"/>
            <w:left w:w="108" w:type="dxa"/>
            <w:bottom w:w="0" w:type="dxa"/>
            <w:right w:w="108" w:type="dxa"/>
          </w:tblCellMar>
        </w:tblPrEx>
        <w:trPr>
          <w:gridAfter w:val="1"/>
          <w:wAfter w:w="75" w:type="dxa"/>
          <w:trHeight w:val="480" w:hRule="atLeast"/>
        </w:trPr>
        <w:tc>
          <w:tcPr>
            <w:tcW w:w="2190" w:type="dxa"/>
            <w:gridSpan w:val="5"/>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350" w:type="dxa"/>
            <w:gridSpan w:val="3"/>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其他资金(包括结转结余)</w:t>
            </w:r>
          </w:p>
        </w:tc>
        <w:tc>
          <w:tcPr>
            <w:tcW w:w="1635" w:type="dxa"/>
            <w:gridSpan w:val="2"/>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186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2220" w:type="dxa"/>
            <w:gridSpan w:val="4"/>
            <w:tcBorders>
              <w:top w:val="nil"/>
              <w:left w:val="nil"/>
              <w:bottom w:val="single" w:color="000000" w:sz="8" w:space="0"/>
              <w:right w:val="single" w:color="000000" w:sz="8" w:space="0"/>
            </w:tcBorders>
            <w:shd w:val="clear" w:color="auto" w:fill="FFFFFF"/>
            <w:vAlign w:val="top"/>
          </w:tcPr>
          <w:p>
            <w:pPr>
              <w:keepNext w:val="0"/>
              <w:keepLines w:val="0"/>
              <w:widowControl/>
              <w:suppressLineNumbers w:val="0"/>
              <w:jc w:val="both"/>
              <w:textAlignment w:val="top"/>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gridAfter w:val="1"/>
          <w:wAfter w:w="75" w:type="dxa"/>
          <w:trHeight w:val="525" w:hRule="atLeast"/>
        </w:trPr>
        <w:tc>
          <w:tcPr>
            <w:tcW w:w="735" w:type="dxa"/>
            <w:gridSpan w:val="2"/>
            <w:vMerge w:val="restart"/>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年度总体目标</w:t>
            </w:r>
          </w:p>
        </w:tc>
        <w:tc>
          <w:tcPr>
            <w:tcW w:w="4440" w:type="dxa"/>
            <w:gridSpan w:val="8"/>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年初设定目标</w:t>
            </w:r>
          </w:p>
        </w:tc>
        <w:tc>
          <w:tcPr>
            <w:tcW w:w="4080" w:type="dxa"/>
            <w:gridSpan w:val="8"/>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全年实际完成情况</w:t>
            </w:r>
          </w:p>
        </w:tc>
      </w:tr>
      <w:tr>
        <w:tblPrEx>
          <w:tblCellMar>
            <w:top w:w="0" w:type="dxa"/>
            <w:left w:w="108" w:type="dxa"/>
            <w:bottom w:w="0" w:type="dxa"/>
            <w:right w:w="108" w:type="dxa"/>
          </w:tblCellMar>
        </w:tblPrEx>
        <w:trPr>
          <w:gridAfter w:val="1"/>
          <w:wAfter w:w="75" w:type="dxa"/>
          <w:trHeight w:val="570" w:hRule="atLeast"/>
        </w:trPr>
        <w:tc>
          <w:tcPr>
            <w:tcW w:w="735" w:type="dxa"/>
            <w:gridSpan w:val="2"/>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4440" w:type="dxa"/>
            <w:gridSpan w:val="8"/>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年初区财政拨入区审批局办公场所租赁费25万元用于审批局支付租赁费</w:t>
            </w:r>
          </w:p>
        </w:tc>
        <w:tc>
          <w:tcPr>
            <w:tcW w:w="4080" w:type="dxa"/>
            <w:gridSpan w:val="8"/>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完成全年租赁费支付25万元</w:t>
            </w:r>
          </w:p>
        </w:tc>
      </w:tr>
      <w:tr>
        <w:tblPrEx>
          <w:tblCellMar>
            <w:top w:w="0" w:type="dxa"/>
            <w:left w:w="108" w:type="dxa"/>
            <w:bottom w:w="0" w:type="dxa"/>
            <w:right w:w="108" w:type="dxa"/>
          </w:tblCellMar>
        </w:tblPrEx>
        <w:trPr>
          <w:gridAfter w:val="1"/>
          <w:wAfter w:w="75" w:type="dxa"/>
          <w:trHeight w:val="640" w:hRule="atLeast"/>
        </w:trPr>
        <w:tc>
          <w:tcPr>
            <w:tcW w:w="735" w:type="dxa"/>
            <w:gridSpan w:val="2"/>
            <w:vMerge w:val="restart"/>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绩      效    指    标</w:t>
            </w:r>
          </w:p>
        </w:tc>
        <w:tc>
          <w:tcPr>
            <w:tcW w:w="375"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一级指标</w:t>
            </w: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二级指标</w:t>
            </w:r>
          </w:p>
        </w:tc>
        <w:tc>
          <w:tcPr>
            <w:tcW w:w="2910"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三级指标</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年度指标值</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全年完成值</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未完成原因和整改措施</w:t>
            </w:r>
          </w:p>
        </w:tc>
      </w:tr>
      <w:tr>
        <w:tblPrEx>
          <w:tblCellMar>
            <w:top w:w="0" w:type="dxa"/>
            <w:left w:w="108" w:type="dxa"/>
            <w:bottom w:w="0" w:type="dxa"/>
            <w:right w:w="108" w:type="dxa"/>
          </w:tblCellMar>
        </w:tblPrEx>
        <w:trPr>
          <w:gridAfter w:val="1"/>
          <w:wAfter w:w="75" w:type="dxa"/>
          <w:trHeight w:val="499" w:hRule="atLeast"/>
        </w:trPr>
        <w:tc>
          <w:tcPr>
            <w:tcW w:w="735" w:type="dxa"/>
            <w:gridSpan w:val="2"/>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375" w:type="dxa"/>
            <w:vMerge w:val="restart"/>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产   出   指   标</w:t>
            </w: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数量指标</w:t>
            </w:r>
          </w:p>
        </w:tc>
        <w:tc>
          <w:tcPr>
            <w:tcW w:w="2910"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房屋租赁费</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gridAfter w:val="1"/>
          <w:wAfter w:w="75" w:type="dxa"/>
          <w:trHeight w:val="640" w:hRule="atLeast"/>
        </w:trPr>
        <w:tc>
          <w:tcPr>
            <w:tcW w:w="735" w:type="dxa"/>
            <w:gridSpan w:val="2"/>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375" w:type="dxa"/>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质量指标</w:t>
            </w:r>
          </w:p>
        </w:tc>
        <w:tc>
          <w:tcPr>
            <w:tcW w:w="2910"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租赁合同</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gridAfter w:val="1"/>
          <w:wAfter w:w="75" w:type="dxa"/>
          <w:trHeight w:val="499" w:hRule="atLeast"/>
        </w:trPr>
        <w:tc>
          <w:tcPr>
            <w:tcW w:w="735" w:type="dxa"/>
            <w:gridSpan w:val="2"/>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375" w:type="dxa"/>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时效指标</w:t>
            </w:r>
          </w:p>
        </w:tc>
        <w:tc>
          <w:tcPr>
            <w:tcW w:w="2910"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年度资金执行率</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gridAfter w:val="1"/>
          <w:wAfter w:w="75" w:type="dxa"/>
          <w:trHeight w:val="480" w:hRule="atLeast"/>
        </w:trPr>
        <w:tc>
          <w:tcPr>
            <w:tcW w:w="735" w:type="dxa"/>
            <w:gridSpan w:val="2"/>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375" w:type="dxa"/>
            <w:vMerge w:val="restart"/>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效   益   指   标</w:t>
            </w: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经济效益指标</w:t>
            </w: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25" w:type="dxa"/>
            <w:gridSpan w:val="2"/>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215" w:type="dxa"/>
            <w:gridSpan w:val="4"/>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gridAfter w:val="1"/>
          <w:wAfter w:w="75" w:type="dxa"/>
          <w:trHeight w:val="840" w:hRule="atLeast"/>
        </w:trPr>
        <w:tc>
          <w:tcPr>
            <w:tcW w:w="735" w:type="dxa"/>
            <w:gridSpan w:val="2"/>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375" w:type="dxa"/>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vMerge w:val="restart"/>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社会效益指标</w:t>
            </w: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符合办公条件，满足工作人员必要工作需要</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gridAfter w:val="1"/>
          <w:wAfter w:w="75" w:type="dxa"/>
          <w:trHeight w:val="520" w:hRule="atLeast"/>
        </w:trPr>
        <w:tc>
          <w:tcPr>
            <w:tcW w:w="735" w:type="dxa"/>
            <w:gridSpan w:val="2"/>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375" w:type="dxa"/>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满足办事群众需求</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r>
      <w:tr>
        <w:tblPrEx>
          <w:tblCellMar>
            <w:top w:w="0" w:type="dxa"/>
            <w:left w:w="108" w:type="dxa"/>
            <w:bottom w:w="0" w:type="dxa"/>
            <w:right w:w="108" w:type="dxa"/>
          </w:tblCellMar>
        </w:tblPrEx>
        <w:trPr>
          <w:gridAfter w:val="1"/>
          <w:wAfter w:w="75" w:type="dxa"/>
          <w:trHeight w:val="520" w:hRule="atLeast"/>
        </w:trPr>
        <w:tc>
          <w:tcPr>
            <w:tcW w:w="735" w:type="dxa"/>
            <w:gridSpan w:val="2"/>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375" w:type="dxa"/>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生态效益指标</w:t>
            </w: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25" w:type="dxa"/>
            <w:gridSpan w:val="2"/>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215" w:type="dxa"/>
            <w:gridSpan w:val="4"/>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gridAfter w:val="1"/>
          <w:wAfter w:w="75" w:type="dxa"/>
          <w:trHeight w:val="640" w:hRule="atLeast"/>
        </w:trPr>
        <w:tc>
          <w:tcPr>
            <w:tcW w:w="735" w:type="dxa"/>
            <w:gridSpan w:val="2"/>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375" w:type="dxa"/>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可持续影响指标</w:t>
            </w: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为审批局工作开展提供基础保障</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gridAfter w:val="1"/>
          <w:wAfter w:w="75" w:type="dxa"/>
          <w:trHeight w:val="380" w:hRule="atLeast"/>
        </w:trPr>
        <w:tc>
          <w:tcPr>
            <w:tcW w:w="735" w:type="dxa"/>
            <w:gridSpan w:val="2"/>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375" w:type="dxa"/>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w:t>
            </w: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gridAfter w:val="1"/>
          <w:wAfter w:w="75" w:type="dxa"/>
          <w:trHeight w:val="560" w:hRule="atLeast"/>
        </w:trPr>
        <w:tc>
          <w:tcPr>
            <w:tcW w:w="735" w:type="dxa"/>
            <w:gridSpan w:val="2"/>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375" w:type="dxa"/>
            <w:vMerge w:val="restart"/>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满意度指标</w:t>
            </w:r>
          </w:p>
        </w:tc>
        <w:tc>
          <w:tcPr>
            <w:tcW w:w="1155" w:type="dxa"/>
            <w:gridSpan w:val="3"/>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服务对象满意度指标</w:t>
            </w:r>
          </w:p>
        </w:tc>
        <w:tc>
          <w:tcPr>
            <w:tcW w:w="2910" w:type="dxa"/>
            <w:gridSpan w:val="4"/>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办事群众满意度</w:t>
            </w:r>
          </w:p>
        </w:tc>
        <w:tc>
          <w:tcPr>
            <w:tcW w:w="1125"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215" w:type="dxa"/>
            <w:gridSpan w:val="4"/>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100%</w:t>
            </w:r>
          </w:p>
        </w:tc>
        <w:tc>
          <w:tcPr>
            <w:tcW w:w="1740" w:type="dxa"/>
            <w:gridSpan w:val="2"/>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 xml:space="preserve"> </w:t>
            </w:r>
          </w:p>
        </w:tc>
      </w:tr>
      <w:tr>
        <w:tblPrEx>
          <w:tblCellMar>
            <w:top w:w="0" w:type="dxa"/>
            <w:left w:w="108" w:type="dxa"/>
            <w:bottom w:w="0" w:type="dxa"/>
            <w:right w:w="108" w:type="dxa"/>
          </w:tblCellMar>
        </w:tblPrEx>
        <w:trPr>
          <w:gridAfter w:val="1"/>
          <w:wAfter w:w="75" w:type="dxa"/>
          <w:trHeight w:val="420" w:hRule="atLeast"/>
        </w:trPr>
        <w:tc>
          <w:tcPr>
            <w:tcW w:w="735" w:type="dxa"/>
            <w:gridSpan w:val="2"/>
            <w:vMerge w:val="continue"/>
            <w:tcBorders>
              <w:top w:val="nil"/>
              <w:left w:val="single" w:color="000000" w:sz="8" w:space="0"/>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375" w:type="dxa"/>
            <w:vMerge w:val="continue"/>
            <w:tcBorders>
              <w:top w:val="nil"/>
              <w:left w:val="nil"/>
              <w:bottom w:val="single" w:color="000000" w:sz="8" w:space="0"/>
              <w:right w:val="single" w:color="000000" w:sz="8" w:space="0"/>
            </w:tcBorders>
            <w:shd w:val="clear" w:color="auto" w:fill="FFFFFF"/>
            <w:vAlign w:val="center"/>
          </w:tcPr>
          <w:p>
            <w:pPr>
              <w:jc w:val="center"/>
              <w:rPr>
                <w:rFonts w:hint="default" w:ascii="楷体_GB2312" w:hAnsi="宋体" w:eastAsia="楷体_GB2312" w:cs="楷体_GB2312"/>
                <w:i w:val="0"/>
                <w:iCs w:val="0"/>
                <w:color w:val="000000"/>
                <w:sz w:val="22"/>
                <w:szCs w:val="22"/>
                <w:u w:val="none"/>
              </w:rPr>
            </w:pPr>
          </w:p>
        </w:tc>
        <w:tc>
          <w:tcPr>
            <w:tcW w:w="1155" w:type="dxa"/>
            <w:gridSpan w:val="3"/>
            <w:tcBorders>
              <w:top w:val="nil"/>
              <w:left w:val="nil"/>
              <w:bottom w:val="nil"/>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w:t>
            </w:r>
          </w:p>
        </w:tc>
        <w:tc>
          <w:tcPr>
            <w:tcW w:w="1275" w:type="dxa"/>
            <w:gridSpan w:val="2"/>
            <w:tcBorders>
              <w:top w:val="nil"/>
              <w:left w:val="nil"/>
              <w:bottom w:val="nil"/>
              <w:right w:val="nil"/>
            </w:tcBorders>
            <w:shd w:val="clear" w:color="auto" w:fill="FFFFFF"/>
            <w:noWrap/>
            <w:vAlign w:val="center"/>
          </w:tcPr>
          <w:p>
            <w:pPr>
              <w:rPr>
                <w:rFonts w:hint="default" w:ascii="楷体_GB2312" w:hAnsi="宋体" w:eastAsia="楷体_GB2312" w:cs="楷体_GB2312"/>
                <w:i w:val="0"/>
                <w:iCs w:val="0"/>
                <w:color w:val="000000"/>
                <w:sz w:val="22"/>
                <w:szCs w:val="22"/>
                <w:u w:val="none"/>
              </w:rPr>
            </w:pPr>
          </w:p>
        </w:tc>
        <w:tc>
          <w:tcPr>
            <w:tcW w:w="1635" w:type="dxa"/>
            <w:gridSpan w:val="2"/>
            <w:tcBorders>
              <w:top w:val="nil"/>
              <w:left w:val="nil"/>
              <w:bottom w:val="nil"/>
              <w:right w:val="nil"/>
            </w:tcBorders>
            <w:shd w:val="clear" w:color="auto" w:fill="FFFFFF"/>
            <w:noWrap/>
            <w:vAlign w:val="center"/>
          </w:tcPr>
          <w:p>
            <w:pPr>
              <w:rPr>
                <w:rFonts w:hint="default" w:ascii="楷体_GB2312" w:hAnsi="宋体" w:eastAsia="楷体_GB2312" w:cs="楷体_GB2312"/>
                <w:i w:val="0"/>
                <w:iCs w:val="0"/>
                <w:color w:val="000000"/>
                <w:sz w:val="22"/>
                <w:szCs w:val="22"/>
                <w:u w:val="none"/>
              </w:rPr>
            </w:pPr>
          </w:p>
        </w:tc>
        <w:tc>
          <w:tcPr>
            <w:tcW w:w="1125" w:type="dxa"/>
            <w:gridSpan w:val="2"/>
            <w:tcBorders>
              <w:top w:val="nil"/>
              <w:left w:val="single" w:color="000000" w:sz="8" w:space="0"/>
              <w:bottom w:val="nil"/>
              <w:right w:val="single" w:color="000000" w:sz="8" w:space="0"/>
            </w:tcBorders>
            <w:shd w:val="clear" w:color="auto" w:fill="FFFFFF"/>
            <w:noWrap/>
            <w:vAlign w:val="center"/>
          </w:tcPr>
          <w:p>
            <w:pPr>
              <w:rPr>
                <w:rFonts w:hint="default" w:ascii="楷体_GB2312" w:hAnsi="宋体" w:eastAsia="楷体_GB2312" w:cs="楷体_GB2312"/>
                <w:i w:val="0"/>
                <w:iCs w:val="0"/>
                <w:color w:val="000000"/>
                <w:sz w:val="22"/>
                <w:szCs w:val="22"/>
                <w:u w:val="none"/>
              </w:rPr>
            </w:pPr>
          </w:p>
        </w:tc>
        <w:tc>
          <w:tcPr>
            <w:tcW w:w="1215" w:type="dxa"/>
            <w:gridSpan w:val="4"/>
            <w:tcBorders>
              <w:top w:val="nil"/>
              <w:left w:val="single" w:color="000000" w:sz="8" w:space="0"/>
              <w:bottom w:val="nil"/>
              <w:right w:val="single" w:color="000000" w:sz="8" w:space="0"/>
            </w:tcBorders>
            <w:shd w:val="clear" w:color="auto" w:fill="FFFFFF"/>
            <w:noWrap/>
            <w:vAlign w:val="center"/>
          </w:tcPr>
          <w:p>
            <w:pPr>
              <w:jc w:val="center"/>
              <w:rPr>
                <w:rFonts w:hint="default" w:ascii="楷体_GB2312" w:hAnsi="宋体" w:eastAsia="楷体_GB2312" w:cs="楷体_GB2312"/>
                <w:i w:val="0"/>
                <w:iCs w:val="0"/>
                <w:color w:val="000000"/>
                <w:sz w:val="22"/>
                <w:szCs w:val="22"/>
                <w:u w:val="none"/>
              </w:rPr>
            </w:pPr>
          </w:p>
        </w:tc>
        <w:tc>
          <w:tcPr>
            <w:tcW w:w="1740" w:type="dxa"/>
            <w:gridSpan w:val="2"/>
            <w:tcBorders>
              <w:top w:val="nil"/>
              <w:left w:val="nil"/>
              <w:bottom w:val="nil"/>
              <w:right w:val="single" w:color="000000" w:sz="8" w:space="0"/>
            </w:tcBorders>
            <w:shd w:val="clear" w:color="auto" w:fill="FFFFFF"/>
            <w:noWrap/>
            <w:vAlign w:val="center"/>
          </w:tcPr>
          <w:p>
            <w:pPr>
              <w:rPr>
                <w:rFonts w:hint="default" w:ascii="楷体_GB2312" w:hAnsi="宋体" w:eastAsia="楷体_GB2312" w:cs="楷体_GB2312"/>
                <w:i w:val="0"/>
                <w:iCs w:val="0"/>
                <w:color w:val="000000"/>
                <w:sz w:val="22"/>
                <w:szCs w:val="22"/>
                <w:u w:val="none"/>
              </w:rPr>
            </w:pPr>
          </w:p>
        </w:tc>
      </w:tr>
      <w:tr>
        <w:tblPrEx>
          <w:tblCellMar>
            <w:top w:w="0" w:type="dxa"/>
            <w:left w:w="108" w:type="dxa"/>
            <w:bottom w:w="0" w:type="dxa"/>
            <w:right w:w="108" w:type="dxa"/>
          </w:tblCellMar>
        </w:tblPrEx>
        <w:trPr>
          <w:gridAfter w:val="1"/>
          <w:wAfter w:w="75" w:type="dxa"/>
          <w:trHeight w:val="642" w:hRule="atLeast"/>
        </w:trPr>
        <w:tc>
          <w:tcPr>
            <w:tcW w:w="735" w:type="dxa"/>
            <w:gridSpan w:val="2"/>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说明</w:t>
            </w:r>
          </w:p>
        </w:tc>
        <w:tc>
          <w:tcPr>
            <w:tcW w:w="8520" w:type="dxa"/>
            <w:gridSpan w:val="16"/>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default" w:ascii="楷体_GB2312" w:hAnsi="宋体" w:eastAsia="楷体_GB2312" w:cs="楷体_GB2312"/>
                <w:i w:val="0"/>
                <w:iCs w:val="0"/>
                <w:color w:val="000000"/>
                <w:sz w:val="22"/>
                <w:szCs w:val="22"/>
                <w:u w:val="none"/>
              </w:rPr>
            </w:pPr>
            <w:r>
              <w:rPr>
                <w:rFonts w:hint="default" w:ascii="楷体_GB2312" w:hAnsi="宋体" w:eastAsia="楷体_GB2312" w:cs="楷体_GB2312"/>
                <w:i w:val="0"/>
                <w:iCs w:val="0"/>
                <w:color w:val="000000"/>
                <w:kern w:val="0"/>
                <w:sz w:val="22"/>
                <w:szCs w:val="22"/>
                <w:u w:val="none"/>
                <w:lang w:val="en-US" w:eastAsia="zh-CN" w:bidi="ar"/>
              </w:rPr>
              <w:t>无</w:t>
            </w:r>
          </w:p>
        </w:tc>
      </w:tr>
    </w:tbl>
    <w:p>
      <w:pPr>
        <w:adjustRightInd w:val="0"/>
        <w:snapToGrid w:val="0"/>
        <w:spacing w:line="580" w:lineRule="exact"/>
        <w:ind w:firstLine="640" w:firstLineChars="200"/>
        <w:rPr>
          <w:rFonts w:ascii="仿宋_GB2312" w:hAnsi="仿宋_GB2312" w:eastAsia="仿宋_GB2312" w:cs="仿宋_GB2312"/>
          <w:sz w:val="32"/>
          <w:szCs w:val="32"/>
        </w:rPr>
      </w:pPr>
    </w:p>
    <w:p>
      <w:pPr>
        <w:numPr>
          <w:ilvl w:val="0"/>
          <w:numId w:val="3"/>
        </w:numPr>
        <w:adjustRightInd w:val="0"/>
        <w:snapToGrid w:val="0"/>
        <w:spacing w:line="580" w:lineRule="exact"/>
        <w:ind w:left="0" w:lef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财政评价项目绩效评价结果</w:t>
      </w:r>
    </w:p>
    <w:p>
      <w:pPr>
        <w:adjustRightInd w:val="0"/>
        <w:snapToGrid w:val="0"/>
        <w:spacing w:line="580" w:lineRule="exact"/>
        <w:ind w:firstLine="640" w:firstLineChars="200"/>
        <w:rPr>
          <w:rFonts w:ascii="仿宋_GB2312" w:eastAsia="仿宋_GB2312"/>
          <w:sz w:val="32"/>
          <w:szCs w:val="32"/>
        </w:rPr>
      </w:pPr>
      <w:r>
        <w:rPr>
          <w:rFonts w:hint="eastAsia" w:ascii="仿宋_GB2312" w:hAnsi="仿宋" w:eastAsia="仿宋_GB2312"/>
          <w:sz w:val="32"/>
          <w:szCs w:val="32"/>
        </w:rPr>
        <w:t>根据项目执行情况和项目绩效情况，</w:t>
      </w:r>
      <w:r>
        <w:rPr>
          <w:rFonts w:hint="eastAsia" w:ascii="仿宋_GB2312" w:hAnsi="仿宋" w:eastAsia="仿宋_GB2312"/>
          <w:sz w:val="32"/>
          <w:szCs w:val="32"/>
          <w:lang w:eastAsia="zh-CN"/>
        </w:rPr>
        <w:t>行政审批局</w:t>
      </w:r>
      <w:r>
        <w:rPr>
          <w:rFonts w:hint="eastAsia" w:ascii="仿宋_GB2312" w:hAnsi="仿宋" w:eastAsia="仿宋_GB2312"/>
          <w:sz w:val="32"/>
          <w:szCs w:val="32"/>
        </w:rPr>
        <w:t>年度项目绩效评价得分为95分，评价等级为优秀</w:t>
      </w:r>
      <w:r>
        <w:rPr>
          <w:rFonts w:hint="eastAsia" w:ascii="仿宋_GB2312" w:eastAsia="仿宋_GB2312"/>
          <w:sz w:val="32"/>
          <w:szCs w:val="32"/>
        </w:rPr>
        <w:t>。</w:t>
      </w:r>
      <w:bookmarkStart w:id="0" w:name="_GoBack"/>
      <w:bookmarkEnd w:id="0"/>
    </w:p>
    <w:p>
      <w:pPr>
        <w:numPr>
          <w:numId w:val="0"/>
        </w:numPr>
        <w:adjustRightInd w:val="0"/>
        <w:snapToGrid w:val="0"/>
        <w:spacing w:line="580" w:lineRule="exact"/>
        <w:ind w:leftChars="200"/>
        <w:rPr>
          <w:rFonts w:hint="default" w:ascii="仿宋_GB2312" w:eastAsia="仿宋_GB2312"/>
          <w:sz w:val="32"/>
          <w:szCs w:val="32"/>
          <w:lang w:val="en-US" w:eastAsia="zh-CN"/>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本部门2019年度机关运行经费支出0万元。</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本部门2019年度政府采购支出总额189.73万元，从采购类型来看，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105.21</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18.52</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66</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71.7</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37.8%，</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118.03</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62.2</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截至2019年12月31日，本部门共有车辆0辆。单位价值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本部门2019年度无收支及结转结余情况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D8zHRv2QAAAAwBAAAPAAAAAAAAAAEAIAAAACIAAABkcnMvZG93bnJldi54bWxQSwECFAAUAAAA&#10;CACHTuJAg9orI18CAAC6BAAADgAAAAAAAAABACAAAAAoAQAAZHJzL2Uyb0RvYy54bWxQSwUGAAAA&#10;AAYABgBZAQAA+QUAAAAA&#10;">
            <v:path/>
            <v:fill type="pattern" on="t" color2="#C8ECCC" o:title="image2" focussize="0,0" r:id="rId31"/>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Pr>
        <w:widowControl/>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LAO5WnbAAAADQEAAA8AAAAAAAAAAQAgAAAAIgAAAGRycy9kb3ducmV2LnhtbFBLAQIUABQA&#10;AAAIAIdO4kCc6xLHXwIAALoEAAAOAAAAAAAAAAEAIAAAACoBAABkcnMvZTJvRG9jLnhtbFBLBQYA&#10;AAAABgAGAFkBAAD7BQAAAAA=&#10;">
            <v:path/>
            <v:fill type="pattern" on="t" color2="#C8ECCC" o:title="image2"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rPr>
          <w:rFonts w:hint="eastAsia"/>
        </w:rPr>
      </w:pPr>
      <w:r>
        <w:rPr>
          <w:rFonts w:hint="eastAsia"/>
        </w:rPr>
        <w:t>详见附表</w: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w:panose1 w:val="00000000000000000000"/>
    <w:charset w:val="80"/>
    <w:family w:val="swiss"/>
    <w:pitch w:val="default"/>
    <w:sig w:usb0="00000000" w:usb1="00000000" w:usb2="00000016" w:usb3="00000000" w:csb0="2002009F" w:csb1="00000000"/>
  </w:font>
  <w:font w:name="Meiryo">
    <w:panose1 w:val="020B0604030504040204"/>
    <w:charset w:val="80"/>
    <w:family w:val="auto"/>
    <w:pitch w:val="default"/>
    <w:sig w:usb0="E10102FF" w:usb1="EAC7FFFF" w:usb2="00010012" w:usb3="00000000" w:csb0="6002009F" w:csb1="DFD70000"/>
  </w:font>
  <w:font w:name="思源黑体 HW Bold">
    <w:altName w:val="黑体"/>
    <w:panose1 w:val="00000000000000000000"/>
    <w:charset w:val="86"/>
    <w:family w:val="swiss"/>
    <w:pitch w:val="default"/>
    <w:sig w:usb0="00000000" w:usb1="00000000" w:usb2="00000016" w:usb3="00000000" w:csb0="002E0107"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- 15 -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2147483648"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2147483648"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2147483648"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2147483648"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2147483648"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2147483648"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1686912;mso-width-relative:page;mso-height-relative:page;" coordorigin="881,505" coordsize="11971,-2147483648"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84864;mso-width-relative:page;mso-height-relative:page;" coordorigin="881,505" coordsize="11930,-2147483648"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5888;mso-width-relative:page;mso-height-relative:page;" coordorigin="1337,880" coordsize="3150,-2147483648"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81,505" coordsize="11930,-2147483648"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37,880" coordsize="3150,-2147483648"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675648;mso-width-relative:page;mso-height-relative:page;" coordorigin="881,505" coordsize="11930,-2147483648"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76672;mso-width-relative:page;mso-height-relative:page;" coordorigin="1337,880" coordsize="3150,-2147483648"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2147483648"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2147483648"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D3474B"/>
    <w:multiLevelType w:val="singleLevel"/>
    <w:tmpl w:val="96D3474B"/>
    <w:lvl w:ilvl="0" w:tentative="0">
      <w:start w:val="3"/>
      <w:numFmt w:val="chineseCounting"/>
      <w:suff w:val="nothing"/>
      <w:lvlText w:val="（%1）"/>
      <w:lvlJc w:val="left"/>
      <w:rPr>
        <w:rFonts w:hint="eastAsia"/>
      </w:rPr>
    </w:lvl>
  </w:abstractNum>
  <w:abstractNum w:abstractNumId="1">
    <w:nsid w:val="0EE1D552"/>
    <w:multiLevelType w:val="singleLevel"/>
    <w:tmpl w:val="0EE1D552"/>
    <w:lvl w:ilvl="0" w:tentative="0">
      <w:start w:val="2"/>
      <w:numFmt w:val="decimal"/>
      <w:suff w:val="nothing"/>
      <w:lvlText w:val="%1、"/>
      <w:lvlJc w:val="left"/>
    </w:lvl>
  </w:abstractNum>
  <w:abstractNum w:abstractNumId="2">
    <w:nsid w:val="3505A71F"/>
    <w:multiLevelType w:val="singleLevel"/>
    <w:tmpl w:val="3505A71F"/>
    <w:lvl w:ilvl="0" w:tentative="0">
      <w:start w:val="2"/>
      <w:numFmt w:val="decimal"/>
      <w:suff w:val="nothing"/>
      <w:lvlText w:val="%1、"/>
      <w:lvlJc w:val="left"/>
    </w:lvl>
  </w:abstractNum>
  <w:abstractNum w:abstractNumId="3">
    <w:nsid w:val="45DB9A87"/>
    <w:multiLevelType w:val="singleLevel"/>
    <w:tmpl w:val="45DB9A87"/>
    <w:lvl w:ilvl="0" w:tentative="0">
      <w:start w:val="3"/>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13303"/>
    <w:rsid w:val="0007063E"/>
    <w:rsid w:val="00073392"/>
    <w:rsid w:val="00073F4E"/>
    <w:rsid w:val="00086C89"/>
    <w:rsid w:val="000A39FB"/>
    <w:rsid w:val="00117746"/>
    <w:rsid w:val="00163F95"/>
    <w:rsid w:val="00180A9A"/>
    <w:rsid w:val="001829C0"/>
    <w:rsid w:val="00184809"/>
    <w:rsid w:val="001864C1"/>
    <w:rsid w:val="00192112"/>
    <w:rsid w:val="001B0127"/>
    <w:rsid w:val="001C12D5"/>
    <w:rsid w:val="001C69F7"/>
    <w:rsid w:val="001D6F97"/>
    <w:rsid w:val="002650EC"/>
    <w:rsid w:val="002A6C46"/>
    <w:rsid w:val="002C19B5"/>
    <w:rsid w:val="003A4EE8"/>
    <w:rsid w:val="003E2B50"/>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23C0"/>
    <w:rsid w:val="006A516E"/>
    <w:rsid w:val="006A733B"/>
    <w:rsid w:val="006B0830"/>
    <w:rsid w:val="00716E2B"/>
    <w:rsid w:val="00770F18"/>
    <w:rsid w:val="00773B74"/>
    <w:rsid w:val="0078290C"/>
    <w:rsid w:val="007C06CA"/>
    <w:rsid w:val="007C7430"/>
    <w:rsid w:val="00803EEC"/>
    <w:rsid w:val="008163FB"/>
    <w:rsid w:val="0082605B"/>
    <w:rsid w:val="00855C36"/>
    <w:rsid w:val="00857DBE"/>
    <w:rsid w:val="008701BC"/>
    <w:rsid w:val="00883D92"/>
    <w:rsid w:val="00896F72"/>
    <w:rsid w:val="008A5362"/>
    <w:rsid w:val="008F21F1"/>
    <w:rsid w:val="008F221B"/>
    <w:rsid w:val="008F5A2D"/>
    <w:rsid w:val="00921602"/>
    <w:rsid w:val="00957EA1"/>
    <w:rsid w:val="00966E5B"/>
    <w:rsid w:val="009B4EF0"/>
    <w:rsid w:val="009D271F"/>
    <w:rsid w:val="009D3031"/>
    <w:rsid w:val="00A929C2"/>
    <w:rsid w:val="00AD097F"/>
    <w:rsid w:val="00B61DFC"/>
    <w:rsid w:val="00B844F4"/>
    <w:rsid w:val="00BA06A1"/>
    <w:rsid w:val="00BA770A"/>
    <w:rsid w:val="00C054DE"/>
    <w:rsid w:val="00C679A9"/>
    <w:rsid w:val="00C7541C"/>
    <w:rsid w:val="00CC0FAA"/>
    <w:rsid w:val="00CD0736"/>
    <w:rsid w:val="00CE1E9B"/>
    <w:rsid w:val="00D1570F"/>
    <w:rsid w:val="00D32830"/>
    <w:rsid w:val="00D60FDB"/>
    <w:rsid w:val="00DA347D"/>
    <w:rsid w:val="00DB7153"/>
    <w:rsid w:val="00DB7F05"/>
    <w:rsid w:val="00DE2332"/>
    <w:rsid w:val="00E028C3"/>
    <w:rsid w:val="00E14F77"/>
    <w:rsid w:val="00E3076B"/>
    <w:rsid w:val="00E36978"/>
    <w:rsid w:val="00E82A1E"/>
    <w:rsid w:val="00EA05EC"/>
    <w:rsid w:val="00EC06F4"/>
    <w:rsid w:val="00EE4E36"/>
    <w:rsid w:val="00F31448"/>
    <w:rsid w:val="00F63A59"/>
    <w:rsid w:val="00F665F4"/>
    <w:rsid w:val="00F75930"/>
    <w:rsid w:val="00FD225F"/>
    <w:rsid w:val="00FE44B5"/>
    <w:rsid w:val="00FE5461"/>
    <w:rsid w:val="05B00A30"/>
    <w:rsid w:val="0B011416"/>
    <w:rsid w:val="218846FB"/>
    <w:rsid w:val="261553B9"/>
    <w:rsid w:val="31C2036A"/>
    <w:rsid w:val="320D02A5"/>
    <w:rsid w:val="348E566F"/>
    <w:rsid w:val="3A226944"/>
    <w:rsid w:val="3AEE6A48"/>
    <w:rsid w:val="3C1620AA"/>
    <w:rsid w:val="3D8F080F"/>
    <w:rsid w:val="3F2C0BB8"/>
    <w:rsid w:val="44CE1FA4"/>
    <w:rsid w:val="47C85368"/>
    <w:rsid w:val="487F73ED"/>
    <w:rsid w:val="4A347EAE"/>
    <w:rsid w:val="4BD43686"/>
    <w:rsid w:val="4FA53FE3"/>
    <w:rsid w:val="52600405"/>
    <w:rsid w:val="528463E3"/>
    <w:rsid w:val="529B4319"/>
    <w:rsid w:val="57773DD6"/>
    <w:rsid w:val="578B79AB"/>
    <w:rsid w:val="5CCD3FD5"/>
    <w:rsid w:val="61FA5F9D"/>
    <w:rsid w:val="64CD6910"/>
    <w:rsid w:val="6789158D"/>
    <w:rsid w:val="67D81BA4"/>
    <w:rsid w:val="6AAF1C96"/>
    <w:rsid w:val="75681757"/>
    <w:rsid w:val="75A346A8"/>
    <w:rsid w:val="75EA6EAF"/>
    <w:rsid w:val="79B9382C"/>
    <w:rsid w:val="79FB668E"/>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uiPriority w:val="99"/>
    <w:rPr>
      <w:rFonts w:asciiTheme="minorHAnsi" w:hAnsiTheme="minorHAnsi" w:eastAsiaTheme="minorEastAsia" w:cstheme="minorBidi"/>
      <w:kern w:val="2"/>
      <w:sz w:val="18"/>
      <w:szCs w:val="18"/>
    </w:rPr>
  </w:style>
  <w:style w:type="character" w:customStyle="1" w:styleId="14">
    <w:name w:val="font21"/>
    <w:basedOn w:val="9"/>
    <w:uiPriority w:val="0"/>
    <w:rPr>
      <w:rFonts w:hint="default" w:ascii="楷体_GB2312" w:eastAsia="楷体_GB2312" w:cs="楷体_GB2312"/>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9" Type="http://schemas.openxmlformats.org/officeDocument/2006/relationships/fontTable" Target="fontTable.xml"/><Relationship Id="rId38" Type="http://schemas.openxmlformats.org/officeDocument/2006/relationships/customXml" Target="../customXml/item2.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chart" Target="charts/chart4.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chart" Target="charts/chart1.xml"/><Relationship Id="rId31" Type="http://schemas.openxmlformats.org/officeDocument/2006/relationships/image" Target="media/image2.GIF"/><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支出构成情况</a:t>
            </a:r>
          </a:p>
        </c:rich>
      </c:tx>
      <c:layout/>
      <c:overlay val="0"/>
      <c:spPr>
        <a:noFill/>
        <a:ln>
          <a:noFill/>
        </a:ln>
        <a:effectLst/>
      </c:spPr>
    </c:title>
    <c:autoTitleDeleted val="0"/>
    <c:plotArea>
      <c:layout/>
      <c:pieChart>
        <c:varyColors val="1"/>
        <c:ser>
          <c:idx val="0"/>
          <c:order val="0"/>
          <c:tx>
            <c:strRef>
              <c:f>Sheet1!$B$1</c:f>
              <c:strCache>
                <c:ptCount val="1"/>
                <c:pt idx="0">
                  <c:v>支出构成情况</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0.581</c:v>
                </c:pt>
                <c:pt idx="1">
                  <c:v>0.419</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黑体" panose="02010609060101010101" charset="-122"/>
                <a:ea typeface="黑体" panose="02010609060101010101" charset="-122"/>
              </a:rPr>
              <a:t>财政拨款收支与上年决算对比图</a:t>
            </a:r>
            <a:endParaRPr>
              <a:latin typeface="黑体" panose="02010609060101010101" charset="-122"/>
              <a:ea typeface="黑体" panose="02010609060101010101" charset="-122"/>
            </a:endParaRPr>
          </a:p>
        </c:rich>
      </c:tx>
      <c:layout>
        <c:manualLayout>
          <c:xMode val="edge"/>
          <c:yMode val="edge"/>
          <c:x val="0.211915877935924"/>
          <c:y val="0.0474114182494032"/>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dLbl>
              <c:idx val="0"/>
              <c:layout>
                <c:manualLayout>
                  <c:x val="-0.00572761985574883"/>
                  <c:y val="-0.101363073110285"/>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96987696224014"/>
                  <c:y val="-0.0978934324659232"/>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1085.35</c:v>
                </c:pt>
                <c:pt idx="1">
                  <c:v>1085.35</c:v>
                </c:pt>
              </c:numCache>
            </c:numRef>
          </c:val>
        </c:ser>
        <c:ser>
          <c:idx val="1"/>
          <c:order val="1"/>
          <c:tx>
            <c:strRef>
              <c:f>Sheet1!$C$1</c:f>
              <c:strCache>
                <c:ptCount val="1"/>
                <c:pt idx="0">
                  <c:v>2019年</c:v>
                </c:pt>
              </c:strCache>
            </c:strRef>
          </c:tx>
          <c:spPr>
            <a:solidFill>
              <a:schemeClr val="accent2"/>
            </a:solidFill>
            <a:ln>
              <a:noFill/>
            </a:ln>
            <a:effectLst/>
          </c:spPr>
          <c:invertIfNegative val="0"/>
          <c:dLbls>
            <c:dLbl>
              <c:idx val="0"/>
              <c:layout>
                <c:manualLayout>
                  <c:x val="0.00572761985574883"/>
                  <c:y val="-0.108302354399009"/>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7577428935087"/>
                  <c:y val="-0.104832713754647"/>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1331.13</c:v>
                </c:pt>
                <c:pt idx="1">
                  <c:v>1331.13</c:v>
                </c:pt>
              </c:numCache>
            </c:numRef>
          </c:val>
        </c:ser>
        <c:dLbls>
          <c:showLegendKey val="0"/>
          <c:showVal val="1"/>
          <c:showCatName val="0"/>
          <c:showSerName val="0"/>
          <c:showPercent val="0"/>
          <c:showBubbleSize val="0"/>
        </c:dLbls>
        <c:gapWidth val="219"/>
        <c:overlap val="-27"/>
        <c:axId val="220293376"/>
        <c:axId val="220401664"/>
      </c:barChart>
      <c:catAx>
        <c:axId val="220293376"/>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0401664"/>
        <c:crosses val="autoZero"/>
        <c:auto val="1"/>
        <c:lblAlgn val="ctr"/>
        <c:lblOffset val="100"/>
        <c:noMultiLvlLbl val="0"/>
      </c:catAx>
      <c:valAx>
        <c:axId val="22040166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029337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黑体" panose="02010609060101010101" charset="-122"/>
                <a:ea typeface="黑体" panose="02010609060101010101" charset="-122"/>
              </a:rPr>
              <a:t>财政拨款收支与年初预算对比图</a:t>
            </a:r>
            <a:endParaRPr>
              <a:latin typeface="黑体" panose="02010609060101010101" charset="-122"/>
              <a:ea typeface="黑体" panose="02010609060101010101" charset="-122"/>
            </a:endParaRPr>
          </a:p>
        </c:rich>
      </c:tx>
      <c:layout/>
      <c:overlay val="0"/>
      <c:spPr>
        <a:noFill/>
        <a:ln>
          <a:noFill/>
        </a:ln>
        <a:effectLst/>
      </c:spPr>
    </c:title>
    <c:autoTitleDeleted val="0"/>
    <c:plotArea>
      <c:layout>
        <c:manualLayout>
          <c:layoutTarget val="inner"/>
          <c:xMode val="edge"/>
          <c:yMode val="edge"/>
          <c:x val="0.153347280334729"/>
          <c:y val="0.282056845302669"/>
          <c:w val="0.841422594142259"/>
          <c:h val="0.62538511607724"/>
        </c:manualLayout>
      </c:layout>
      <c:barChart>
        <c:barDir val="col"/>
        <c:grouping val="clustered"/>
        <c:varyColors val="0"/>
        <c:ser>
          <c:idx val="0"/>
          <c:order val="0"/>
          <c:tx>
            <c:strRef>
              <c:f>Sheet1!$B$1</c:f>
              <c:strCache>
                <c:ptCount val="1"/>
                <c:pt idx="0">
                  <c:v>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0">
                  <c:v>预算</c:v>
                </c:pt>
                <c:pt idx="1">
                  <c:v>决算</c:v>
                </c:pt>
              </c:strCache>
            </c:strRef>
          </c:cat>
          <c:val>
            <c:numRef>
              <c:extLst>
                <c:ext xmlns:c15="http://schemas.microsoft.com/office/drawing/2012/chart" uri="{02D57815-91ED-43cb-92C2-25804820EDAC}">
                  <c15:fullRef>
                    <c15:sqref>Sheet1!$B$2:$B$5</c15:sqref>
                  </c15:fullRef>
                </c:ext>
              </c:extLst>
              <c:f>Sheet1!$B$2:$B$3</c:f>
              <c:numCache>
                <c:formatCode>General</c:formatCode>
                <c:ptCount val="2"/>
                <c:pt idx="0">
                  <c:v>1181</c:v>
                </c:pt>
                <c:pt idx="1">
                  <c:v>1131.13</c:v>
                </c:pt>
              </c:numCache>
            </c:numRef>
          </c:val>
        </c:ser>
        <c:ser>
          <c:idx val="1"/>
          <c:order val="1"/>
          <c:tx>
            <c:strRef>
              <c:f>Sheet1!$C$1</c:f>
              <c:strCache>
                <c:ptCount val="1"/>
                <c:pt idx="0">
                  <c:v>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0">
                  <c:v>预算</c:v>
                </c:pt>
                <c:pt idx="1">
                  <c:v>决算</c:v>
                </c:pt>
              </c:strCache>
            </c:strRef>
          </c:cat>
          <c:val>
            <c:numRef>
              <c:extLst>
                <c:ext xmlns:c15="http://schemas.microsoft.com/office/drawing/2012/chart" uri="{02D57815-91ED-43cb-92C2-25804820EDAC}">
                  <c15:fullRef>
                    <c15:sqref>Sheet1!$C$2:$C$5</c15:sqref>
                  </c15:fullRef>
                </c:ext>
              </c:extLst>
              <c:f>Sheet1!$C$2:$C$3</c:f>
              <c:numCache>
                <c:formatCode>General</c:formatCode>
                <c:ptCount val="2"/>
                <c:pt idx="0">
                  <c:v>1181</c:v>
                </c:pt>
                <c:pt idx="1">
                  <c:v>1331.13</c:v>
                </c:pt>
              </c:numCache>
            </c:numRef>
          </c:val>
        </c:ser>
        <c:dLbls>
          <c:showLegendKey val="0"/>
          <c:showVal val="1"/>
          <c:showCatName val="0"/>
          <c:showSerName val="0"/>
          <c:showPercent val="0"/>
          <c:showBubbleSize val="0"/>
        </c:dLbls>
        <c:gapWidth val="219"/>
        <c:overlap val="-27"/>
        <c:axId val="264049408"/>
        <c:axId val="264050944"/>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extLst>
                      <c:ext uri="{02D57815-91ED-43cb-92C2-25804820EDAC}">
                        <c15:fullRef>
                          <c15:sqref>Sheet1!$A$2:$A$5</c15:sqref>
                        </c15:fullRef>
                        <c15:formulaRef>
                          <c15:sqref>Sheet1!$A$2:$A$3</c15:sqref>
                        </c15:formulaRef>
                      </c:ext>
                    </c:extLst>
                    <c:strCache>
                      <c:ptCount val="2"/>
                      <c:pt idx="0">
                        <c:v>预算</c:v>
                      </c:pt>
                      <c:pt idx="1">
                        <c:v>决算</c:v>
                      </c:pt>
                    </c:strCache>
                  </c:strRef>
                </c:cat>
              </c15:ser>
            </c15:filteredBarSeries>
          </c:ext>
        </c:extLst>
      </c:barChart>
      <c:catAx>
        <c:axId val="264049408"/>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64050944"/>
        <c:crosses val="autoZero"/>
        <c:auto val="1"/>
        <c:lblAlgn val="ctr"/>
        <c:lblOffset val="100"/>
        <c:noMultiLvlLbl val="0"/>
      </c:catAx>
      <c:valAx>
        <c:axId val="26405094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6404940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黑体" panose="02010609060101010101" charset="-122"/>
                <a:ea typeface="黑体" panose="02010609060101010101" charset="-122"/>
              </a:rPr>
              <a:t>财政拨款支出决算结构（按功能分类）</a:t>
            </a:r>
            <a:endParaRPr lang="en-US" altLang="zh-CN">
              <a:latin typeface="黑体" panose="02010609060101010101" charset="-122"/>
              <a:ea typeface="黑体" panose="02010609060101010101" charset="-122"/>
            </a:endParaRPr>
          </a:p>
        </c:rich>
      </c:tx>
      <c:layout>
        <c:manualLayout>
          <c:xMode val="edge"/>
          <c:yMode val="edge"/>
          <c:x val="0.151520211549978"/>
          <c:y val="0.0412735849056604"/>
        </c:manualLayout>
      </c:layout>
      <c:overlay val="0"/>
      <c:spPr>
        <a:noFill/>
        <a:ln>
          <a:noFill/>
        </a:ln>
        <a:effectLst/>
      </c:spPr>
    </c:title>
    <c:autoTitleDeleted val="0"/>
    <c:plotArea>
      <c:layout>
        <c:manualLayout>
          <c:layoutTarget val="inner"/>
          <c:xMode val="edge"/>
          <c:yMode val="edge"/>
          <c:x val="0.232131254061079"/>
          <c:y val="0.216204599183323"/>
          <c:w val="0.5227420402859"/>
          <c:h val="0.691596819256394"/>
        </c:manualLayout>
      </c:layout>
      <c:pieChart>
        <c:varyColors val="1"/>
        <c:ser>
          <c:idx val="0"/>
          <c:order val="0"/>
          <c:tx>
            <c:strRef>
              <c:f>Sheet1!$B$1</c:f>
              <c:strCache>
                <c:ptCount val="1"/>
                <c:pt idx="0">
                  <c:v>财政拨款支出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explosion val="1"/>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19050">
                <a:solidFill>
                  <a:schemeClr val="lt1"/>
                </a:solidFill>
              </a:ln>
              <a:effectLst/>
              <a:scene3d>
                <a:camera prst="orthographicFront"/>
                <a:lightRig rig="threePt" dir="t"/>
              </a:scene3d>
              <a:sp3d contourW="25400"/>
            </c:spPr>
          </c:dPt>
          <c:dPt>
            <c:idx val="3"/>
            <c:bubble3D val="0"/>
            <c:spPr>
              <a:solidFill>
                <a:schemeClr val="accent4"/>
              </a:solidFill>
              <a:ln w="19050">
                <a:solidFill>
                  <a:schemeClr val="lt1"/>
                </a:solidFill>
              </a:ln>
              <a:effectLst/>
              <a:scene3d>
                <a:camera prst="orthographicFront"/>
                <a:lightRig rig="threePt" dir="t"/>
              </a:scene3d>
              <a:sp3d contourW="25400"/>
            </c:spPr>
          </c:dPt>
          <c:dPt>
            <c:idx val="4"/>
            <c:bubble3D val="0"/>
            <c:spPr>
              <a:solidFill>
                <a:schemeClr val="accent5"/>
              </a:solidFill>
              <a:ln w="19050">
                <a:solidFill>
                  <a:schemeClr val="lt1"/>
                </a:solidFill>
              </a:ln>
              <a:effectLst/>
              <a:scene3d>
                <a:camera prst="orthographicFront"/>
                <a:lightRig rig="threePt" dir="t"/>
              </a:scene3d>
              <a:sp3d contourW="25400"/>
            </c:spPr>
          </c:dPt>
          <c:dPt>
            <c:idx val="5"/>
            <c:bubble3D val="0"/>
            <c:spPr>
              <a:solidFill>
                <a:schemeClr val="accent6"/>
              </a:solidFill>
              <a:ln w="19050">
                <a:solidFill>
                  <a:schemeClr val="lt1"/>
                </a:solidFill>
              </a:ln>
              <a:effectLst/>
              <a:scene3d>
                <a:camera prst="orthographicFront"/>
                <a:lightRig rig="threePt" dir="t"/>
              </a:scene3d>
              <a:sp3d contourW="25400"/>
            </c:spPr>
          </c:dPt>
          <c:dPt>
            <c:idx val="6"/>
            <c:bubble3D val="0"/>
            <c:spPr>
              <a:solidFill>
                <a:schemeClr val="accent1">
                  <a:lumMod val="60000"/>
                </a:schemeClr>
              </a:solidFill>
              <a:ln w="19050">
                <a:solidFill>
                  <a:schemeClr val="lt1"/>
                </a:solidFill>
              </a:ln>
              <a:effectLst/>
              <a:scene3d>
                <a:camera prst="orthographicFront"/>
                <a:lightRig rig="threePt" dir="t"/>
              </a:scene3d>
              <a:sp3d contourW="25400"/>
            </c:spPr>
          </c:dPt>
          <c:dLbls>
            <c:dLbl>
              <c:idx val="1"/>
              <c:layout>
                <c:manualLayout>
                  <c:x val="0.0204245848468196"/>
                  <c:y val="-0.30363991269317"/>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Sheet1!$A$2:$A$8</c:f>
              <c:strCache>
                <c:ptCount val="7"/>
                <c:pt idx="0">
                  <c:v>一般公共服务（类）支出</c:v>
                </c:pt>
              </c:strCache>
            </c:strRef>
          </c:cat>
          <c:val>
            <c:numRef>
              <c:f>Sheet1!$B$2:$B$8</c:f>
              <c:numCache>
                <c:formatCode>0.00%</c:formatCode>
                <c:ptCount val="7"/>
                <c:pt idx="0">
                  <c:v>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egendEntry>
        <c:idx val="1"/>
        <c:delete val="1"/>
      </c:legendEntry>
      <c:legendEntry>
        <c:idx val="2"/>
        <c:delete val="1"/>
      </c:legendEntry>
      <c:legendEntry>
        <c:idx val="3"/>
        <c:delete val="1"/>
      </c:legendEntry>
      <c:legendEntry>
        <c:idx val="4"/>
        <c:delete val="1"/>
      </c:legendEntry>
      <c:legendEntry>
        <c:idx val="5"/>
        <c:delete val="1"/>
      </c:legendEntry>
      <c:legendEntry>
        <c:idx val="6"/>
        <c:delete val="1"/>
      </c:legendEntry>
      <c:layout>
        <c:manualLayout>
          <c:xMode val="edge"/>
          <c:yMode val="edge"/>
          <c:x val="0.230344379467186"/>
          <c:y val="0.848894552246031"/>
          <c:w val="0.729207277452891"/>
          <c:h val="0.14507772020725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29"/>
    <customShpInfo spid="_x0000_s1028"/>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E42B213-62D1-4604-A67E-C3DFAD0FA246}">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24</Pages>
  <Words>854</Words>
  <Characters>4870</Characters>
  <Lines>40</Lines>
  <Paragraphs>11</Paragraphs>
  <TotalTime>2</TotalTime>
  <ScaleCrop>false</ScaleCrop>
  <LinksUpToDate>false</LinksUpToDate>
  <CharactersWithSpaces>5713</CharactersWithSpaces>
  <Application>WPS Office_11.1.0.10578_F1E327BC-269C-435d-A152-05C5408002CA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2021-07-05T09:02:27Z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39E3BCAB96B14035AAF7DC7E395CCECC</vt:lpwstr>
  </property>
</Properties>
</file>