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bmp" ContentType="image/bmp"/>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hint="eastAsia" w:ascii="楷体" w:hAnsi="楷体" w:eastAsia="楷体" w:cs="楷体"/>
          <w:sz w:val="44"/>
          <w:szCs w:val="44"/>
          <w:lang w:eastAsia="zh-CN"/>
        </w:rPr>
      </w:pPr>
      <w:r>
        <w:rPr>
          <w:rFonts w:hint="eastAsia" w:ascii="楷体" w:hAnsi="楷体" w:eastAsia="楷体" w:cs="楷体"/>
          <w:sz w:val="44"/>
          <w:szCs w:val="44"/>
          <w:lang w:eastAsia="zh-CN"/>
        </w:rPr>
        <w:t>石家庄市藁城区残疾人联合会</w:t>
      </w: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0二0年十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6"/>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hint="eastAsia" w:ascii="仿宋" w:hAnsi="仿宋" w:eastAsia="仿宋" w:cs="仿宋"/>
          <w:b w:val="0"/>
          <w:bCs w:val="0"/>
          <w:sz w:val="32"/>
          <w:szCs w:val="32"/>
        </w:rPr>
      </w:pPr>
      <w:r>
        <w:rPr>
          <w:rFonts w:hint="eastAsia" w:ascii="仿宋" w:hAnsi="仿宋" w:eastAsia="仿宋" w:cs="仿宋"/>
          <w:sz w:val="32"/>
          <w:szCs w:val="32"/>
        </w:rPr>
        <w:t>（一）、</w:t>
      </w:r>
      <w:r>
        <w:rPr>
          <w:rFonts w:hint="eastAsia" w:ascii="仿宋" w:hAnsi="仿宋" w:eastAsia="仿宋" w:cs="仿宋"/>
          <w:b w:val="0"/>
          <w:bCs w:val="0"/>
          <w:sz w:val="32"/>
          <w:szCs w:val="32"/>
        </w:rPr>
        <w:t>组织建设</w:t>
      </w:r>
    </w:p>
    <w:p>
      <w:pPr>
        <w:ind w:firstLine="600"/>
        <w:rPr>
          <w:rFonts w:hint="eastAsia" w:ascii="仿宋" w:hAnsi="仿宋" w:eastAsia="仿宋" w:cs="仿宋"/>
          <w:sz w:val="32"/>
          <w:szCs w:val="32"/>
        </w:rPr>
      </w:pPr>
      <w:r>
        <w:rPr>
          <w:rFonts w:hint="eastAsia" w:ascii="仿宋" w:hAnsi="仿宋" w:eastAsia="仿宋" w:cs="仿宋"/>
          <w:sz w:val="32"/>
          <w:szCs w:val="32"/>
        </w:rPr>
        <w:t>做好残疾人证的办理工作及基本服务状况和基本需求专项调查等工作。发挥专门协会桥梁纽带作用；提高残疾人办证率；增强基层服务残疾人能力；加强残疾人信息化建设，促进残疾人事业发展</w:t>
      </w:r>
    </w:p>
    <w:p>
      <w:pPr>
        <w:ind w:firstLine="600"/>
        <w:rPr>
          <w:rFonts w:hint="eastAsia" w:ascii="仿宋" w:hAnsi="仿宋" w:eastAsia="仿宋" w:cs="仿宋"/>
          <w:b w:val="0"/>
          <w:bCs w:val="0"/>
          <w:sz w:val="32"/>
          <w:szCs w:val="32"/>
        </w:rPr>
      </w:pPr>
      <w:r>
        <w:rPr>
          <w:rFonts w:hint="eastAsia" w:ascii="仿宋" w:hAnsi="仿宋" w:eastAsia="仿宋" w:cs="仿宋"/>
          <w:sz w:val="32"/>
          <w:szCs w:val="32"/>
        </w:rPr>
        <w:t>（二）、</w:t>
      </w:r>
      <w:r>
        <w:rPr>
          <w:rFonts w:hint="eastAsia" w:ascii="仿宋" w:hAnsi="仿宋" w:eastAsia="仿宋" w:cs="仿宋"/>
          <w:b w:val="0"/>
          <w:bCs w:val="0"/>
          <w:sz w:val="32"/>
          <w:szCs w:val="32"/>
        </w:rPr>
        <w:t>康复工作</w:t>
      </w:r>
    </w:p>
    <w:p>
      <w:pPr>
        <w:ind w:firstLine="600"/>
        <w:rPr>
          <w:rFonts w:hint="eastAsia" w:ascii="仿宋" w:hAnsi="仿宋" w:eastAsia="仿宋" w:cs="仿宋"/>
          <w:sz w:val="32"/>
          <w:szCs w:val="32"/>
        </w:rPr>
      </w:pPr>
      <w:r>
        <w:rPr>
          <w:rFonts w:hint="eastAsia" w:ascii="仿宋" w:hAnsi="仿宋" w:eastAsia="仿宋" w:cs="仿宋"/>
          <w:sz w:val="32"/>
          <w:szCs w:val="32"/>
        </w:rPr>
        <w:t>1、积极创造良好的环境和条件，巩固、扩大脑瘫儿童康复训练。继续做好精神病防治、盲人定向行走培训、聋儿康复训练及社区康复站建设等工作，同时保存好各项康复资料；</w:t>
      </w:r>
    </w:p>
    <w:p>
      <w:pPr>
        <w:ind w:firstLine="600"/>
        <w:rPr>
          <w:rFonts w:hint="eastAsia" w:ascii="仿宋" w:hAnsi="仿宋" w:eastAsia="仿宋" w:cs="仿宋"/>
          <w:sz w:val="32"/>
          <w:szCs w:val="32"/>
        </w:rPr>
      </w:pPr>
      <w:r>
        <w:rPr>
          <w:rFonts w:hint="eastAsia" w:ascii="仿宋" w:hAnsi="仿宋" w:eastAsia="仿宋" w:cs="仿宋"/>
          <w:sz w:val="32"/>
          <w:szCs w:val="32"/>
        </w:rPr>
        <w:t>2、完成上级下达的其他各项康复任务。</w:t>
      </w:r>
    </w:p>
    <w:p>
      <w:pPr>
        <w:ind w:firstLine="600"/>
        <w:rPr>
          <w:rFonts w:hint="eastAsia" w:ascii="仿宋" w:hAnsi="仿宋" w:eastAsia="仿宋" w:cs="仿宋"/>
          <w:sz w:val="32"/>
          <w:szCs w:val="32"/>
        </w:rPr>
      </w:pPr>
      <w:r>
        <w:rPr>
          <w:rFonts w:hint="eastAsia" w:ascii="仿宋" w:hAnsi="仿宋" w:eastAsia="仿宋" w:cs="仿宋"/>
          <w:sz w:val="32"/>
          <w:szCs w:val="32"/>
        </w:rPr>
        <w:t>（三）、</w:t>
      </w:r>
      <w:r>
        <w:rPr>
          <w:rFonts w:hint="eastAsia" w:ascii="仿宋" w:hAnsi="仿宋" w:eastAsia="仿宋" w:cs="仿宋"/>
          <w:b w:val="0"/>
          <w:bCs w:val="0"/>
          <w:sz w:val="32"/>
          <w:szCs w:val="32"/>
        </w:rPr>
        <w:t>教就扶贫工作</w:t>
      </w:r>
      <w:r>
        <w:rPr>
          <w:rFonts w:hint="eastAsia" w:ascii="仿宋" w:hAnsi="仿宋" w:eastAsia="仿宋" w:cs="仿宋"/>
          <w:b w:val="0"/>
          <w:bCs w:val="0"/>
          <w:sz w:val="32"/>
          <w:szCs w:val="32"/>
        </w:rPr>
        <w:tab/>
      </w:r>
    </w:p>
    <w:p>
      <w:pPr>
        <w:ind w:firstLine="600"/>
        <w:rPr>
          <w:rFonts w:hint="eastAsia" w:ascii="仿宋" w:hAnsi="仿宋" w:eastAsia="仿宋" w:cs="仿宋"/>
          <w:sz w:val="32"/>
          <w:szCs w:val="32"/>
        </w:rPr>
      </w:pPr>
      <w:r>
        <w:rPr>
          <w:rFonts w:hint="eastAsia" w:ascii="仿宋" w:hAnsi="仿宋" w:eastAsia="仿宋" w:cs="仿宋"/>
          <w:sz w:val="32"/>
          <w:szCs w:val="32"/>
        </w:rPr>
        <w:t>1、开展残疾人职业培训，提高残疾人就业能力;</w:t>
      </w:r>
    </w:p>
    <w:p>
      <w:pPr>
        <w:ind w:firstLine="0" w:firstLineChars="0"/>
        <w:rPr>
          <w:rFonts w:hint="eastAsia" w:ascii="仿宋" w:hAnsi="仿宋" w:eastAsia="仿宋" w:cs="仿宋"/>
          <w:sz w:val="32"/>
          <w:szCs w:val="32"/>
        </w:rPr>
      </w:pPr>
      <w:r>
        <w:rPr>
          <w:rFonts w:hint="eastAsia" w:ascii="仿宋" w:hAnsi="仿宋" w:eastAsia="仿宋" w:cs="仿宋"/>
          <w:sz w:val="32"/>
          <w:szCs w:val="32"/>
        </w:rPr>
        <w:t xml:space="preserve">    2、积极推进残疾人多渠道就业，完成上级下达的安排残疾人就业任务；</w:t>
      </w:r>
    </w:p>
    <w:p>
      <w:pPr>
        <w:ind w:firstLine="600"/>
        <w:rPr>
          <w:rFonts w:hint="eastAsia" w:ascii="仿宋" w:hAnsi="仿宋" w:eastAsia="仿宋" w:cs="仿宋"/>
          <w:sz w:val="32"/>
          <w:szCs w:val="32"/>
        </w:rPr>
      </w:pPr>
      <w:r>
        <w:rPr>
          <w:rFonts w:hint="eastAsia" w:ascii="仿宋" w:hAnsi="仿宋" w:eastAsia="仿宋" w:cs="仿宋"/>
          <w:sz w:val="32"/>
          <w:szCs w:val="32"/>
        </w:rPr>
        <w:t>3、健全和完善扶残基地、培训基地的工作规划、运行机制和考评办法，加强对扶持资金和扶持效果的监督管理，切实帮扶残疾人脱贫；</w:t>
      </w:r>
    </w:p>
    <w:p>
      <w:pPr>
        <w:ind w:firstLine="600"/>
        <w:rPr>
          <w:rFonts w:hint="eastAsia" w:ascii="仿宋" w:hAnsi="仿宋" w:eastAsia="仿宋" w:cs="仿宋"/>
          <w:sz w:val="32"/>
          <w:szCs w:val="32"/>
        </w:rPr>
      </w:pPr>
      <w:r>
        <w:rPr>
          <w:rFonts w:hint="eastAsia" w:ascii="仿宋" w:hAnsi="仿宋" w:eastAsia="仿宋" w:cs="仿宋"/>
          <w:sz w:val="32"/>
          <w:szCs w:val="32"/>
        </w:rPr>
        <w:t>4、继续对考入高中以上残疾学生和参加技能培训残疾人员的实行学费资助活动；</w:t>
      </w:r>
    </w:p>
    <w:p>
      <w:pPr>
        <w:ind w:firstLine="600"/>
        <w:rPr>
          <w:rFonts w:hint="eastAsia" w:ascii="仿宋" w:hAnsi="仿宋" w:eastAsia="仿宋" w:cs="仿宋"/>
          <w:sz w:val="32"/>
          <w:szCs w:val="32"/>
        </w:rPr>
      </w:pPr>
      <w:r>
        <w:rPr>
          <w:rFonts w:hint="eastAsia" w:ascii="仿宋" w:hAnsi="仿宋" w:eastAsia="仿宋" w:cs="仿宋"/>
          <w:sz w:val="32"/>
          <w:szCs w:val="32"/>
        </w:rPr>
        <w:t>5、对符合补贴范围要求的贫困重度残疾人提供生活补贴和护理补贴</w:t>
      </w:r>
    </w:p>
    <w:p>
      <w:pPr>
        <w:ind w:firstLine="600"/>
        <w:rPr>
          <w:rFonts w:hint="eastAsia" w:ascii="仿宋" w:hAnsi="仿宋" w:eastAsia="仿宋" w:cs="仿宋"/>
          <w:sz w:val="32"/>
          <w:szCs w:val="32"/>
        </w:rPr>
      </w:pPr>
      <w:r>
        <w:rPr>
          <w:rFonts w:hint="eastAsia" w:ascii="仿宋" w:hAnsi="仿宋" w:eastAsia="仿宋" w:cs="仿宋"/>
          <w:sz w:val="32"/>
          <w:szCs w:val="32"/>
        </w:rPr>
        <w:t>（四）、组织搞好全国助残日、国际残疾人日、世界精神卫生日、聋人节、盲人节等残疾人节日活动和宣传报道。</w:t>
      </w:r>
    </w:p>
    <w:p>
      <w:pPr>
        <w:ind w:firstLine="600"/>
        <w:rPr>
          <w:rFonts w:hint="eastAsia" w:ascii="仿宋" w:hAnsi="仿宋" w:eastAsia="仿宋" w:cs="仿宋"/>
          <w:sz w:val="32"/>
          <w:szCs w:val="32"/>
        </w:rPr>
      </w:pPr>
      <w:r>
        <w:rPr>
          <w:rFonts w:hint="eastAsia" w:ascii="仿宋" w:hAnsi="仿宋" w:eastAsia="仿宋" w:cs="仿宋"/>
          <w:sz w:val="32"/>
          <w:szCs w:val="32"/>
        </w:rPr>
        <w:t>（五）、健全、完善残疾人综合服务中心各项制度和管理，把中心建成“残疾人之家”。</w:t>
      </w:r>
    </w:p>
    <w:p>
      <w:pPr>
        <w:ind w:firstLine="600"/>
        <w:rPr>
          <w:rFonts w:hint="eastAsia" w:ascii="仿宋" w:hAnsi="仿宋" w:eastAsia="仿宋" w:cs="仿宋"/>
          <w:sz w:val="32"/>
          <w:szCs w:val="32"/>
        </w:rPr>
      </w:pPr>
      <w:r>
        <w:rPr>
          <w:rFonts w:hint="eastAsia" w:ascii="仿宋" w:hAnsi="仿宋" w:eastAsia="仿宋" w:cs="仿宋"/>
          <w:sz w:val="32"/>
          <w:szCs w:val="32"/>
        </w:rPr>
        <w:t>（六）、法制维权工作</w:t>
      </w:r>
    </w:p>
    <w:p>
      <w:pPr>
        <w:ind w:firstLine="600"/>
        <w:rPr>
          <w:rFonts w:hint="eastAsia" w:ascii="仿宋" w:hAnsi="仿宋" w:eastAsia="仿宋" w:cs="仿宋"/>
          <w:sz w:val="32"/>
          <w:szCs w:val="32"/>
        </w:rPr>
      </w:pPr>
      <w:r>
        <w:rPr>
          <w:rFonts w:hint="eastAsia" w:ascii="仿宋" w:hAnsi="仿宋" w:eastAsia="仿宋" w:cs="仿宋"/>
          <w:sz w:val="32"/>
          <w:szCs w:val="32"/>
        </w:rPr>
        <w:t>1、对贫困残疾人提供法律帮助；</w:t>
      </w:r>
    </w:p>
    <w:p>
      <w:pPr>
        <w:ind w:firstLine="600"/>
        <w:rPr>
          <w:rFonts w:hint="eastAsia" w:ascii="仿宋" w:hAnsi="仿宋" w:eastAsia="仿宋" w:cs="仿宋"/>
          <w:sz w:val="32"/>
          <w:szCs w:val="32"/>
        </w:rPr>
      </w:pPr>
      <w:r>
        <w:rPr>
          <w:rFonts w:hint="eastAsia" w:ascii="仿宋" w:hAnsi="仿宋" w:eastAsia="仿宋" w:cs="仿宋"/>
          <w:sz w:val="32"/>
          <w:szCs w:val="32"/>
        </w:rPr>
        <w:t>2、继续做好残疾人居家无障碍改造工作及燃油补贴工作</w:t>
      </w:r>
    </w:p>
    <w:p>
      <w:pPr>
        <w:ind w:firstLine="600"/>
        <w:rPr>
          <w:rFonts w:hint="eastAsia" w:ascii="仿宋" w:hAnsi="仿宋" w:eastAsia="仿宋" w:cs="仿宋"/>
          <w:sz w:val="32"/>
          <w:szCs w:val="32"/>
        </w:rPr>
      </w:pPr>
      <w:r>
        <w:rPr>
          <w:rFonts w:hint="eastAsia" w:ascii="仿宋" w:hAnsi="仿宋" w:eastAsia="仿宋" w:cs="仿宋"/>
          <w:sz w:val="32"/>
          <w:szCs w:val="32"/>
        </w:rPr>
        <w:t>3、继续做好残疾人公交爱心卡的工作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after="0" w:afterLines="0" w:line="560" w:lineRule="exact"/>
              <w:rPr>
                <w:rFonts w:ascii="仿宋_GB2312" w:hAnsi="Calibri" w:eastAsia="仿宋_GB2312" w:cs="ArialUnicodeMS"/>
                <w:kern w:val="0"/>
                <w:sz w:val="28"/>
                <w:szCs w:val="28"/>
              </w:rPr>
            </w:pPr>
            <w:r>
              <w:rPr>
                <w:rFonts w:hint="eastAsia" w:ascii="仿宋_GB2312" w:hAnsi="Cambria" w:eastAsia="仿宋_GB2312" w:cs="ArialUnicodeMS"/>
                <w:kern w:val="0"/>
                <w:sz w:val="24"/>
                <w:szCs w:val="24"/>
                <w:lang w:eastAsia="zh-CN"/>
              </w:rPr>
              <w:t>石家庄市藁城区残疾人联合会</w:t>
            </w:r>
          </w:p>
        </w:tc>
        <w:tc>
          <w:tcPr>
            <w:tcW w:w="244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参照公务员管理</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bl>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财政拨款收入（含年初结转和结余）</w:t>
      </w:r>
      <w:r>
        <w:rPr>
          <w:rFonts w:hint="eastAsia" w:ascii="仿宋_GB2312" w:hAnsi="Times New Roman" w:eastAsia="仿宋_GB2312" w:cs="DengXian-Regular"/>
          <w:sz w:val="32"/>
          <w:szCs w:val="32"/>
          <w:lang w:val="en-US" w:eastAsia="zh-CN"/>
        </w:rPr>
        <w:t>746.47</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60.71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8.88%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用于残疾人项目增加</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2019年总</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656.99万元，年末结转和结余89.48万元。与2018年支出减少124.42，下降15.92%，支出减少原因主要是项目跨年支出增多。</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746.47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746.47万</w:t>
      </w:r>
      <w:r>
        <w:rPr>
          <w:rFonts w:hint="eastAsia" w:ascii="仿宋_GB2312" w:hAnsi="Times New Roman" w:eastAsia="仿宋_GB2312" w:cs="DengXian-Regular"/>
          <w:sz w:val="32"/>
          <w:szCs w:val="32"/>
        </w:rPr>
        <w:t>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437284864" behindDoc="0" locked="0" layoutInCell="1" allowOverlap="1">
            <wp:simplePos x="0" y="0"/>
            <wp:positionH relativeFrom="column">
              <wp:posOffset>1236345</wp:posOffset>
            </wp:positionH>
            <wp:positionV relativeFrom="page">
              <wp:posOffset>5128895</wp:posOffset>
            </wp:positionV>
            <wp:extent cx="3236595" cy="2456815"/>
            <wp:effectExtent l="4445" t="4445" r="16510" b="1524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656.99</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172.74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26.3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484.25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73.7</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437283840" behindDoc="0" locked="0" layoutInCell="1" allowOverlap="1">
            <wp:simplePos x="0" y="0"/>
            <wp:positionH relativeFrom="column">
              <wp:posOffset>914400</wp:posOffset>
            </wp:positionH>
            <wp:positionV relativeFrom="paragraph">
              <wp:posOffset>299085</wp:posOffset>
            </wp:positionV>
            <wp:extent cx="3677920" cy="2468880"/>
            <wp:effectExtent l="4445" t="4445" r="13335" b="22225"/>
            <wp:wrapSquare wrapText="bothSides"/>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本部门2019年度财政拨款收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lang w:val="en-US" w:eastAsia="zh-CN"/>
        </w:rPr>
        <w:t>746.47万元，比2018年增加60.71万元，增长8.88%，主要是用于残疾人项目增加；本年支出656.99万元，</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124.42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下降15.92%，支出减少原因主要是项目跨年支出增多。</w:t>
      </w:r>
    </w:p>
    <w:p>
      <w:pPr>
        <w:adjustRightInd w:val="0"/>
        <w:snapToGrid w:val="0"/>
        <w:spacing w:after="0" w:afterLines="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_GB2312" w:eastAsia="仿宋_GB2312" w:cs="DengXian-Regular"/>
          <w:sz w:val="32"/>
          <w:szCs w:val="32"/>
          <w:lang w:val="en-US" w:eastAsia="zh-CN"/>
        </w:rPr>
        <w:t>632.4</w:t>
      </w:r>
      <w:r>
        <w:rPr>
          <w:rFonts w:hint="eastAsia" w:ascii="仿宋_GB2312" w:eastAsia="仿宋_GB2312" w:cs="DengXian-Regular"/>
          <w:sz w:val="32"/>
          <w:szCs w:val="32"/>
        </w:rPr>
        <w:t>万元，比上年</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53.36，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本级项目配套减少</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656.99</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124.42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15.92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项目跨年度支出增多</w:t>
      </w:r>
      <w:r>
        <w:rPr>
          <w:rFonts w:hint="eastAsia" w:ascii="仿宋_GB2312" w:eastAsia="仿宋_GB2312" w:cs="DengXian-Regular"/>
          <w:sz w:val="32"/>
          <w:szCs w:val="32"/>
        </w:rPr>
        <w:t>。政府性基金预算财政拨款本年收入</w:t>
      </w:r>
      <w:r>
        <w:rPr>
          <w:rFonts w:hint="eastAsia" w:ascii="仿宋_GB2312" w:eastAsia="仿宋_GB2312" w:cs="DengXian-Regular"/>
          <w:sz w:val="32"/>
          <w:szCs w:val="32"/>
          <w:lang w:val="en-US" w:eastAsia="zh-CN"/>
        </w:rPr>
        <w:t>89.28</w:t>
      </w:r>
      <w:r>
        <w:rPr>
          <w:rFonts w:hint="eastAsia" w:ascii="仿宋_GB2312" w:eastAsia="仿宋_GB2312" w:cs="DengXian-Regular"/>
          <w:sz w:val="32"/>
          <w:szCs w:val="32"/>
        </w:rPr>
        <w:t>万元，比上年</w:t>
      </w:r>
      <w:r>
        <w:rPr>
          <w:rFonts w:hint="eastAsia" w:ascii="仿宋_GB2312" w:eastAsia="仿宋_GB2312" w:cs="DengXian-Regular"/>
          <w:sz w:val="32"/>
          <w:szCs w:val="32"/>
          <w:lang w:eastAsia="zh-CN"/>
        </w:rPr>
        <w:t>增加</w:t>
      </w:r>
      <w:r>
        <w:rPr>
          <w:rFonts w:hint="eastAsia" w:ascii="仿宋_GB2312" w:eastAsia="仿宋_GB2312" w:cs="DengXian-Regular"/>
          <w:sz w:val="32"/>
          <w:szCs w:val="32"/>
          <w:lang w:val="en-US" w:eastAsia="zh-CN"/>
        </w:rPr>
        <w:t>86.88</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增加</w:t>
      </w:r>
      <w:r>
        <w:rPr>
          <w:rFonts w:hint="eastAsia" w:ascii="仿宋_GB2312" w:eastAsia="仿宋_GB2312" w:cs="DengXian-Regular"/>
          <w:sz w:val="32"/>
          <w:szCs w:val="32"/>
          <w:lang w:val="en-US" w:eastAsia="zh-CN"/>
        </w:rPr>
        <w:t>36.2</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19年上级拨付基金增加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22.4</w:t>
      </w:r>
      <w:r>
        <w:rPr>
          <w:rFonts w:hint="eastAsia" w:ascii="仿宋_GB2312" w:eastAsia="仿宋_GB2312" w:cs="DengXian-Regular"/>
          <w:sz w:val="32"/>
          <w:szCs w:val="32"/>
        </w:rPr>
        <w:t>万元，比上年</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70.27</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30.28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项目支出跨年支出增多</w:t>
      </w:r>
      <w:r>
        <w:rPr>
          <w:rFonts w:hint="eastAsia" w:ascii="仿宋_GB2312" w:eastAsia="仿宋_GB2312" w:cs="DengXian-Regular"/>
          <w:sz w:val="32"/>
          <w:szCs w:val="32"/>
        </w:rPr>
        <w:t>。</w:t>
      </w:r>
    </w:p>
    <w:p>
      <w:pPr>
        <w:adjustRightInd w:val="0"/>
        <w:snapToGrid w:val="0"/>
        <w:spacing w:after="0" w:afterLines="0" w:line="580" w:lineRule="exact"/>
        <w:ind w:firstLine="640" w:firstLineChars="200"/>
        <w:rPr>
          <w:rFonts w:hint="eastAsia" w:ascii="仿宋_GB2312" w:eastAsia="仿宋_GB2312" w:cs="DengXian-Regular"/>
          <w:sz w:val="32"/>
          <w:szCs w:val="32"/>
        </w:rPr>
      </w:pPr>
    </w:p>
    <w:p>
      <w:pPr>
        <w:adjustRightInd w:val="0"/>
        <w:snapToGrid w:val="0"/>
        <w:spacing w:after="0" w:afterLines="0" w:line="580" w:lineRule="exact"/>
        <w:ind w:firstLine="640" w:firstLineChars="200"/>
        <w:rPr>
          <w:rFonts w:hint="eastAsia" w:ascii="仿宋_GB2312" w:eastAsia="仿宋_GB2312" w:cs="DengXian-Regular"/>
          <w:sz w:val="32"/>
          <w:szCs w:val="32"/>
        </w:rPr>
      </w:pPr>
    </w:p>
    <w:p>
      <w:pPr>
        <w:adjustRightInd w:val="0"/>
        <w:snapToGrid w:val="0"/>
        <w:spacing w:after="0" w:afterLines="0" w:line="580" w:lineRule="exact"/>
        <w:ind w:firstLine="640" w:firstLineChars="200"/>
        <w:rPr>
          <w:rFonts w:hint="eastAsia" w:ascii="仿宋_GB2312" w:eastAsia="仿宋_GB2312" w:cs="DengXian-Regular"/>
          <w:sz w:val="32"/>
          <w:szCs w:val="32"/>
        </w:rPr>
      </w:pPr>
    </w:p>
    <w:p>
      <w:pPr>
        <w:adjustRightInd w:val="0"/>
        <w:snapToGrid w:val="0"/>
        <w:spacing w:after="0" w:afterLines="0" w:line="580" w:lineRule="exact"/>
        <w:ind w:firstLine="640" w:firstLineChars="200"/>
        <w:rPr>
          <w:rFonts w:hint="eastAsia" w:ascii="仿宋_GB2312" w:eastAsia="仿宋_GB2312" w:cs="DengXian-Regular"/>
          <w:sz w:val="32"/>
          <w:szCs w:val="32"/>
        </w:rPr>
      </w:pPr>
    </w:p>
    <w:p>
      <w:pPr>
        <w:adjustRightInd w:val="0"/>
        <w:snapToGrid w:val="0"/>
        <w:spacing w:after="0" w:afterLines="0" w:line="580" w:lineRule="exact"/>
        <w:ind w:firstLine="640" w:firstLineChars="200"/>
        <w:rPr>
          <w:rFonts w:hint="eastAsia" w:ascii="仿宋_GB2312" w:eastAsia="仿宋_GB2312" w:cs="DengXian-Regular"/>
          <w:sz w:val="32"/>
          <w:szCs w:val="32"/>
        </w:rPr>
      </w:pPr>
    </w:p>
    <w:p>
      <w:pPr>
        <w:adjustRightInd w:val="0"/>
        <w:snapToGrid w:val="0"/>
        <w:spacing w:after="0" w:afterLines="0" w:line="580" w:lineRule="exact"/>
        <w:ind w:firstLine="640" w:firstLineChars="200"/>
        <w:rPr>
          <w:rFonts w:hint="eastAsia" w:ascii="仿宋_GB2312" w:eastAsia="仿宋_GB2312" w:cs="DengXian-Regular"/>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437286912" behindDoc="0" locked="0" layoutInCell="1" allowOverlap="1">
            <wp:simplePos x="0" y="0"/>
            <wp:positionH relativeFrom="column">
              <wp:posOffset>410845</wp:posOffset>
            </wp:positionH>
            <wp:positionV relativeFrom="paragraph">
              <wp:posOffset>-3529965</wp:posOffset>
            </wp:positionV>
            <wp:extent cx="5080000" cy="3810000"/>
            <wp:effectExtent l="4445" t="4445" r="20955" b="14605"/>
            <wp:wrapNone/>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632.4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115.42</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84.46</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w:t>
      </w:r>
      <w:r>
        <w:rPr>
          <w:rFonts w:hint="eastAsia" w:ascii="仿宋_GB2312" w:hAnsi="Times New Roman" w:eastAsia="仿宋_GB2312" w:cs="DengXian-Regular"/>
          <w:sz w:val="32"/>
          <w:szCs w:val="32"/>
        </w:rPr>
        <w:t>于预算数主要原因是</w:t>
      </w:r>
      <w:r>
        <w:rPr>
          <w:rFonts w:hint="eastAsia" w:ascii="仿宋_GB2312" w:hAnsi="Times New Roman" w:eastAsia="仿宋_GB2312" w:cs="DengXian-Regular"/>
          <w:sz w:val="32"/>
          <w:szCs w:val="32"/>
          <w:lang w:eastAsia="zh-CN"/>
        </w:rPr>
        <w:t>上级拨款资金未列入年初预算；</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656.99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119.9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109.05</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上级项目资金增多</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其中：</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115.42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84.46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上级项目资金未入列年初预算</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119.9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109.05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上级下达项目资金增多</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437287936" behindDoc="0" locked="0" layoutInCell="1" allowOverlap="1">
            <wp:simplePos x="0" y="0"/>
            <wp:positionH relativeFrom="column">
              <wp:posOffset>80645</wp:posOffset>
            </wp:positionH>
            <wp:positionV relativeFrom="paragraph">
              <wp:posOffset>146685</wp:posOffset>
            </wp:positionV>
            <wp:extent cx="5080000" cy="3810000"/>
            <wp:effectExtent l="4445" t="4445" r="20955" b="14605"/>
            <wp:wrapNone/>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634.59</w:t>
      </w:r>
      <w:r>
        <w:rPr>
          <w:rFonts w:hint="eastAsia" w:ascii="仿宋_GB2312" w:hAnsi="Times New Roman" w:eastAsia="仿宋_GB2312" w:cs="DengXian-Regular"/>
          <w:sz w:val="32"/>
          <w:szCs w:val="32"/>
        </w:rPr>
        <w:t>元，主要用于以下方面</w:t>
      </w:r>
      <w:r>
        <w:rPr>
          <w:rFonts w:hint="eastAsia" w:ascii="仿宋_GB2312" w:hAnsi="Times New Roman" w:eastAsia="仿宋_GB2312" w:cs="DengXian-Regular"/>
          <w:sz w:val="32"/>
          <w:szCs w:val="32"/>
          <w:lang w:eastAsia="zh-CN"/>
        </w:rPr>
        <w:t>：行政运行支出</w:t>
      </w:r>
      <w:r>
        <w:rPr>
          <w:rFonts w:hint="eastAsia" w:ascii="仿宋_GB2312" w:hAnsi="Times New Roman" w:eastAsia="仿宋_GB2312" w:cs="DengXian-Regular"/>
          <w:sz w:val="32"/>
          <w:szCs w:val="32"/>
          <w:lang w:val="en-US" w:eastAsia="zh-CN"/>
        </w:rPr>
        <w:t>172.74万元，占27.22%；残疾人康复145.92万元，占22.99%，残疾人就业和扶贫72.2万元，占11.37%；残疾人体育41.05万元，占6.47%；其他残疾人事业支出202.68万元，占31.93%。</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lang w:val="en-US" w:eastAsia="zh-CN"/>
        </w:rPr>
        <w:drawing>
          <wp:anchor distT="0" distB="0" distL="114300" distR="114300" simplePos="0" relativeHeight="437285888" behindDoc="0" locked="0" layoutInCell="1" allowOverlap="1">
            <wp:simplePos x="0" y="0"/>
            <wp:positionH relativeFrom="column">
              <wp:posOffset>462280</wp:posOffset>
            </wp:positionH>
            <wp:positionV relativeFrom="page">
              <wp:posOffset>7676515</wp:posOffset>
            </wp:positionV>
            <wp:extent cx="4387850" cy="2528570"/>
            <wp:effectExtent l="4445" t="5080" r="8255" b="19050"/>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172.74</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156.74</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eastAsia="zh-CN"/>
        </w:rPr>
        <w:t>未发生变化</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全年实际支出于年初预算持平。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w:t>
      </w:r>
      <w:r>
        <w:rPr>
          <w:rFonts w:hint="eastAsia" w:ascii="仿宋_GB2312" w:hAnsi="Times New Roman" w:eastAsia="仿宋_GB2312" w:cs="DengXian-Regular"/>
          <w:sz w:val="32"/>
          <w:szCs w:val="32"/>
          <w:lang w:eastAsia="zh-CN"/>
        </w:rPr>
        <w:t>未发生变化</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未发生变化。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4.4</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度持平。</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eastAsia="zh-CN"/>
        </w:rPr>
        <w:t>未发生变化</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未发生变化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val="en-US" w:eastAsia="zh-CN"/>
        </w:rPr>
        <w:t>4.4万元。</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eastAsia="zh-CN"/>
        </w:rPr>
        <w:t>未发生变化；</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未发生变化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hint="eastAsia" w:ascii="黑体" w:hAnsi="Times New Roman" w:eastAsia="黑体" w:cs="Times New Roman"/>
          <w:sz w:val="32"/>
          <w:szCs w:val="40"/>
        </w:rPr>
      </w:pPr>
    </w:p>
    <w:p>
      <w:pPr>
        <w:adjustRightInd w:val="0"/>
        <w:snapToGrid w:val="0"/>
        <w:spacing w:line="580" w:lineRule="exact"/>
        <w:ind w:firstLine="640" w:firstLineChars="200"/>
        <w:rPr>
          <w:rFonts w:hint="eastAsia" w:ascii="黑体" w:hAnsi="Times New Roman" w:eastAsia="黑体" w:cs="Times New Roman"/>
          <w:sz w:val="32"/>
          <w:szCs w:val="40"/>
        </w:rPr>
      </w:pPr>
    </w:p>
    <w:p>
      <w:pPr>
        <w:adjustRightInd w:val="0"/>
        <w:snapToGrid w:val="0"/>
        <w:spacing w:line="580" w:lineRule="exact"/>
        <w:ind w:firstLine="640" w:firstLineChars="200"/>
        <w:rPr>
          <w:rFonts w:hint="eastAsia" w:ascii="黑体" w:hAnsi="Times New Roman" w:eastAsia="黑体" w:cs="Times New Roman"/>
          <w:sz w:val="32"/>
          <w:szCs w:val="40"/>
        </w:rPr>
      </w:pPr>
    </w:p>
    <w:p>
      <w:pPr>
        <w:adjustRightInd w:val="0"/>
        <w:snapToGrid w:val="0"/>
        <w:spacing w:line="580" w:lineRule="exact"/>
        <w:ind w:firstLine="640" w:firstLineChars="200"/>
        <w:rPr>
          <w:rFonts w:hint="eastAsia" w:ascii="黑体" w:hAnsi="Times New Roman" w:eastAsia="黑体" w:cs="Times New Roman"/>
          <w:sz w:val="32"/>
          <w:szCs w:val="40"/>
        </w:rPr>
      </w:pPr>
    </w:p>
    <w:p>
      <w:pPr>
        <w:adjustRightInd w:val="0"/>
        <w:snapToGrid w:val="0"/>
        <w:spacing w:line="580" w:lineRule="exact"/>
        <w:ind w:firstLine="640" w:firstLineChars="200"/>
        <w:rPr>
          <w:rFonts w:hint="eastAsia" w:ascii="黑体" w:hAnsi="Times New Roman" w:eastAsia="黑体" w:cs="Times New Roman"/>
          <w:sz w:val="32"/>
          <w:szCs w:val="40"/>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w:t>
      </w:r>
      <w:r>
        <w:rPr>
          <w:rFonts w:hint="eastAsia" w:ascii="仿宋_GB2312" w:hAnsi="仿宋_GB2312" w:eastAsia="仿宋_GB2312" w:cs="仿宋_GB2312"/>
          <w:sz w:val="32"/>
          <w:szCs w:val="32"/>
          <w:lang w:val="en-US" w:eastAsia="zh-CN"/>
        </w:rPr>
        <w:t>12个</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461.85万元</w:t>
      </w:r>
      <w:r>
        <w:rPr>
          <w:rFonts w:hint="eastAsia" w:ascii="仿宋_GB2312" w:hAnsi="仿宋_GB2312" w:eastAsia="仿宋_GB2312" w:cs="仿宋_GB2312"/>
          <w:sz w:val="32"/>
          <w:szCs w:val="32"/>
        </w:rPr>
        <w:t>支出全面开展绩效自评</w:t>
      </w:r>
      <w:r>
        <w:rPr>
          <w:rFonts w:hint="eastAsia" w:ascii="仿宋_GB2312" w:hAnsi="仿宋_GB2312" w:eastAsia="仿宋_GB2312" w:cs="仿宋_GB2312"/>
          <w:sz w:val="32"/>
          <w:szCs w:val="32"/>
          <w:lang w:eastAsia="zh-CN"/>
        </w:rPr>
        <w:t>。严格按照预算绩效管理要求，由业务科室开展绩效自评，单位绩效评价内控小组进行综合评价，对项目开展完成情况进行评价，对本部门全面规范预算编制、预算执行全面进行信息公开，经过综合评价，结果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残疾人工作的康复、就业</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个项目绩效自评结果。</w:t>
      </w:r>
    </w:p>
    <w:p>
      <w:pPr>
        <w:adjustRightInd w:val="0"/>
        <w:snapToGrid w:val="0"/>
        <w:spacing w:line="580" w:lineRule="exac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根据预算绩效管理要求，本单位组织对2019年一般公共预算项目支出全面开展了绩效自评，涉及残疾人工作者及健康指导员培训项目、假肢装备、助听器等康复救助项目、残疾人就业扶贫、教训、教育等共计12个项目，涉及资金461.85万元。通过认真自查自评和内控综合评价情况看，全部为优秀。</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 财政评价项目绩效评价结果</w:t>
      </w:r>
    </w:p>
    <w:p>
      <w:pPr>
        <w:adjustRightInd w:val="0"/>
        <w:snapToGrid w:val="0"/>
        <w:spacing w:line="58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本单位无民生项目和重点支出项目</w:t>
      </w:r>
    </w:p>
    <w:p>
      <w:pPr>
        <w:adjustRightInd w:val="0"/>
        <w:snapToGrid w:val="0"/>
        <w:spacing w:line="580" w:lineRule="exact"/>
        <w:ind w:firstLine="640"/>
        <w:rPr>
          <w:rFonts w:hint="eastAsia" w:ascii="仿宋_GB2312" w:hAnsi="仿宋_GB2312" w:eastAsia="仿宋_GB2312" w:cs="仿宋_GB2312"/>
          <w:sz w:val="32"/>
          <w:szCs w:val="32"/>
          <w:lang w:val="en-US" w:eastAsia="zh-CN"/>
        </w:rPr>
      </w:pPr>
    </w:p>
    <w:p>
      <w:pPr>
        <w:adjustRightInd w:val="0"/>
        <w:snapToGrid w:val="0"/>
        <w:spacing w:line="580" w:lineRule="exact"/>
        <w:ind w:firstLine="640"/>
        <w:rPr>
          <w:rFonts w:hint="eastAsia" w:ascii="仿宋_GB2312" w:hAnsi="仿宋_GB2312" w:eastAsia="仿宋_GB2312" w:cs="仿宋_GB2312"/>
          <w:sz w:val="32"/>
          <w:szCs w:val="32"/>
          <w:lang w:val="en-US" w:eastAsia="zh-CN"/>
        </w:rPr>
      </w:pPr>
    </w:p>
    <w:p>
      <w:pPr>
        <w:adjustRightInd w:val="0"/>
        <w:snapToGrid w:val="0"/>
        <w:spacing w:line="580" w:lineRule="exact"/>
        <w:ind w:firstLine="640"/>
        <w:rPr>
          <w:rFonts w:hint="eastAsia" w:ascii="仿宋_GB2312" w:hAnsi="仿宋_GB2312" w:eastAsia="仿宋_GB2312" w:cs="仿宋_GB2312"/>
          <w:sz w:val="32"/>
          <w:szCs w:val="32"/>
          <w:lang w:val="en-US" w:eastAsia="zh-CN"/>
        </w:rPr>
      </w:pPr>
    </w:p>
    <w:p>
      <w:r>
        <w:object>
          <v:shape id="_x0000_i1025" o:spt="75" type="#_x0000_t75" style="height:662.35pt;width:415.1pt;" o:ole="t" filled="f" o:preferrelative="t" stroked="f" coordsize="21600,21600">
            <v:path/>
            <v:fill on="f" focussize="0,0"/>
            <v:stroke on="f"/>
            <v:imagedata r:id="rId33" o:title=""/>
            <o:lock v:ext="edit" aspectratio="f"/>
            <w10:wrap type="none"/>
            <w10:anchorlock/>
          </v:shape>
          <o:OLEObject Type="Embed" ProgID="Excel.Sheet.12" ShapeID="_x0000_i1025" DrawAspect="Content" ObjectID="_1468075725" r:id="rId32">
            <o:LockedField>false</o:LockedField>
          </o:OLEObject>
        </w:object>
      </w:r>
    </w:p>
    <w:p>
      <w:r>
        <w:object>
          <v:shape id="_x0000_i1026" o:spt="75" type="#_x0000_t75" style="height:665.5pt;width:415.2pt;" o:ole="t" filled="f" o:preferrelative="t" stroked="f" coordsize="21600,21600">
            <v:path/>
            <v:fill on="f" focussize="0,0"/>
            <v:stroke on="f"/>
            <v:imagedata r:id="rId35" o:title=""/>
            <o:lock v:ext="edit" aspectratio="f"/>
            <w10:wrap type="none"/>
            <w10:anchorlock/>
          </v:shape>
          <o:OLEObject Type="Embed" ProgID="Excel.Sheet.12" ShapeID="_x0000_i1026" DrawAspect="Content" ObjectID="_1468075726" r:id="rId34">
            <o:LockedField>false</o:LockedField>
          </o:OLEObject>
        </w:object>
      </w:r>
    </w:p>
    <w:p>
      <w:r>
        <w:object>
          <v:shape id="_x0000_i1027" o:spt="75" type="#_x0000_t75" style="height:662.55pt;width:415.2pt;" o:ole="t" filled="f" o:preferrelative="t" stroked="f" coordsize="21600,21600">
            <v:path/>
            <v:fill on="f" focussize="0,0"/>
            <v:stroke on="f"/>
            <v:imagedata r:id="rId37" o:title=""/>
            <o:lock v:ext="edit" aspectratio="f"/>
            <w10:wrap type="none"/>
            <w10:anchorlock/>
          </v:shape>
          <o:OLEObject Type="Embed" ProgID="Excel.Sheet.12" ShapeID="_x0000_i1027" DrawAspect="Content" ObjectID="_1468075727" r:id="rId36">
            <o:LockedField>false</o:LockedField>
          </o:OLEObject>
        </w:object>
      </w:r>
    </w:p>
    <w:p>
      <w:r>
        <w:object>
          <v:shape id="_x0000_i1028" o:spt="75" type="#_x0000_t75" style="height:673.3pt;width:415.25pt;" o:ole="t" filled="f" o:preferrelative="t" stroked="f" coordsize="21600,21600">
            <v:path/>
            <v:fill on="f" focussize="0,0"/>
            <v:stroke on="f"/>
            <v:imagedata r:id="rId39" o:title=""/>
            <o:lock v:ext="edit" aspectratio="f"/>
            <w10:wrap type="none"/>
            <w10:anchorlock/>
          </v:shape>
          <o:OLEObject Type="Embed" ProgID="Excel.Sheet.12" ShapeID="_x0000_i1028" DrawAspect="Content" ObjectID="_1468075728" r:id="rId38">
            <o:LockedField>false</o:LockedField>
          </o:OLEObject>
        </w:object>
      </w:r>
    </w:p>
    <w:p>
      <w:pPr>
        <w:keepNext/>
        <w:keepLines/>
        <w:snapToGrid w:val="0"/>
        <w:spacing w:line="580" w:lineRule="exact"/>
        <w:ind w:firstLine="640" w:firstLineChars="200"/>
        <w:outlineLvl w:val="1"/>
        <w:rPr>
          <w:rFonts w:ascii="黑体" w:hAnsi="Calibri" w:eastAsia="黑体" w:cs="Times New Roman"/>
          <w:sz w:val="32"/>
          <w:szCs w:val="32"/>
        </w:rPr>
      </w:pPr>
      <w:bookmarkStart w:id="0" w:name="_GoBack"/>
      <w:bookmarkEnd w:id="0"/>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相比持平。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69.485</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2.551</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66.934</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69.485</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69.485</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增减。其中，副部（省）级及以上领导用车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业务用车</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增减</w:t>
      </w:r>
      <w:r>
        <w:rPr>
          <w:rFonts w:hint="eastAsia" w:ascii="仿宋_GB2312" w:hAnsi="Times New Roman" w:eastAsia="仿宋_GB2312" w:cs="DengXian-Regular"/>
          <w:sz w:val="32"/>
          <w:szCs w:val="32"/>
          <w:lang w:eastAsia="zh-CN"/>
        </w:rPr>
        <w:t>；单</w:t>
      </w:r>
      <w:r>
        <w:rPr>
          <w:rFonts w:hint="eastAsia" w:ascii="仿宋_GB2312" w:hAnsi="Times New Roman" w:eastAsia="仿宋_GB2312" w:cs="DengXian-Regular"/>
          <w:sz w:val="32"/>
          <w:szCs w:val="32"/>
        </w:rPr>
        <w:t>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增减。</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国有资本经营预算财政拨款支出决算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6"/>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0"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632.4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89.28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634.59</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22.40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721.68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656.99</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24.78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89.48</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746.47</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746.47</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721.68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721.68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632.40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632.40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残疾人事业</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632.40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632.40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残疾人康复</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141.11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141.11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残疾人就业和扶贫</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72.20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72.20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残疾人体育</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43.70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43.70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其他残疾人事业支出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202.66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202.66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彩票公益金安排的支出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2296006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eastAsia="zh-CN"/>
              </w:rPr>
              <w:t>用于残疾人事业的彩票公益金支出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656.99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172.74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484.25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634.59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461.85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残疾人事业</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634.59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461.85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2081104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残疾人康复</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145.92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145.92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2081105</w:t>
            </w:r>
          </w:p>
        </w:tc>
        <w:tc>
          <w:tcPr>
            <w:tcW w:w="13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残疾人就业和扶贫</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72.20</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72.20</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2081106</w:t>
            </w:r>
          </w:p>
        </w:tc>
        <w:tc>
          <w:tcPr>
            <w:tcW w:w="13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残疾人体育</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41.05</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41.05</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2081199</w:t>
            </w:r>
          </w:p>
        </w:tc>
        <w:tc>
          <w:tcPr>
            <w:tcW w:w="13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其他残疾人事业支出</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202.68</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202.68</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w:t>
            </w:r>
          </w:p>
        </w:tc>
        <w:tc>
          <w:tcPr>
            <w:tcW w:w="13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其他支出</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w:t>
            </w:r>
          </w:p>
        </w:tc>
        <w:tc>
          <w:tcPr>
            <w:tcW w:w="13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彩票公益金安排的支出</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2296006</w:t>
            </w:r>
          </w:p>
        </w:tc>
        <w:tc>
          <w:tcPr>
            <w:tcW w:w="13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用于残疾人事业的彩票公益金支出</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bl>
    <w:p>
      <w:r>
        <w:rPr>
          <w:rFonts w:hint="eastAsia"/>
          <w:lang w:eastAsia="zh-CN"/>
        </w:rPr>
        <w:t>注：本表反映部门本年度各项支出情况。</w:t>
      </w:r>
      <w:r>
        <w:br w:type="page"/>
      </w:r>
    </w:p>
    <w:tbl>
      <w:tblPr>
        <w:tblStyle w:val="6"/>
        <w:tblW w:w="9520" w:type="dxa"/>
        <w:jc w:val="center"/>
        <w:tblInd w:w="0" w:type="dxa"/>
        <w:tblLayout w:type="fixed"/>
        <w:tblCellMar>
          <w:top w:w="0" w:type="dxa"/>
          <w:left w:w="0" w:type="dxa"/>
          <w:bottom w:w="0" w:type="dxa"/>
          <w:right w:w="0" w:type="dxa"/>
        </w:tblCellMar>
      </w:tblPr>
      <w:tblGrid>
        <w:gridCol w:w="2922"/>
        <w:gridCol w:w="425"/>
        <w:gridCol w:w="662"/>
        <w:gridCol w:w="2821"/>
        <w:gridCol w:w="585"/>
        <w:gridCol w:w="615"/>
        <w:gridCol w:w="701"/>
        <w:gridCol w:w="78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2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0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2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0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2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1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671"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2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632.40</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一、一般公共服务支出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89.28</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二、外交支出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三、国防支出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四、公共安全支出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五、教育支出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六、科学技术支出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七、文化旅游体育与传媒支出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八、社会保障和就业支出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634.59</w:t>
            </w: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634.59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九、卫生健康支出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十、节能环保支出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十一、城乡社区支出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十二、农林水支出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十三、交通运输支出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十四、资源勘探信息等支出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十五、商业服务业等支出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十六、金融支出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十七、援助其他地区支出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十八、自然资源海洋气象等支出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十九、住房保障支出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二十、粮油物资储备支出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二十一、灾害防治及应急管理支出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二十二、其他支出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22.40</w:t>
            </w: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22.40</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二十四、债务付息支出</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721.68</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本年支出合计</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656.99</w:t>
            </w: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634.59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22.40</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24.78</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年末财政拨款结转和结余</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89.48</w:t>
            </w: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22.60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66.88</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24.78</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746.47</w:t>
            </w:r>
          </w:p>
        </w:tc>
        <w:tc>
          <w:tcPr>
            <w:tcW w:w="28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746.47</w:t>
            </w: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657.19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89.28</w:t>
            </w: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634.59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172.74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461.85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634.59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461.85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残疾人事业</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634.59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172.74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461.85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172.74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172.74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2081104</w:t>
            </w:r>
          </w:p>
        </w:tc>
        <w:tc>
          <w:tcPr>
            <w:tcW w:w="169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残疾人康复</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145.92</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145.92</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2081105</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残疾人就业和扶贫</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72.20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72.20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2081106</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残疾人体育</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41.05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2081199</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其他残疾人事业支出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202.68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202.68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注：本表反映部门本年度一般公共预算财政拨款支出情况。</w:t>
      </w:r>
      <w:r>
        <w:br w:type="page"/>
      </w:r>
    </w:p>
    <w:tbl>
      <w:tblPr>
        <w:tblStyle w:val="6"/>
        <w:tblW w:w="10000" w:type="dxa"/>
        <w:jc w:val="center"/>
        <w:tblInd w:w="0" w:type="dxa"/>
        <w:tblLayout w:type="fixed"/>
        <w:tblCellMar>
          <w:top w:w="0" w:type="dxa"/>
          <w:left w:w="0" w:type="dxa"/>
          <w:bottom w:w="0" w:type="dxa"/>
          <w:right w:w="0" w:type="dxa"/>
        </w:tblCellMar>
      </w:tblPr>
      <w:tblGrid>
        <w:gridCol w:w="620"/>
        <w:gridCol w:w="2130"/>
        <w:gridCol w:w="765"/>
        <w:gridCol w:w="645"/>
        <w:gridCol w:w="1875"/>
        <w:gridCol w:w="765"/>
        <w:gridCol w:w="577"/>
        <w:gridCol w:w="2033"/>
        <w:gridCol w:w="590"/>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6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6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1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5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4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62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21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8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5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20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5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62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156.59</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75.70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2.34</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4.97</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17.61</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4.27</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3.74</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9.45</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21.05</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23.53</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0.15</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0.68</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0.15</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0.67</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both"/>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公务用车运行维护费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4.40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both"/>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4.18</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3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both"/>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6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1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8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both"/>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其他商品和服务支出</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7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156.73</w:t>
            </w:r>
          </w:p>
        </w:tc>
        <w:tc>
          <w:tcPr>
            <w:tcW w:w="589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16.00</w:t>
            </w:r>
          </w:p>
        </w:tc>
      </w:tr>
    </w:tbl>
    <w:p>
      <w:r>
        <w:rPr>
          <w:rFonts w:hint="eastAsia"/>
          <w:lang w:eastAsia="zh-CN"/>
        </w:rPr>
        <w:t>注：本表反映部门本年度一般公共预算财政拨款基本支出明细情况。</w:t>
      </w:r>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89.28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66.88</w:t>
            </w: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66.88</w:t>
            </w: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彩票公益金安排支出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66.88</w:t>
            </w: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2296006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用于残疾人事业的彩票公益金支出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66.88</w:t>
            </w: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注：本表反映部门本年度政府性基金预算财政拨款收入、支出及结转和结余情况。</w:t>
      </w:r>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0.00</w:t>
            </w: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sz w:val="18"/>
          <w:szCs w:val="18"/>
          <w:lang w:eastAsia="zh-CN"/>
        </w:rPr>
        <w:t>注：本表反映部门本年度国有资本经营预算财政拨款支出情况。本部门本年度无相关支出情况，按要求以空表列示。</w:t>
      </w:r>
      <w:r>
        <w:rPr>
          <w:sz w:val="18"/>
          <w:szCs w:val="18"/>
        </w:rPr>
        <w:br w:type="page"/>
      </w:r>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4D1E5DC"/>
    <w:multiLevelType w:val="singleLevel"/>
    <w:tmpl w:val="D4D1E5DC"/>
    <w:lvl w:ilvl="0" w:tentative="0">
      <w:start w:val="2"/>
      <w:numFmt w:val="decimal"/>
      <w:lvlText w:val="%1."/>
      <w:lvlJc w:val="left"/>
      <w:pPr>
        <w:tabs>
          <w:tab w:val="left" w:pos="312"/>
        </w:tabs>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75973"/>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31DC4"/>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F1072D"/>
    <w:rsid w:val="05B00A30"/>
    <w:rsid w:val="096C5849"/>
    <w:rsid w:val="0B011416"/>
    <w:rsid w:val="0B4234F1"/>
    <w:rsid w:val="0C511732"/>
    <w:rsid w:val="0C59563C"/>
    <w:rsid w:val="0ED01C30"/>
    <w:rsid w:val="0F4F4FE1"/>
    <w:rsid w:val="0F9B5AF2"/>
    <w:rsid w:val="10C72FF6"/>
    <w:rsid w:val="116D7A59"/>
    <w:rsid w:val="122C47D8"/>
    <w:rsid w:val="14F82363"/>
    <w:rsid w:val="15C81F6A"/>
    <w:rsid w:val="16347C04"/>
    <w:rsid w:val="16D76CAA"/>
    <w:rsid w:val="17562460"/>
    <w:rsid w:val="1A032804"/>
    <w:rsid w:val="1B052749"/>
    <w:rsid w:val="1B4E30CF"/>
    <w:rsid w:val="21D71A8C"/>
    <w:rsid w:val="23BB4240"/>
    <w:rsid w:val="256D40B8"/>
    <w:rsid w:val="272F0783"/>
    <w:rsid w:val="299F78DD"/>
    <w:rsid w:val="2ADA6358"/>
    <w:rsid w:val="2C811183"/>
    <w:rsid w:val="310244C6"/>
    <w:rsid w:val="31C2036A"/>
    <w:rsid w:val="320D02A5"/>
    <w:rsid w:val="348E566F"/>
    <w:rsid w:val="34AD2F87"/>
    <w:rsid w:val="36E16EF5"/>
    <w:rsid w:val="38267C7F"/>
    <w:rsid w:val="3A226944"/>
    <w:rsid w:val="3AEE6A48"/>
    <w:rsid w:val="3B7222AD"/>
    <w:rsid w:val="3C1620AA"/>
    <w:rsid w:val="3CDC3CE3"/>
    <w:rsid w:val="3D8F080F"/>
    <w:rsid w:val="3EBD1F30"/>
    <w:rsid w:val="4008663D"/>
    <w:rsid w:val="406C6457"/>
    <w:rsid w:val="44CE1FA4"/>
    <w:rsid w:val="44E35F1F"/>
    <w:rsid w:val="475353E4"/>
    <w:rsid w:val="47661194"/>
    <w:rsid w:val="487F73ED"/>
    <w:rsid w:val="4A347EAE"/>
    <w:rsid w:val="4A817337"/>
    <w:rsid w:val="4D2A535D"/>
    <w:rsid w:val="4D6A3ACA"/>
    <w:rsid w:val="4DE15364"/>
    <w:rsid w:val="4F540903"/>
    <w:rsid w:val="4F8F1ECD"/>
    <w:rsid w:val="52600405"/>
    <w:rsid w:val="529B4319"/>
    <w:rsid w:val="539A5084"/>
    <w:rsid w:val="549338BB"/>
    <w:rsid w:val="55873489"/>
    <w:rsid w:val="57773DD6"/>
    <w:rsid w:val="578B79AB"/>
    <w:rsid w:val="58A34A76"/>
    <w:rsid w:val="59F513C0"/>
    <w:rsid w:val="5B904877"/>
    <w:rsid w:val="5C3B030B"/>
    <w:rsid w:val="5CCD3FD5"/>
    <w:rsid w:val="5F0B2910"/>
    <w:rsid w:val="61FA5F9D"/>
    <w:rsid w:val="64CD6910"/>
    <w:rsid w:val="67145C97"/>
    <w:rsid w:val="67661108"/>
    <w:rsid w:val="6789158D"/>
    <w:rsid w:val="67D81BA4"/>
    <w:rsid w:val="6AAF1C96"/>
    <w:rsid w:val="6B936A77"/>
    <w:rsid w:val="6C4A2880"/>
    <w:rsid w:val="6DD56A12"/>
    <w:rsid w:val="717D016F"/>
    <w:rsid w:val="74F7742F"/>
    <w:rsid w:val="75681757"/>
    <w:rsid w:val="75A346A8"/>
    <w:rsid w:val="79B9382C"/>
    <w:rsid w:val="7B043B76"/>
    <w:rsid w:val="7C041A6A"/>
    <w:rsid w:val="7D160188"/>
    <w:rsid w:val="7D756624"/>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3" Type="http://schemas.openxmlformats.org/officeDocument/2006/relationships/fontTable" Target="fontTable.xml"/><Relationship Id="rId42" Type="http://schemas.openxmlformats.org/officeDocument/2006/relationships/customXml" Target="../customXml/item2.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header" Target="header2.xml"/><Relationship Id="rId39" Type="http://schemas.openxmlformats.org/officeDocument/2006/relationships/image" Target="media/image5.emf"/><Relationship Id="rId38" Type="http://schemas.openxmlformats.org/officeDocument/2006/relationships/oleObject" Target="embeddings/oleObject4.bin"/><Relationship Id="rId37" Type="http://schemas.openxmlformats.org/officeDocument/2006/relationships/image" Target="media/image4.emf"/><Relationship Id="rId36" Type="http://schemas.openxmlformats.org/officeDocument/2006/relationships/oleObject" Target="embeddings/oleObject3.bin"/><Relationship Id="rId35" Type="http://schemas.openxmlformats.org/officeDocument/2006/relationships/image" Target="media/image3.emf"/><Relationship Id="rId34" Type="http://schemas.openxmlformats.org/officeDocument/2006/relationships/oleObject" Target="embeddings/oleObject2.bin"/><Relationship Id="rId33" Type="http://schemas.openxmlformats.org/officeDocument/2006/relationships/image" Target="media/image2.emf"/><Relationship Id="rId32" Type="http://schemas.openxmlformats.org/officeDocument/2006/relationships/oleObject" Target="embeddings/oleObject1.bin"/><Relationship Id="rId31" Type="http://schemas.openxmlformats.org/officeDocument/2006/relationships/chart" Target="charts/chart5.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1.bmp"/><Relationship Id="rId25" Type="http://schemas.openxmlformats.org/officeDocument/2006/relationships/theme" Target="theme/theme1.xml"/><Relationship Id="rId24" Type="http://schemas.openxmlformats.org/officeDocument/2006/relationships/footer" Target="footer9.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总收入</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Lbls>
            <c:dLbl>
              <c:idx val="0"/>
              <c:layout>
                <c:manualLayout>
                  <c:x val="0.00588517370573898"/>
                  <c:y val="-0.421394417160984"/>
                </c:manualLayout>
              </c:layout>
              <c:dLblPos val="bestFit"/>
              <c:showLegendKey val="0"/>
              <c:showVal val="0"/>
              <c:showCatName val="0"/>
              <c:showSerName val="0"/>
              <c:showPercent val="1"/>
              <c:showBubbleSize val="0"/>
              <c:extLst>
                <c:ext xmlns:c15="http://schemas.microsoft.com/office/drawing/2012/chart" uri="{CE6537A1-D6FC-4f65-9D91-7224C49458BB}">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c:f>
              <c:strCache>
                <c:ptCount val="1"/>
                <c:pt idx="0">
                  <c:v>财政拨款收入</c:v>
                </c:pt>
              </c:strCache>
            </c:strRef>
          </c:cat>
          <c:val>
            <c:numRef>
              <c:f>Sheet1!$B$2</c:f>
              <c:numCache>
                <c:formatCode>General</c:formatCode>
                <c:ptCount val="1"/>
                <c:pt idx="0">
                  <c:v>100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本年度支出</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26</a:t>
                    </a:r>
                    <a:r>
                      <a:rPr lang="en-US" altLang="zh-CN"/>
                      <a:t>.3</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7</a:t>
                    </a:r>
                    <a:r>
                      <a:rPr lang="en-US" altLang="zh-CN"/>
                      <a:t>3.7</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2"/>
              <c:delete val="1"/>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Sheet1!$A$2:$A$4</c:f>
              <c:strCache>
                <c:ptCount val="3"/>
                <c:pt idx="0">
                  <c:v>基本支出</c:v>
                </c:pt>
                <c:pt idx="1">
                  <c:v>项目支出</c:v>
                </c:pt>
                <c:pt idx="2">
                  <c:v>经营支出</c:v>
                </c:pt>
              </c:strCache>
            </c:strRef>
          </c:cat>
          <c:val>
            <c:numRef>
              <c:f>Sheet1!$B$2:$B$4</c:f>
              <c:numCache>
                <c:formatCode>General</c:formatCode>
                <c:ptCount val="3"/>
                <c:pt idx="0">
                  <c:v>26.3</c:v>
                </c:pt>
                <c:pt idx="1">
                  <c:v>73.7</c:v>
                </c:pt>
                <c:pt idx="2">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一般公共预算</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Sheet1!$A$2:$A$5</c:f>
              <c:strCache>
                <c:ptCount val="4"/>
                <c:pt idx="0">
                  <c:v>2019年收入</c:v>
                </c:pt>
                <c:pt idx="1">
                  <c:v>2018年收入</c:v>
                </c:pt>
                <c:pt idx="2">
                  <c:v>2019年支出</c:v>
                </c:pt>
                <c:pt idx="3">
                  <c:v>2018年支出</c:v>
                </c:pt>
              </c:strCache>
            </c:strRef>
          </c:cat>
          <c:val>
            <c:numRef>
              <c:f>Sheet1!$B$2:$B$5</c:f>
              <c:numCache>
                <c:formatCode>General</c:formatCode>
                <c:ptCount val="4"/>
                <c:pt idx="0">
                  <c:v>746.47</c:v>
                </c:pt>
                <c:pt idx="1">
                  <c:v>683.36</c:v>
                </c:pt>
                <c:pt idx="2">
                  <c:v>656.99</c:v>
                </c:pt>
                <c:pt idx="3">
                  <c:v>688.74</c:v>
                </c:pt>
              </c:numCache>
            </c:numRef>
          </c:val>
        </c:ser>
        <c:ser>
          <c:idx val="1"/>
          <c:order val="1"/>
          <c:tx>
            <c:strRef>
              <c:f>Sheet1!$C$1</c:f>
              <c:strCache>
                <c:ptCount val="1"/>
                <c:pt idx="0">
                  <c:v>基金</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Sheet1!$A$2:$A$5</c:f>
              <c:strCache>
                <c:ptCount val="4"/>
                <c:pt idx="0">
                  <c:v>2019年收入</c:v>
                </c:pt>
                <c:pt idx="1">
                  <c:v>2018年收入</c:v>
                </c:pt>
                <c:pt idx="2">
                  <c:v>2019年支出</c:v>
                </c:pt>
                <c:pt idx="3">
                  <c:v>2018年支出</c:v>
                </c:pt>
              </c:strCache>
            </c:strRef>
          </c:cat>
          <c:val>
            <c:numRef>
              <c:f>Sheet1!$C$2:$C$5</c:f>
              <c:numCache>
                <c:formatCode>General</c:formatCode>
                <c:ptCount val="4"/>
                <c:pt idx="0">
                  <c:v>89.28</c:v>
                </c:pt>
                <c:pt idx="1">
                  <c:v>22.4</c:v>
                </c:pt>
                <c:pt idx="2">
                  <c:v>2.4</c:v>
                </c:pt>
                <c:pt idx="3">
                  <c:v>90.27</c:v>
                </c:pt>
              </c:numCache>
            </c:numRef>
          </c:val>
        </c:ser>
        <c:dLbls>
          <c:showLegendKey val="0"/>
          <c:showVal val="1"/>
          <c:showCatName val="0"/>
          <c:showSerName val="0"/>
          <c:showPercent val="0"/>
          <c:showBubbleSize val="0"/>
        </c:dLbls>
        <c:gapWidth val="164"/>
        <c:overlap val="-22"/>
        <c:axId val="832799003"/>
        <c:axId val="617110147"/>
      </c:barChart>
      <c:catAx>
        <c:axId val="832799003"/>
        <c:scaling>
          <c:orientation val="minMax"/>
        </c:scaling>
        <c:delete val="0"/>
        <c:axPos val="b"/>
        <c:majorTickMark val="none"/>
        <c:minorTickMark val="none"/>
        <c:tickLblPos val="nextTo"/>
        <c:spPr>
          <a:noFill/>
          <a:ln w="19050" cap="flat" cmpd="sng" algn="ctr">
            <a:solidFill>
              <a:schemeClr val="tx1">
                <a:lumMod val="25000"/>
                <a:lumOff val="7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17110147"/>
        <c:crosses val="autoZero"/>
        <c:auto val="1"/>
        <c:lblAlgn val="ctr"/>
        <c:lblOffset val="100"/>
        <c:noMultiLvlLbl val="0"/>
      </c:catAx>
      <c:valAx>
        <c:axId val="617110147"/>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2799003"/>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0575"/>
          <c:y val="0.1055"/>
          <c:w val="0.9268"/>
          <c:h val="0.707066666666667"/>
        </c:manualLayout>
      </c:layout>
      <c:barChart>
        <c:barDir val="col"/>
        <c:grouping val="clustered"/>
        <c:varyColors val="0"/>
        <c:ser>
          <c:idx val="0"/>
          <c:order val="0"/>
          <c:tx>
            <c:strRef>
              <c:f>Sheet1!$A$2</c:f>
              <c:strCache>
                <c:ptCount val="1"/>
                <c:pt idx="0">
                  <c:v>2019年收入</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Sheet1!$B$1</c:f>
              <c:strCache>
                <c:ptCount val="1"/>
                <c:pt idx="0">
                  <c:v>一般公共预算</c:v>
                </c:pt>
              </c:strCache>
            </c:strRef>
          </c:cat>
          <c:val>
            <c:numRef>
              <c:f>Sheet1!$B$2</c:f>
              <c:numCache>
                <c:formatCode>General</c:formatCode>
                <c:ptCount val="1"/>
                <c:pt idx="0">
                  <c:v>632.4</c:v>
                </c:pt>
              </c:numCache>
            </c:numRef>
          </c:val>
        </c:ser>
        <c:ser>
          <c:idx val="1"/>
          <c:order val="1"/>
          <c:tx>
            <c:strRef>
              <c:f>Sheet1!$A$3</c:f>
              <c:strCache>
                <c:ptCount val="1"/>
                <c:pt idx="0">
                  <c:v>年初收入预算</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Sheet1!$B$1</c:f>
              <c:strCache>
                <c:ptCount val="1"/>
                <c:pt idx="0">
                  <c:v>一般公共预算</c:v>
                </c:pt>
              </c:strCache>
            </c:strRef>
          </c:cat>
          <c:val>
            <c:numRef>
              <c:f>Sheet1!$B$3</c:f>
              <c:numCache>
                <c:formatCode>General</c:formatCode>
                <c:ptCount val="1"/>
                <c:pt idx="0">
                  <c:v>547.94</c:v>
                </c:pt>
              </c:numCache>
            </c:numRef>
          </c:val>
        </c:ser>
        <c:ser>
          <c:idx val="2"/>
          <c:order val="2"/>
          <c:tx>
            <c:strRef>
              <c:f>Sheet1!$A$4</c:f>
              <c:strCache>
                <c:ptCount val="1"/>
                <c:pt idx="0">
                  <c:v>2019年支出</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Sheet1!$B$1</c:f>
              <c:strCache>
                <c:ptCount val="1"/>
                <c:pt idx="0">
                  <c:v>一般公共预算</c:v>
                </c:pt>
              </c:strCache>
            </c:strRef>
          </c:cat>
          <c:val>
            <c:numRef>
              <c:f>Sheet1!$B$4</c:f>
              <c:numCache>
                <c:formatCode>General</c:formatCode>
                <c:ptCount val="1"/>
                <c:pt idx="0">
                  <c:v>656.99</c:v>
                </c:pt>
              </c:numCache>
            </c:numRef>
          </c:val>
        </c:ser>
        <c:ser>
          <c:idx val="3"/>
          <c:order val="3"/>
          <c:tx>
            <c:strRef>
              <c:f>Sheet1!$A$5</c:f>
              <c:strCache>
                <c:ptCount val="1"/>
                <c:pt idx="0">
                  <c:v>年初支出预算</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Sheet1!$B$1</c:f>
              <c:strCache>
                <c:ptCount val="1"/>
                <c:pt idx="0">
                  <c:v>一般公共预算</c:v>
                </c:pt>
              </c:strCache>
            </c:strRef>
          </c:cat>
          <c:val>
            <c:numRef>
              <c:f>Sheet1!$B$5</c:f>
              <c:numCache>
                <c:formatCode>General</c:formatCode>
                <c:ptCount val="1"/>
                <c:pt idx="0">
                  <c:v>547.94</c:v>
                </c:pt>
              </c:numCache>
            </c:numRef>
          </c:val>
        </c:ser>
        <c:dLbls>
          <c:showLegendKey val="0"/>
          <c:showVal val="1"/>
          <c:showCatName val="0"/>
          <c:showSerName val="0"/>
          <c:showPercent val="0"/>
          <c:showBubbleSize val="0"/>
        </c:dLbls>
        <c:gapWidth val="164"/>
        <c:overlap val="-22"/>
        <c:axId val="685803099"/>
        <c:axId val="51947261"/>
      </c:barChart>
      <c:catAx>
        <c:axId val="685803099"/>
        <c:scaling>
          <c:orientation val="minMax"/>
        </c:scaling>
        <c:delete val="0"/>
        <c:axPos val="b"/>
        <c:majorTickMark val="out"/>
        <c:minorTickMark val="none"/>
        <c:tickLblPos val="nextTo"/>
        <c:spPr>
          <a:noFill/>
          <a:ln w="19050" cap="flat" cmpd="sng" algn="ctr">
            <a:solidFill>
              <a:schemeClr val="tx1">
                <a:lumMod val="25000"/>
                <a:lumOff val="7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947261"/>
        <c:crosses val="autoZero"/>
        <c:auto val="1"/>
        <c:lblAlgn val="ctr"/>
        <c:lblOffset val="100"/>
        <c:noMultiLvlLbl val="0"/>
      </c:catAx>
      <c:valAx>
        <c:axId val="51947261"/>
        <c:scaling>
          <c:orientation val="minMax"/>
        </c:scaling>
        <c:delete val="0"/>
        <c:axPos val="l"/>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85803099"/>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dLbl>
              <c:idx val="0"/>
              <c:layout>
                <c:manualLayout>
                  <c:x val="-0.174270098406757"/>
                  <c:y val="0.0515949777054533"/>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rPr lang="en-US" altLang="zh-CN"/>
                      <a:t>27.22</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rPr lang="en-US" altLang="zh-CN"/>
                      <a:t>22.99</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2"/>
              <c:layout>
                <c:manualLayout>
                  <c:x val="0.134051610989588"/>
                  <c:y val="0.104151825240027"/>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1</a:t>
                    </a:r>
                    <a:r>
                      <a:rPr lang="en-US" altLang="zh-CN"/>
                      <a:t>1.37</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0295342884130255"/>
                  <c:y val="0.124083404544436"/>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rPr lang="en-US" altLang="zh-CN"/>
                      <a:t>6.47</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Sheet1!$A$2:$A$5</c:f>
              <c:strCache>
                <c:ptCount val="4"/>
                <c:pt idx="0">
                  <c:v>行政运行支出</c:v>
                </c:pt>
                <c:pt idx="1">
                  <c:v>残疾人康复支出</c:v>
                </c:pt>
                <c:pt idx="2">
                  <c:v>残疾人就业扶贫支出</c:v>
                </c:pt>
                <c:pt idx="3">
                  <c:v>残疾人体育支出</c:v>
                </c:pt>
              </c:strCache>
            </c:strRef>
          </c:cat>
          <c:val>
            <c:numRef>
              <c:f>Sheet1!$B$2:$B$5</c:f>
              <c:numCache>
                <c:formatCode>General</c:formatCode>
                <c:ptCount val="4"/>
                <c:pt idx="0">
                  <c:v>27.22</c:v>
                </c:pt>
                <c:pt idx="1">
                  <c:v>22.99</c:v>
                </c:pt>
                <c:pt idx="2">
                  <c:v>11.37</c:v>
                </c:pt>
                <c:pt idx="3">
                  <c:v>6.47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2021-06-30T02:52:18Z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