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石家庄市藁城区梅花镇人民政府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p>
      <w:pPr>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tabs>
          <w:tab w:val="left" w:pos="2728"/>
        </w:tabs>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focussize="0,0" r:id="rId3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tbl>
      <w:tblPr>
        <w:tblStyle w:val="7"/>
        <w:tblW w:w="101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7"/>
        <w:gridCol w:w="2583"/>
        <w:gridCol w:w="4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00" w:type="dxa"/>
          <w:trHeight w:val="272" w:hRule="exact"/>
          <w:tblHeader/>
        </w:trPr>
        <w:tc>
          <w:tcPr>
            <w:tcW w:w="5600" w:type="dxa"/>
            <w:gridSpan w:val="2"/>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tblHeader/>
        </w:trPr>
        <w:tc>
          <w:tcPr>
            <w:tcW w:w="3017" w:type="dxa"/>
            <w:vMerge w:val="restart"/>
            <w:vAlign w:val="center"/>
          </w:tcPr>
          <w:p>
            <w:pPr>
              <w:spacing w:line="300" w:lineRule="exact"/>
              <w:jc w:val="right"/>
              <w:rPr>
                <w:rFonts w:ascii="方正书宋_GBK" w:eastAsia="方正书宋_GBK"/>
              </w:rPr>
            </w:pPr>
            <w:r>
              <w:rPr>
                <w:rFonts w:hint="eastAsia" w:ascii="方正书宋_GBK" w:eastAsia="方正书宋_GBK"/>
              </w:rPr>
              <w:t>职责活动</w:t>
            </w:r>
          </w:p>
        </w:tc>
        <w:tc>
          <w:tcPr>
            <w:tcW w:w="7083" w:type="dxa"/>
            <w:gridSpan w:val="2"/>
            <w:vMerge w:val="restart"/>
            <w:vAlign w:val="center"/>
          </w:tcPr>
          <w:p>
            <w:pPr>
              <w:spacing w:line="300" w:lineRule="exact"/>
              <w:jc w:val="center"/>
              <w:rPr>
                <w:rFonts w:ascii="方正书宋_GBK" w:eastAsia="方正书宋_GBK"/>
              </w:rPr>
            </w:pPr>
            <w:r>
              <w:rPr>
                <w:rFonts w:hint="eastAsia" w:ascii="方正书宋_GBK" w:eastAsia="方正书宋_GBK"/>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tblHeader/>
        </w:trPr>
        <w:tc>
          <w:tcPr>
            <w:tcW w:w="3017" w:type="dxa"/>
            <w:vMerge w:val="continue"/>
            <w:vAlign w:val="center"/>
          </w:tcPr>
          <w:p>
            <w:pPr>
              <w:spacing w:line="300" w:lineRule="exact"/>
              <w:jc w:val="left"/>
              <w:outlineLvl w:val="0"/>
            </w:pPr>
          </w:p>
        </w:tc>
        <w:tc>
          <w:tcPr>
            <w:tcW w:w="7083" w:type="dxa"/>
            <w:gridSpan w:val="2"/>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政务管理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处理机关日常事务，保证镇政府值班工作，及时报告重要情况，传达和督促落实镇党委、政府领导指示。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综合业务管理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加强推进党的基层组织建设、纪检监察、党风廉政建设、统一战线、人民武装、精神文明建设、组织人事工作。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应急管理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保证镇政府值班工作，及时报告重要情况，传达和督促落实镇政府领导指示。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综合事务管理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社会治安综合治理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宣传贯彻国家法律法规和政策，增强农民法律知识，做好社会治安综合治理工作，做好司法、宗教工作，打击邪教；做好群众</w:t>
            </w:r>
            <w:r>
              <w:rPr>
                <w:rFonts w:ascii="方正书宋_GBK" w:eastAsia="方正书宋_GBK"/>
              </w:rPr>
              <w:t xml:space="preserve"> </w:t>
            </w:r>
            <w:r>
              <w:rPr>
                <w:rFonts w:hint="eastAsia" w:ascii="方正书宋_GBK" w:eastAsia="方正书宋_GBK"/>
              </w:rPr>
              <w:t>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协调维护社会治安稳定</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做好社会治安综合治理工作，做好司法、宗教工作，打击邪教；做好群众</w:t>
            </w:r>
            <w:r>
              <w:rPr>
                <w:rFonts w:ascii="方正书宋_GBK" w:eastAsia="方正书宋_GBK"/>
              </w:rPr>
              <w:t xml:space="preserve"> </w:t>
            </w:r>
            <w:r>
              <w:rPr>
                <w:rFonts w:hint="eastAsia" w:ascii="方正书宋_GBK" w:eastAsia="方正书宋_GBK"/>
              </w:rPr>
              <w:t>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经济发展</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承担经济发展和民生改善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经济发展</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制定经济发展规划，促进民营企业发展，招商引资，大力发展第二、三产业。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民生改善</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加强基础设施建设，落实强农惠农措施，搞好技术推广应用。大力发展苗木种植产业化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农业生产及农村综合改革</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推进农村集体产权制度改革，完善农村土地承包制度，引导农村土地合理流转。创新农业经营主体。实施科学管理</w:t>
            </w:r>
            <w:r>
              <w:rPr>
                <w:rFonts w:ascii="方正书宋_GBK" w:eastAsia="方正书宋_GBK"/>
              </w:rPr>
              <w:t>,</w:t>
            </w:r>
            <w:r>
              <w:rPr>
                <w:rFonts w:hint="eastAsia" w:ascii="方正书宋_GBK" w:eastAsia="方正书宋_GBK"/>
              </w:rPr>
              <w:t>提高农产品产量、质量，提高生产经营效益。提高农业机械化水平，建立健全农业科技服务和防灾减灾体系，推动农业生产向现代农业发展。负责村委会和党支部活动经费、村干部补助工资、发展农业生产、农村经济合作社发展、转移支付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促进土地流转</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建设土地流转有形市场。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农业技术推广农业教育与技能培训，开展粮食等作物高产创建。</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开展农业新技术推广、示范。</w:t>
            </w:r>
            <w:r>
              <w:rPr>
                <w:rFonts w:ascii="方正书宋_GBK" w:eastAsia="方正书宋_GBK"/>
              </w:rPr>
              <w:t>"</w:t>
            </w:r>
            <w:r>
              <w:rPr>
                <w:rFonts w:hint="eastAsia" w:ascii="方正书宋_GBK" w:eastAsia="方正书宋_GBK"/>
              </w:rPr>
              <w:t>通过推广优良品种，辐射带动大面积的平衡增产，提高单产水平。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对农村党支部和村委会补助</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对农村党支部和村委会补助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土地管理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农村居民最低生活保障</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农村五保供养</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负责农村五保户的分散供养工作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临时生活救助</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负责符合条件的农村居民的临时生活救助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环境保护与治理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环境管理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食品安全</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强化食品安全管理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安全生产管理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预算管理、财务管理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负责镇财政预算管理与执行，负责镇机关收支活动，组织实施镇财务核算及监督工作。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合理安排预算</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严格票据管理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村财镇管、涉农资金</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负责村级财务核算及监督工作，负责涉农资金的落实，负责管理镇国有资产，实施债权债务监督管理。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严格票据管理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坚持抽查制度、定期核查、以收定支。</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不定期进村入户抽查涉农资金落实情况。采用按月进行资产核查。坚持以收定支，杜绝举债行为发生。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计划生育</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提供各类计划生育技术服务，建立利益导向机制，开展出生人口性别比治理以及流动人口计划生育管理等各项工作。落实计生相关法律法规，业务宣传工作，</w:t>
            </w:r>
            <w:r>
              <w:rPr>
                <w:rFonts w:ascii="方正书宋_GBK" w:eastAsia="方正书宋_GBK"/>
              </w:rPr>
              <w:t>,</w:t>
            </w:r>
            <w:r>
              <w:rPr>
                <w:rFonts w:hint="eastAsia" w:ascii="方正书宋_GBK" w:eastAsia="方正书宋_GBK"/>
              </w:rPr>
              <w:t>落实计划生育一票否决制开展计划生育各种知识宣传和咨询服务。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计划生育奖励扶持政策</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计划生育咨询服务、计划生育保健及优生服务</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综合业务管理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负责避孕药具的管理和发放，提高服务质量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文教卫生</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配合教育、科技、文体、卫生等部门搞好义务教育，普及推广科学技术，丰富农村文化生活，开展全民健身运动，推行和完善新型合作医疗制度，提高参保率，加强农村食品安全监管。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提供公共服务</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搞好义务教育，新型农村合作医疗、食品药品安全监管。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文化艺术发展</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运用多种文化艺术手段，组织开展丰富多彩的群众性文化、艺术、体育活动，提高农民基本素质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美丽乡村建设</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公共基础设施建设、农村面貌提升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新农村建设</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完成区域内污水处理、垃圾处理、厕所改造、村庄绿化、危房改造、饮水安全、道路硬化基础设施建设和农村卫生长效机制管理。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综合事务管理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加强对社会关注关系民生的社会事管理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土地管理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环境管理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食品安全</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强化食品安全管理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安全生产管理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社会治安管理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加强对社会治的巡查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协护税</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综合治税保证财政收入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国有资产及债权债务管理</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负责管理镇镇国有资产负责管理镇镇国有资产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坚持定期核查</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采用按月进行资产核查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7" w:hRule="exact"/>
        </w:trPr>
        <w:tc>
          <w:tcPr>
            <w:tcW w:w="3017" w:type="dxa"/>
            <w:vAlign w:val="center"/>
          </w:tcPr>
          <w:p>
            <w:pPr>
              <w:spacing w:line="300" w:lineRule="exact"/>
              <w:jc w:val="left"/>
              <w:rPr>
                <w:rFonts w:ascii="方正书宋_GBK" w:eastAsia="方正书宋_GBK"/>
              </w:rPr>
            </w:pPr>
            <w:r>
              <w:rPr>
                <w:rFonts w:hint="eastAsia" w:ascii="方正书宋_GBK" w:eastAsia="方正书宋_GBK"/>
              </w:rPr>
              <w:t>　　坚持以收定支</w:t>
            </w:r>
          </w:p>
        </w:tc>
        <w:tc>
          <w:tcPr>
            <w:tcW w:w="7083" w:type="dxa"/>
            <w:gridSpan w:val="2"/>
            <w:vAlign w:val="center"/>
          </w:tcPr>
          <w:p>
            <w:pPr>
              <w:spacing w:line="300" w:lineRule="exact"/>
              <w:jc w:val="left"/>
              <w:rPr>
                <w:rFonts w:ascii="方正书宋_GBK" w:eastAsia="方正书宋_GBK"/>
              </w:rPr>
            </w:pPr>
            <w:r>
              <w:rPr>
                <w:rFonts w:hint="eastAsia" w:ascii="方正书宋_GBK" w:eastAsia="方正书宋_GBK"/>
              </w:rPr>
              <w:t>坚持以收定支，杜绝举债行为发生。</w:t>
            </w:r>
          </w:p>
        </w:tc>
      </w:tr>
    </w:tbl>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3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 w:hAnsi="仿宋" w:eastAsia="仿宋"/>
                <w:szCs w:val="21"/>
              </w:rPr>
              <w:t>石家庄市藁城区梅花镇人民政府</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 w:hAnsi="仿宋" w:eastAsia="仿宋"/>
                <w:szCs w:val="21"/>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 w:hAnsi="仿宋" w:eastAsia="仿宋"/>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center"/>
          </w:tcPr>
          <w:p>
            <w:pPr>
              <w:jc w:val="left"/>
              <w:rPr>
                <w:rFonts w:ascii="仿宋" w:hAnsi="仿宋" w:eastAsia="仿宋"/>
                <w:szCs w:val="21"/>
              </w:rPr>
            </w:pPr>
            <w:r>
              <w:rPr>
                <w:rFonts w:hint="eastAsia" w:ascii="仿宋" w:hAnsi="仿宋" w:eastAsia="仿宋"/>
                <w:szCs w:val="21"/>
              </w:rPr>
              <w:t>石家庄市藁城区梅花中心校（小学）</w:t>
            </w:r>
          </w:p>
        </w:tc>
        <w:tc>
          <w:tcPr>
            <w:tcW w:w="2445" w:type="dxa"/>
          </w:tcPr>
          <w:p>
            <w:pPr>
              <w:spacing w:line="560" w:lineRule="exact"/>
              <w:rPr>
                <w:rFonts w:ascii="仿宋_GB2312" w:hAnsi="Calibri" w:eastAsia="仿宋_GB2312" w:cs="ArialUnicodeMS"/>
                <w:kern w:val="0"/>
                <w:sz w:val="28"/>
                <w:szCs w:val="28"/>
              </w:rPr>
            </w:pPr>
            <w:r>
              <w:rPr>
                <w:rFonts w:hint="eastAsia" w:ascii="仿宋" w:hAnsi="仿宋" w:eastAsia="仿宋"/>
                <w:szCs w:val="21"/>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 w:hAnsi="仿宋" w:eastAsia="仿宋"/>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r>
              <w:rPr>
                <w:rFonts w:hint="eastAsia" w:ascii="仿宋" w:hAnsi="仿宋" w:eastAsia="仿宋"/>
                <w:szCs w:val="21"/>
              </w:rPr>
              <w:t>石家庄市藁城区梅花中心校（中学）</w:t>
            </w:r>
          </w:p>
        </w:tc>
        <w:tc>
          <w:tcPr>
            <w:tcW w:w="2445" w:type="dxa"/>
          </w:tcPr>
          <w:p>
            <w:pPr>
              <w:spacing w:line="560" w:lineRule="exact"/>
              <w:rPr>
                <w:rFonts w:ascii="仿宋_GB2312" w:hAnsi="Calibri" w:eastAsia="仿宋_GB2312" w:cs="ArialUnicodeMS"/>
                <w:kern w:val="0"/>
                <w:sz w:val="28"/>
                <w:szCs w:val="28"/>
              </w:rPr>
            </w:pPr>
            <w:r>
              <w:rPr>
                <w:rFonts w:hint="eastAsia" w:ascii="仿宋" w:hAnsi="仿宋" w:eastAsia="仿宋"/>
                <w:szCs w:val="21"/>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 w:hAnsi="仿宋" w:eastAsia="仿宋"/>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本部门2019年度收入总计（含结转和结余）5096.77万元，支出总计（含结转和结余）5096.77万元。</w:t>
      </w:r>
    </w:p>
    <w:p>
      <w:pPr>
        <w:snapToGrid w:val="0"/>
        <w:spacing w:line="52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与2018年度决算相比，本年收入减少2404.41万元，减少32.05%；本年支出减少</w:t>
      </w:r>
      <w:r>
        <w:rPr>
          <w:rFonts w:hint="eastAsia" w:ascii="仿宋_GB2312" w:hAnsi="仿宋_GB2312" w:eastAsia="仿宋_GB2312" w:cs="仿宋_GB2312"/>
          <w:sz w:val="32"/>
          <w:szCs w:val="32"/>
        </w:rPr>
        <w:t>2409.44</w:t>
      </w:r>
      <w:r>
        <w:rPr>
          <w:rFonts w:hint="eastAsia" w:ascii="仿宋_GB2312" w:hAnsi="Times New Roman" w:eastAsia="仿宋_GB2312" w:cs="DengXian-Regular"/>
          <w:sz w:val="32"/>
          <w:szCs w:val="32"/>
        </w:rPr>
        <w:t>万元，减少</w:t>
      </w:r>
      <w:r>
        <w:rPr>
          <w:rFonts w:hint="eastAsia" w:ascii="仿宋_GB2312" w:hAnsi="仿宋_GB2312" w:eastAsia="仿宋_GB2312" w:cs="仿宋_GB2312"/>
          <w:sz w:val="32"/>
          <w:szCs w:val="32"/>
        </w:rPr>
        <w:t>32.12</w:t>
      </w:r>
      <w:r>
        <w:rPr>
          <w:rFonts w:hint="eastAsia" w:ascii="仿宋_GB2312" w:hAnsi="Times New Roman" w:eastAsia="仿宋_GB2312" w:cs="DengXian-Regular"/>
          <w:sz w:val="32"/>
          <w:szCs w:val="32"/>
        </w:rPr>
        <w:t>%；收支减少的主要原因是税收收入减少，财政预算收入减少。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本部门2019年度本年收入合计5096.77万元，其中：财政拨款收入5096.77万元，占100%；事业收入0万元，占0%；经营收入0万元，占0%；其他收入0万元，占0%。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ascii="仿宋_GB2312" w:hAnsi="Times New Roman" w:eastAsia="仿宋_GB2312" w:cs="DengXian-Regular"/>
          <w:sz w:val="32"/>
          <w:szCs w:val="32"/>
        </w:rPr>
        <w:t>5091.74</w:t>
      </w:r>
      <w:r>
        <w:rPr>
          <w:rFonts w:hint="eastAsia" w:ascii="仿宋_GB2312" w:hAnsi="Times New Roman" w:eastAsia="仿宋_GB2312" w:cs="DengXian-Regular"/>
          <w:sz w:val="32"/>
          <w:szCs w:val="32"/>
        </w:rPr>
        <w:t>万元，其中：基本支出4974.34万元，占97.69%；项目支出117.4万元，占2.31%；经营支出0万元，占0%。如图所示：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437283840" behindDoc="1" locked="0" layoutInCell="1" allowOverlap="1">
            <wp:simplePos x="0" y="0"/>
            <wp:positionH relativeFrom="column">
              <wp:posOffset>801370</wp:posOffset>
            </wp:positionH>
            <wp:positionV relativeFrom="paragraph">
              <wp:posOffset>-2465705</wp:posOffset>
            </wp:positionV>
            <wp:extent cx="4572000" cy="2743200"/>
            <wp:effectExtent l="0" t="0" r="19050" b="19050"/>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Pr>
          <w:rFonts w:ascii="黑体" w:hAnsi="Calibri" w:eastAsia="黑体" w:cs="Times New Roman"/>
          <w:b/>
          <w:bCs/>
          <w:sz w:val="32"/>
          <w:szCs w:val="32"/>
        </w:rPr>
        <mc:AlternateContent>
          <mc:Choice Requires="wps">
            <w:drawing>
              <wp:anchor distT="0" distB="0" distL="114300" distR="114300" simplePos="0" relativeHeight="251921408" behindDoc="1" locked="0" layoutInCell="1" allowOverlap="1">
                <wp:simplePos x="0" y="0"/>
                <wp:positionH relativeFrom="column">
                  <wp:posOffset>948055</wp:posOffset>
                </wp:positionH>
                <wp:positionV relativeFrom="paragraph">
                  <wp:posOffset>223520</wp:posOffset>
                </wp:positionV>
                <wp:extent cx="3314065" cy="483235"/>
                <wp:effectExtent l="0" t="0" r="635" b="0"/>
                <wp:wrapNone/>
                <wp:docPr id="30" name="文本框 30"/>
                <wp:cNvGraphicFramePr/>
                <a:graphic xmlns:a="http://schemas.openxmlformats.org/drawingml/2006/main">
                  <a:graphicData uri="http://schemas.microsoft.com/office/word/2010/wordprocessingShape">
                    <wps:wsp>
                      <wps:cNvSpPr txBox="1"/>
                      <wps:spPr>
                        <a:xfrm>
                          <a:off x="0" y="0"/>
                          <a:ext cx="3314323" cy="483249"/>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65pt;margin-top:17.6pt;height:38.05pt;width:260.95pt;z-index:-251395072;mso-width-relative:page;mso-height-relative:page;" fillcolor="#FFFFFF" filled="t" stroked="f" coordsize="21600,21600" o:gfxdata="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L7zTHfVAAAACgEA&#10;AA8AAAAAAAAAAQAgAAAAIgAAAGRycy9kb3ducmV2LnhtbFBLAQIUABQAAAAIAIdO4kC8zE25VgIA&#10;AJ8EAAAOAAAAAAAAAAEAIAAAACQBAABkcnMvZTJvRG9jLnhtbFBLBQYAAAAABgAGAFkBAADsBQAA&#10;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仿宋_GB2312" w:eastAsia="仿宋_GB2312" w:cs="仿宋_GB2312"/>
          <w:sz w:val="32"/>
          <w:szCs w:val="32"/>
        </w:rPr>
        <w:t>5096.77</w:t>
      </w:r>
      <w:r>
        <w:rPr>
          <w:rFonts w:hint="eastAsia" w:ascii="仿宋_GB2312" w:hAnsi="Times New Roman" w:eastAsia="仿宋_GB2312" w:cs="DengXian-Regular"/>
          <w:sz w:val="32"/>
          <w:szCs w:val="32"/>
        </w:rPr>
        <w:t>万元,比2018年度减少</w:t>
      </w:r>
      <w:r>
        <w:rPr>
          <w:rFonts w:hint="eastAsia" w:ascii="仿宋_GB2312" w:hAnsi="仿宋_GB2312" w:eastAsia="仿宋_GB2312" w:cs="仿宋_GB2312"/>
          <w:sz w:val="32"/>
          <w:szCs w:val="32"/>
        </w:rPr>
        <w:t>2404.41</w:t>
      </w:r>
    </w:p>
    <w:p>
      <w:pPr>
        <w:snapToGrid w:val="0"/>
        <w:spacing w:line="520" w:lineRule="exact"/>
        <w:rPr>
          <w:rFonts w:ascii="仿宋" w:hAnsi="仿宋" w:eastAsia="仿宋"/>
          <w:sz w:val="32"/>
          <w:szCs w:val="32"/>
        </w:rPr>
      </w:pPr>
      <w:r>
        <w:rPr>
          <w:rFonts w:hint="eastAsia" w:ascii="仿宋_GB2312" w:hAnsi="Times New Roman" w:eastAsia="仿宋_GB2312" w:cs="DengXian-Regular"/>
          <w:sz w:val="32"/>
          <w:szCs w:val="32"/>
        </w:rPr>
        <w:t>万元，降低</w:t>
      </w:r>
      <w:r>
        <w:rPr>
          <w:rFonts w:hint="eastAsia" w:ascii="仿宋_GB2312" w:hAnsi="仿宋_GB2312" w:eastAsia="仿宋_GB2312" w:cs="仿宋_GB2312"/>
          <w:sz w:val="32"/>
          <w:szCs w:val="32"/>
        </w:rPr>
        <w:t>32.05</w:t>
      </w:r>
      <w:r>
        <w:rPr>
          <w:rFonts w:hint="eastAsia" w:ascii="仿宋_GB2312" w:hAnsi="Times New Roman" w:eastAsia="仿宋_GB2312" w:cs="DengXian-Regular"/>
          <w:sz w:val="32"/>
          <w:szCs w:val="32"/>
        </w:rPr>
        <w:t>%，本年支出</w:t>
      </w:r>
      <w:r>
        <w:rPr>
          <w:rFonts w:hint="eastAsia" w:ascii="仿宋_GB2312" w:hAnsi="仿宋_GB2312" w:eastAsia="仿宋_GB2312" w:cs="仿宋_GB2312"/>
          <w:sz w:val="32"/>
          <w:szCs w:val="32"/>
        </w:rPr>
        <w:t>5091.74</w:t>
      </w:r>
      <w:r>
        <w:rPr>
          <w:rFonts w:hint="eastAsia" w:ascii="仿宋_GB2312" w:hAnsi="Times New Roman" w:eastAsia="仿宋_GB2312" w:cs="DengXian-Regular"/>
          <w:sz w:val="32"/>
          <w:szCs w:val="32"/>
        </w:rPr>
        <w:t>万元，减少</w:t>
      </w:r>
      <w:r>
        <w:rPr>
          <w:rFonts w:hint="eastAsia" w:ascii="仿宋_GB2312" w:hAnsi="仿宋_GB2312" w:eastAsia="仿宋_GB2312" w:cs="仿宋_GB2312"/>
          <w:sz w:val="32"/>
          <w:szCs w:val="32"/>
        </w:rPr>
        <w:t>2409.44</w:t>
      </w:r>
      <w:r>
        <w:rPr>
          <w:rFonts w:hint="eastAsia" w:ascii="仿宋_GB2312" w:hAnsi="Times New Roman" w:eastAsia="仿宋_GB2312" w:cs="DengXian-Regular"/>
          <w:sz w:val="32"/>
          <w:szCs w:val="32"/>
        </w:rPr>
        <w:t>万元，降低</w:t>
      </w:r>
      <w:r>
        <w:rPr>
          <w:rFonts w:hint="eastAsia" w:ascii="仿宋_GB2312" w:hAnsi="仿宋_GB2312" w:eastAsia="仿宋_GB2312" w:cs="仿宋_GB2312"/>
          <w:sz w:val="32"/>
          <w:szCs w:val="32"/>
        </w:rPr>
        <w:t>32.12</w:t>
      </w:r>
      <w:r>
        <w:rPr>
          <w:rFonts w:hint="eastAsia" w:ascii="仿宋_GB2312" w:hAnsi="Times New Roman" w:eastAsia="仿宋_GB2312" w:cs="DengXian-Regular"/>
          <w:sz w:val="32"/>
          <w:szCs w:val="32"/>
        </w:rPr>
        <w:t>%，主要是</w:t>
      </w:r>
      <w:r>
        <w:rPr>
          <w:rFonts w:hint="eastAsia" w:ascii="仿宋_GB2312" w:hAnsi="仿宋_GB2312" w:eastAsia="仿宋_GB2312" w:cs="仿宋_GB2312"/>
          <w:sz w:val="32"/>
          <w:szCs w:val="32"/>
        </w:rPr>
        <w:t>收支减少的主要原因是</w:t>
      </w:r>
      <w:r>
        <w:rPr>
          <w:rFonts w:hint="eastAsia" w:ascii="仿宋" w:hAnsi="仿宋" w:eastAsia="仿宋"/>
          <w:sz w:val="32"/>
          <w:szCs w:val="32"/>
        </w:rPr>
        <w:t>税收收入减少，财政预算收入减少。</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drawing>
          <wp:anchor distT="6985" distB="0" distL="127000" distR="120015" simplePos="0" relativeHeight="437284864" behindDoc="0" locked="0" layoutInCell="1" allowOverlap="1">
            <wp:simplePos x="0" y="0"/>
            <wp:positionH relativeFrom="column">
              <wp:posOffset>248920</wp:posOffset>
            </wp:positionH>
            <wp:positionV relativeFrom="paragraph">
              <wp:posOffset>172720</wp:posOffset>
            </wp:positionV>
            <wp:extent cx="3629025" cy="4267200"/>
            <wp:effectExtent l="0" t="0" r="9525" b="19050"/>
            <wp:wrapSquare wrapText="bothSides"/>
            <wp:docPr id="225" name="图表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snapToGrid w:val="0"/>
        <w:spacing w:line="520" w:lineRule="exact"/>
        <w:ind w:firstLine="640" w:firstLineChars="200"/>
        <w:rPr>
          <w:rFonts w:ascii="仿宋" w:hAnsi="仿宋" w:eastAsia="仿宋"/>
          <w:sz w:val="32"/>
          <w:szCs w:val="32"/>
        </w:rPr>
      </w:pPr>
    </w:p>
    <w:p>
      <w:pPr>
        <w:snapToGrid w:val="0"/>
        <w:spacing w:line="520" w:lineRule="exact"/>
        <w:ind w:firstLine="640" w:firstLineChars="200"/>
        <w:rPr>
          <w:rFonts w:ascii="仿宋" w:hAnsi="仿宋" w:eastAsia="仿宋"/>
          <w:sz w:val="32"/>
          <w:szCs w:val="32"/>
        </w:rPr>
      </w:pPr>
    </w:p>
    <w:p>
      <w:pPr>
        <w:snapToGrid w:val="0"/>
        <w:spacing w:line="520" w:lineRule="exact"/>
        <w:ind w:firstLine="640" w:firstLineChars="200"/>
        <w:rPr>
          <w:rFonts w:ascii="仿宋" w:hAnsi="仿宋" w:eastAsia="仿宋"/>
          <w:sz w:val="32"/>
          <w:szCs w:val="32"/>
        </w:rPr>
      </w:pPr>
    </w:p>
    <w:p>
      <w:pPr>
        <w:snapToGrid w:val="0"/>
        <w:spacing w:line="520" w:lineRule="exact"/>
        <w:ind w:firstLine="640" w:firstLineChars="200"/>
        <w:rPr>
          <w:rFonts w:ascii="仿宋" w:hAnsi="仿宋" w:eastAsia="仿宋"/>
          <w:sz w:val="32"/>
          <w:szCs w:val="32"/>
        </w:rPr>
      </w:pPr>
    </w:p>
    <w:p>
      <w:pPr>
        <w:snapToGrid w:val="0"/>
        <w:spacing w:line="520" w:lineRule="exact"/>
        <w:ind w:firstLine="640" w:firstLineChars="200"/>
        <w:rPr>
          <w:rFonts w:ascii="仿宋" w:hAnsi="仿宋" w:eastAsia="仿宋"/>
          <w:sz w:val="32"/>
          <w:szCs w:val="32"/>
        </w:rPr>
      </w:pPr>
    </w:p>
    <w:p>
      <w:pPr>
        <w:snapToGrid w:val="0"/>
        <w:spacing w:line="520" w:lineRule="exact"/>
        <w:ind w:firstLine="640" w:firstLineChars="200"/>
        <w:rPr>
          <w:rFonts w:ascii="仿宋" w:hAnsi="仿宋" w:eastAsia="仿宋"/>
          <w:sz w:val="32"/>
          <w:szCs w:val="32"/>
        </w:rPr>
      </w:pPr>
    </w:p>
    <w:p>
      <w:pPr>
        <w:snapToGrid w:val="0"/>
        <w:spacing w:line="520" w:lineRule="exact"/>
        <w:ind w:firstLine="640" w:firstLineChars="200"/>
        <w:rPr>
          <w:rFonts w:ascii="仿宋" w:hAnsi="仿宋" w:eastAsia="仿宋"/>
          <w:sz w:val="32"/>
          <w:szCs w:val="32"/>
        </w:rPr>
      </w:pPr>
    </w:p>
    <w:p>
      <w:pPr>
        <w:snapToGrid w:val="0"/>
        <w:spacing w:line="520" w:lineRule="exact"/>
        <w:ind w:firstLine="640" w:firstLineChars="200"/>
        <w:rPr>
          <w:rFonts w:ascii="仿宋" w:hAnsi="仿宋" w:eastAsia="仿宋"/>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仿宋_GB2312" w:eastAsia="仿宋_GB2312" w:cs="仿宋_GB2312"/>
          <w:sz w:val="32"/>
          <w:szCs w:val="32"/>
        </w:rPr>
        <w:t>5096.77</w:t>
      </w:r>
      <w:r>
        <w:rPr>
          <w:rFonts w:hint="eastAsia" w:ascii="仿宋_GB2312" w:hAnsi="Times New Roman" w:eastAsia="仿宋_GB2312" w:cs="DengXian-Regular"/>
          <w:sz w:val="32"/>
          <w:szCs w:val="32"/>
        </w:rPr>
        <w:t>万元，完成年初预算的96.9%,比年初预算减少163.07万元，决算数大于（小于）预算数主要原因是</w:t>
      </w:r>
      <w:r>
        <w:rPr>
          <w:rFonts w:hint="eastAsia" w:ascii="仿宋" w:hAnsi="仿宋" w:eastAsia="仿宋"/>
          <w:sz w:val="32"/>
          <w:szCs w:val="32"/>
        </w:rPr>
        <w:t>税收收入减少，财政预算收入减少</w:t>
      </w:r>
      <w:r>
        <w:rPr>
          <w:rFonts w:hint="eastAsia" w:ascii="仿宋_GB2312" w:hAnsi="Times New Roman" w:eastAsia="仿宋_GB2312" w:cs="DengXian-Regular"/>
          <w:sz w:val="32"/>
          <w:szCs w:val="32"/>
        </w:rPr>
        <w:t>；本年支出</w:t>
      </w:r>
      <w:r>
        <w:rPr>
          <w:rFonts w:hint="eastAsia" w:ascii="仿宋_GB2312" w:hAnsi="仿宋_GB2312" w:eastAsia="仿宋_GB2312" w:cs="仿宋_GB2312"/>
          <w:sz w:val="32"/>
          <w:szCs w:val="32"/>
        </w:rPr>
        <w:t>5091.74</w:t>
      </w:r>
      <w:r>
        <w:rPr>
          <w:rFonts w:hint="eastAsia" w:ascii="仿宋_GB2312" w:hAnsi="Times New Roman" w:eastAsia="仿宋_GB2312" w:cs="DengXian-Regular"/>
          <w:sz w:val="32"/>
          <w:szCs w:val="32"/>
        </w:rPr>
        <w:t>万元，完成年初预算的96.8%,比年初预算减少168.1万元，决算数小于预算数主要原因是主要是</w:t>
      </w:r>
      <w:r>
        <w:rPr>
          <w:rFonts w:hint="eastAsia" w:ascii="仿宋" w:hAnsi="仿宋" w:eastAsia="仿宋"/>
          <w:sz w:val="32"/>
          <w:szCs w:val="32"/>
        </w:rPr>
        <w:t>税收收入减少，财政预算收入减少</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437286912" behindDoc="0" locked="0" layoutInCell="1" allowOverlap="1">
            <wp:simplePos x="0" y="0"/>
            <wp:positionH relativeFrom="column">
              <wp:posOffset>271145</wp:posOffset>
            </wp:positionH>
            <wp:positionV relativeFrom="paragraph">
              <wp:posOffset>65405</wp:posOffset>
            </wp:positionV>
            <wp:extent cx="3695700" cy="2200275"/>
            <wp:effectExtent l="4445" t="4445" r="14605" b="5080"/>
            <wp:wrapNone/>
            <wp:docPr id="3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hint="eastAsia"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仿宋_GB2312" w:eastAsia="仿宋_GB2312" w:cs="仿宋_GB2312"/>
          <w:sz w:val="32"/>
          <w:szCs w:val="32"/>
        </w:rPr>
        <w:t>5091.74</w:t>
      </w:r>
      <w:r>
        <w:rPr>
          <w:rFonts w:hint="eastAsia" w:ascii="仿宋_GB2312" w:hAnsi="Times New Roman" w:eastAsia="仿宋_GB2312" w:cs="DengXian-Regular"/>
          <w:sz w:val="32"/>
          <w:szCs w:val="32"/>
        </w:rPr>
        <w:t>万元，主要用于以下方面一般公共服务（类）支出856.31万元，占16.82%；教育（类）支出4235.43万元，占83.18%；</w:t>
      </w:r>
      <w:r>
        <w:rPr>
          <w:rFonts w:ascii="仿宋_GB2312" w:hAnsi="Times New Roman" w:eastAsia="仿宋_GB2312" w:cs="DengXian-Regular"/>
          <w:sz w:val="32"/>
          <w:szCs w:val="32"/>
        </w:rPr>
        <w:t xml:space="preserve"> </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437285888" behindDoc="0" locked="0" layoutInCell="1" allowOverlap="1">
            <wp:simplePos x="0" y="0"/>
            <wp:positionH relativeFrom="column">
              <wp:posOffset>820420</wp:posOffset>
            </wp:positionH>
            <wp:positionV relativeFrom="paragraph">
              <wp:posOffset>198120</wp:posOffset>
            </wp:positionV>
            <wp:extent cx="3781425" cy="2343150"/>
            <wp:effectExtent l="0" t="0" r="9525" b="19050"/>
            <wp:wrapNone/>
            <wp:docPr id="226" name="图表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年度财政拨款基本支出4974.34万元，其中：人员经费 4751.1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223.24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本部门2019年度“三公”经费支出共计1.16万元，完成预算的</w:t>
      </w:r>
      <w:r>
        <w:rPr>
          <w:rFonts w:hint="eastAsia" w:ascii="仿宋_GB2312" w:hAnsi="Times New Roman" w:eastAsia="仿宋_GB2312" w:cs="DengXian-Regular"/>
          <w:sz w:val="32"/>
          <w:szCs w:val="32"/>
          <w:lang w:val="en-US" w:eastAsia="zh-CN"/>
        </w:rPr>
        <w:t>21.56</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4.22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78.44</w:t>
      </w:r>
      <w:r>
        <w:rPr>
          <w:rFonts w:hint="eastAsia" w:ascii="仿宋_GB2312" w:hAnsi="Times New Roman" w:eastAsia="仿宋_GB2312" w:cs="DengXian-Regular"/>
          <w:sz w:val="32"/>
          <w:szCs w:val="32"/>
        </w:rPr>
        <w:t>%，主要是贯彻落实八项规定要求，压减三公经费支出；较2018年度减少0.4</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万元，降低26.</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%，主要是贯彻落实八项规定要求，压减三公经费支出。具体情况如下：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本部门2019年度因公出国（境）团组0个、共0人/参加其他单位组织的因公出国（境）团组0个、共0人/无本单位组织的出国（境）团组。因公出国（境）费支出较预算无变化，</w:t>
      </w:r>
      <w:r>
        <w:rPr>
          <w:rFonts w:hint="eastAsia" w:ascii="仿宋_GB2312" w:hAnsi="Times New Roman" w:eastAsia="仿宋_GB2312" w:cs="DengXian-Regular"/>
          <w:color w:val="000000"/>
          <w:sz w:val="32"/>
          <w:szCs w:val="32"/>
        </w:rPr>
        <w:t>与年初预算持平</w:t>
      </w:r>
      <w:r>
        <w:rPr>
          <w:rFonts w:hint="eastAsia" w:ascii="仿宋_GB2312" w:hAnsi="Times New Roman" w:eastAsia="仿宋_GB2312" w:cs="DengXian-Regular"/>
          <w:sz w:val="32"/>
          <w:szCs w:val="32"/>
        </w:rPr>
        <w:t>；较上年无变化，</w:t>
      </w:r>
      <w:r>
        <w:rPr>
          <w:rFonts w:hint="eastAsia" w:ascii="仿宋_GB2312" w:hAnsi="Times New Roman" w:eastAsia="仿宋_GB2312" w:cs="DengXian-Regular"/>
          <w:color w:val="000000"/>
          <w:sz w:val="32"/>
          <w:szCs w:val="32"/>
        </w:rPr>
        <w:t>与2018年度决算支出持平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（二）公务用车购置及运行维护费支出1.16万元。</w:t>
      </w:r>
      <w:r>
        <w:rPr>
          <w:rFonts w:hint="eastAsia" w:ascii="仿宋_GB2312" w:hAnsi="Times New Roman" w:eastAsia="仿宋_GB2312" w:cs="DengXian-Regular"/>
          <w:sz w:val="32"/>
          <w:szCs w:val="32"/>
        </w:rPr>
        <w:t>本部门2019年度公务用车购置及运行维护费较预算减少3.24万元，降低73.64%,主要是贯彻落实八项规定要求，压减公务用车运行维护费支出；较上年减少0.4</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万元，降低26.</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%，主要是贯彻落实八项规定要求，压减公务用车运行维护费支出。</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w:t>
      </w:r>
      <w:r>
        <w:rPr>
          <w:rFonts w:hint="eastAsia" w:ascii="仿宋_GB2312" w:hAnsi="Times New Roman" w:eastAsia="仿宋_GB2312" w:cs="DengXian-Regular"/>
          <w:color w:val="000000"/>
          <w:sz w:val="32"/>
          <w:szCs w:val="32"/>
        </w:rPr>
        <w:t>未发生“公务用车购置”经费支出，</w:t>
      </w:r>
      <w:r>
        <w:rPr>
          <w:rFonts w:hint="eastAsia" w:ascii="仿宋_GB2312" w:hAnsi="Times New Roman" w:eastAsia="仿宋_GB2312" w:cs="DengXian-Regular"/>
          <w:sz w:val="32"/>
          <w:szCs w:val="32"/>
        </w:rPr>
        <w:t>公务用车购置费支出较预算无变化，</w:t>
      </w:r>
      <w:r>
        <w:rPr>
          <w:rFonts w:hint="eastAsia" w:ascii="仿宋_GB2312" w:hAnsi="Times New Roman" w:eastAsia="仿宋_GB2312" w:cs="DengXian-Regular"/>
          <w:color w:val="000000"/>
          <w:sz w:val="32"/>
          <w:szCs w:val="32"/>
        </w:rPr>
        <w:t>与年初预算持平</w:t>
      </w:r>
      <w:r>
        <w:rPr>
          <w:rFonts w:hint="eastAsia" w:ascii="仿宋_GB2312" w:hAnsi="Times New Roman" w:eastAsia="仿宋_GB2312" w:cs="DengXian-Regular"/>
          <w:sz w:val="32"/>
          <w:szCs w:val="32"/>
        </w:rPr>
        <w:t>；较上年无变化，</w:t>
      </w:r>
      <w:r>
        <w:rPr>
          <w:rFonts w:hint="eastAsia" w:ascii="仿宋_GB2312" w:hAnsi="Times New Roman" w:eastAsia="仿宋_GB2312" w:cs="DengXian-Regular"/>
          <w:color w:val="000000"/>
          <w:sz w:val="32"/>
          <w:szCs w:val="32"/>
        </w:rPr>
        <w:t>与2018年度决算支出持平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本部门2019年度单位公务用车保有量3辆。公车运行维护费支出较预算减少3.24万元，降低73.64%,主要是贯彻落实八项规定要求，压减公务用车运行维护费支出；较上年减少0.4</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万元，降低26.</w:t>
      </w:r>
      <w:r>
        <w:rPr>
          <w:rFonts w:hint="eastAsia" w:ascii="仿宋_GB2312" w:hAnsi="Times New Roman" w:eastAsia="仿宋_GB2312" w:cs="DengXian-Regular"/>
          <w:sz w:val="32"/>
          <w:szCs w:val="32"/>
          <w:lang w:val="en-US" w:eastAsia="zh-CN"/>
        </w:rPr>
        <w:t>11</w:t>
      </w:r>
      <w:r>
        <w:rPr>
          <w:rFonts w:hint="eastAsia" w:ascii="仿宋_GB2312" w:hAnsi="Times New Roman" w:eastAsia="仿宋_GB2312" w:cs="DengXian-Regular"/>
          <w:sz w:val="32"/>
          <w:szCs w:val="32"/>
        </w:rPr>
        <w:t>%，主要是贯彻落实八项规定要求，压减公务用车运行维护费支出。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0.98万元，无公务接待活动</w:t>
      </w:r>
      <w:r>
        <w:rPr>
          <w:rFonts w:hint="eastAsia" w:ascii="仿宋_GB2312" w:hAnsi="Times New Roman" w:eastAsia="仿宋_GB2312" w:cs="DengXian-Regular"/>
          <w:sz w:val="32"/>
          <w:szCs w:val="32"/>
        </w:rPr>
        <w:t>；较上年无变化，</w:t>
      </w:r>
      <w:r>
        <w:rPr>
          <w:rFonts w:hint="eastAsia" w:ascii="仿宋_GB2312" w:hAnsi="Times New Roman" w:eastAsia="仿宋_GB2312" w:cs="DengXian-Regular"/>
          <w:color w:val="000000"/>
          <w:sz w:val="32"/>
          <w:szCs w:val="32"/>
        </w:rPr>
        <w:t>与2018年度决算支出持平。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widowControl w:val="0"/>
        <w:numPr>
          <w:numId w:val="0"/>
        </w:numPr>
        <w:adjustRightInd w:val="0"/>
        <w:snapToGrid w:val="0"/>
        <w:spacing w:line="58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根据预算绩效管理要求，本部门组织对2019年度一般公共预算项目支出全面开展绩效自评，组织对“梅花镇政府2019年工会费、梅花镇学区2019年工会费、梅花镇综合执法经费”等3个项目开展了部门评价，涉及一般公共预算支出117.4万元。从评价情况来看，绩效目标设定较为全面完整、清晰准确，各级指标设定多样化，主要从产出指标、预算执行率指标、效益指标、满意度指标等方面考核项目的完成情况。工会费项目保障了区总工会工作的正常开展，综合工作经费项目保障了镇政府工作的政策开展，项目绩效评价均为优秀。</w:t>
      </w:r>
    </w:p>
    <w:p>
      <w:pPr>
        <w:widowControl w:val="0"/>
        <w:numPr>
          <w:numId w:val="0"/>
        </w:numPr>
        <w:adjustRightInd w:val="0"/>
        <w:snapToGrid w:val="0"/>
        <w:spacing w:line="580" w:lineRule="exact"/>
        <w:ind w:firstLine="643" w:firstLineChars="200"/>
        <w:jc w:val="both"/>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2.预算项目绩效自评选例。</w:t>
      </w:r>
    </w:p>
    <w:p>
      <w:pPr>
        <w:widowControl w:val="0"/>
        <w:numPr>
          <w:ilvl w:val="0"/>
          <w:numId w:val="0"/>
        </w:numPr>
        <w:adjustRightInd w:val="0"/>
        <w:snapToGrid w:val="0"/>
        <w:spacing w:line="580" w:lineRule="exact"/>
        <w:ind w:firstLine="640" w:firstLineChars="200"/>
        <w:jc w:val="both"/>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单位综合执法经费（环保、土地、信访、创城、食品安全、安全生产、协税护税、社会综合治理（综治、联防、律师费等））项目绩效自评：根据年初设定的绩效目标，综合执法经费（环保、土地、信访、创城、食品安全、安全生产、协税护税、社会综合治理（综治、联防、律师费等））项目绩效自评结果为优秀。项目全年预算数为96.4万元，执行数为96.4万元，完成预算的100%。发现问题项目预算都是年初数，每年情况均有不同，所以在项目预算方面存在有出入的情况。改进措施：及时与财政局相关科室沟通，根据不同情况合理列支支出项目。</w:t>
      </w:r>
    </w:p>
    <w:p>
      <w:pPr>
        <w:adjustRightInd w:val="0"/>
        <w:snapToGrid w:val="0"/>
        <w:spacing w:line="580" w:lineRule="exact"/>
        <w:ind w:firstLine="640" w:firstLineChars="200"/>
        <w:rPr>
          <w:rFonts w:ascii="仿宋_GB2312" w:hAnsi="仿宋_GB2312" w:eastAsia="仿宋_GB2312" w:cs="仿宋_GB2312"/>
          <w:sz w:val="32"/>
          <w:szCs w:val="32"/>
        </w:rPr>
      </w:pP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3.财政评价</w:t>
      </w:r>
      <w:r>
        <w:rPr>
          <w:rFonts w:hint="eastAsia" w:ascii="仿宋_GB2312" w:hAnsi="仿宋_GB2312" w:eastAsia="仿宋_GB2312" w:cs="仿宋_GB2312"/>
          <w:b/>
          <w:bCs/>
          <w:sz w:val="32"/>
          <w:szCs w:val="32"/>
        </w:rPr>
        <w:t>项目绩效自评结果。</w:t>
      </w:r>
      <w:bookmarkStart w:id="0" w:name="_GoBack"/>
      <w:bookmarkEnd w:id="0"/>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本部门在今年部门决算公开中反映“梅花镇政府2019年工会费、梅花镇学区2019年工会费、梅花镇综合执法经费”3个项目绩效自评结果。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梅花镇政府2019年工会费项目自评综述：根据年初设定的绩效目标，梅花镇政府2019年工会费项目绩效自评得分为99分（绩效自评表附后）。全年预算数为3万元，执行数为3万元，完成预算的100%。项目绩效目标完成情况：一是项目资金拨付率完成100%；二是工作完成及时率完成100%；三是工会满意度完成100%。</w:t>
      </w:r>
    </w:p>
    <w:p>
      <w:pPr>
        <w:numPr>
          <w:ilvl w:val="0"/>
          <w:numId w:val="2"/>
        </w:num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梅花镇学区2019年工会费项目绩效自评综述：根据年初设定的绩效目标，梅花镇学区2019年工会费项目绩效自评得分为99分（绩效自评表附后）。全年预算数为18万元，执行数为18万元，完成预算的100%。项目绩效目标完成情况：一是项目资金拨付率完成100%；二是工作完成及时率完成100%；三是工会满意度完成100%。</w:t>
      </w:r>
    </w:p>
    <w:p>
      <w:pPr>
        <w:numPr>
          <w:ilvl w:val="0"/>
          <w:numId w:val="2"/>
        </w:numPr>
        <w:adjustRightInd w:val="0"/>
        <w:snapToGrid w:val="0"/>
        <w:spacing w:line="58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梅花镇综合执法经费项目绩效自评综述：根据年初设定的绩效目标，梅花镇综合执法经费项目绩效自评得分为99分（绩效自评表附后）。全年预算数为96.4万元，执行数为96.4万元，完成预算的100%。项目绩效目标完成情况：一是项目资金拨付率完成100%；二是工作完成及时率完成100%；三是协税税收完成率完成100%；四是群众满意度完成100%。</w:t>
      </w:r>
    </w:p>
    <w:tbl>
      <w:tblPr>
        <w:tblStyle w:val="7"/>
        <w:tblW w:w="124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670"/>
        <w:gridCol w:w="1500"/>
        <w:gridCol w:w="990"/>
        <w:gridCol w:w="1410"/>
        <w:gridCol w:w="1425"/>
        <w:gridCol w:w="1380"/>
        <w:gridCol w:w="1275"/>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nil"/>
              <w:left w:val="nil"/>
              <w:bottom w:val="nil"/>
              <w:right w:val="nil"/>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45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45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245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填报单位：梅花镇人民政府</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nil"/>
              <w:left w:val="nil"/>
              <w:bottom w:val="nil"/>
              <w:right w:val="nil"/>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07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0" w:hRule="atLeast"/>
        </w:trPr>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梅花镇政府2019年工会费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4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梅花镇人民政府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40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全部拨付美丽乡村建设项目资金</w:t>
            </w:r>
          </w:p>
        </w:tc>
        <w:tc>
          <w:tcPr>
            <w:tcW w:w="40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全部拨付到位</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项目资金拨付额度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拨付进度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保障工会正常开展工作</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工会满意度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8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0" w:hRule="atLeast"/>
        </w:trPr>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78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填报人：王丽景</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3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15931681742</w:t>
            </w: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nil"/>
              <w:left w:val="nil"/>
              <w:bottom w:val="nil"/>
              <w:right w:val="nil"/>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45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45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245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填报单位：梅花镇人民政府</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nil"/>
              <w:left w:val="nil"/>
              <w:bottom w:val="nil"/>
              <w:right w:val="nil"/>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07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0" w:hRule="atLeast"/>
        </w:trPr>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梅花镇学区2019年工会费</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4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梅花镇人民政府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40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全部拨付美丽乡村建设项目资金</w:t>
            </w:r>
          </w:p>
        </w:tc>
        <w:tc>
          <w:tcPr>
            <w:tcW w:w="40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全部拨付到位</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项目资金拨付额度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拨付进度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保障工会正常开展工作</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工会满意度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8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0" w:hRule="atLeast"/>
        </w:trPr>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78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填报人：王丽景</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3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15931681742</w:t>
            </w: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tbl>
      <w:tblPr>
        <w:tblStyle w:val="7"/>
        <w:tblW w:w="124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670"/>
        <w:gridCol w:w="1500"/>
        <w:gridCol w:w="990"/>
        <w:gridCol w:w="1410"/>
        <w:gridCol w:w="1425"/>
        <w:gridCol w:w="1380"/>
        <w:gridCol w:w="1275"/>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nil"/>
              <w:left w:val="nil"/>
              <w:bottom w:val="nil"/>
              <w:right w:val="nil"/>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45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45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245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填报单位：梅花镇人民政府</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nil"/>
              <w:left w:val="nil"/>
              <w:bottom w:val="nil"/>
              <w:right w:val="nil"/>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307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60" w:hRule="atLeast"/>
        </w:trPr>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梅花镇综合执法经费（环保、土地、信访、创城、食品安全、安全生产、协税护税、社会综合治理（综治、联防、律师费等））</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4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梅花镇人民政府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96.4</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40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全部拨付美丽乡村建设项目资金</w:t>
            </w:r>
          </w:p>
        </w:tc>
        <w:tc>
          <w:tcPr>
            <w:tcW w:w="40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全部拨付到位</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26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项目资金拨付额度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拨付进度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协税税收完成率</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保障政府为民服务正常开展</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8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80" w:hRule="atLeast"/>
        </w:trPr>
        <w:tc>
          <w:tcPr>
            <w:tcW w:w="26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78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存在问题：项目预算都是年初数，每年情况均有不同，所以在项目预算方面存在有出入的情况。 改进措施：及时与财政局相关科室沟通，根据不同情况合理列支支出项目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6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填报人：王丽景</w:t>
            </w:r>
          </w:p>
        </w:tc>
        <w:tc>
          <w:tcPr>
            <w:tcW w:w="15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3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15931681742</w:t>
            </w:r>
          </w:p>
        </w:tc>
        <w:tc>
          <w:tcPr>
            <w:tcW w:w="127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本部门2019年度机关运行经费支出223.24万元，比2018年度减少32.32万元，降低12.65%。主要原因是税收减少，日常公用支出降低。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3辆，比上年未增加。其中，副部（省）级及以上领导用车0辆，主要领导干部用车0辆，机要通信用车2辆，应急保障用车0辆，执法执勤用车0辆，特种专业技术用车0辆，离退休干部用车0辆，其他用车1辆，其他用车主要是消防；</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万元以上通用设备0台（套），比上年未变化，单位价值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万元以上专用设备0台（套）比上年未变化。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本部门2019年度收支及结转结余5.03万元。</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focussize="0,0" r:id="rId3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S Mincho"/>
    <w:panose1 w:val="000000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方正书宋_GBK">
    <w:altName w:val="微软雅黑"/>
    <w:panose1 w:val="00000000000000000000"/>
    <w:charset w:val="86"/>
    <w:family w:val="script"/>
    <w:pitch w:val="default"/>
    <w:sig w:usb0="00000000" w:usb1="00000000" w:usb2="00000010" w:usb3="00000000" w:csb0="00040000" w:csb1="00000000"/>
  </w:font>
  <w:font w:name="ArialUnicodeMS">
    <w:altName w:val="Batang"/>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Batang"/>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S Mincho">
    <w:panose1 w:val="02020609040205080304"/>
    <w:charset w:val="80"/>
    <w:family w:val="auto"/>
    <w:pitch w:val="default"/>
    <w:sig w:usb0="E00002FF" w:usb1="6AC7FDFB" w:usb2="00000012" w:usb3="00000000" w:csb0="4002009F" w:csb1="DFD7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10C5C"/>
    <w:rsid w:val="002650EC"/>
    <w:rsid w:val="002A6C46"/>
    <w:rsid w:val="002C19B5"/>
    <w:rsid w:val="00366940"/>
    <w:rsid w:val="0038654D"/>
    <w:rsid w:val="003A4EE8"/>
    <w:rsid w:val="003B6795"/>
    <w:rsid w:val="00442CC2"/>
    <w:rsid w:val="00446244"/>
    <w:rsid w:val="00473C20"/>
    <w:rsid w:val="004B52CE"/>
    <w:rsid w:val="004D61CB"/>
    <w:rsid w:val="005011D6"/>
    <w:rsid w:val="00503F2E"/>
    <w:rsid w:val="00552226"/>
    <w:rsid w:val="00560FC5"/>
    <w:rsid w:val="00566120"/>
    <w:rsid w:val="00582E6D"/>
    <w:rsid w:val="005954D5"/>
    <w:rsid w:val="005A53FA"/>
    <w:rsid w:val="005D1293"/>
    <w:rsid w:val="00621666"/>
    <w:rsid w:val="00633601"/>
    <w:rsid w:val="00644D5F"/>
    <w:rsid w:val="00651C74"/>
    <w:rsid w:val="00657F86"/>
    <w:rsid w:val="006727AD"/>
    <w:rsid w:val="00691425"/>
    <w:rsid w:val="006A516E"/>
    <w:rsid w:val="006B0830"/>
    <w:rsid w:val="00716E2B"/>
    <w:rsid w:val="007172DE"/>
    <w:rsid w:val="00770F18"/>
    <w:rsid w:val="00773B74"/>
    <w:rsid w:val="0078290C"/>
    <w:rsid w:val="007C06CA"/>
    <w:rsid w:val="007C55BF"/>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C198C"/>
    <w:rsid w:val="009D271F"/>
    <w:rsid w:val="00A929C2"/>
    <w:rsid w:val="00AB15AD"/>
    <w:rsid w:val="00AD097F"/>
    <w:rsid w:val="00B42B60"/>
    <w:rsid w:val="00B844F4"/>
    <w:rsid w:val="00BA06A1"/>
    <w:rsid w:val="00BA770A"/>
    <w:rsid w:val="00C054DE"/>
    <w:rsid w:val="00C61914"/>
    <w:rsid w:val="00C679A9"/>
    <w:rsid w:val="00C7541C"/>
    <w:rsid w:val="00CC0FAA"/>
    <w:rsid w:val="00CD0736"/>
    <w:rsid w:val="00D1570F"/>
    <w:rsid w:val="00D32830"/>
    <w:rsid w:val="00D95D34"/>
    <w:rsid w:val="00DB7153"/>
    <w:rsid w:val="00DB7E9C"/>
    <w:rsid w:val="00DB7F05"/>
    <w:rsid w:val="00DE2332"/>
    <w:rsid w:val="00E028C3"/>
    <w:rsid w:val="00E14F77"/>
    <w:rsid w:val="00E3076B"/>
    <w:rsid w:val="00E36978"/>
    <w:rsid w:val="00E46757"/>
    <w:rsid w:val="00E82A1E"/>
    <w:rsid w:val="00EA05EC"/>
    <w:rsid w:val="00EC06F4"/>
    <w:rsid w:val="00EC5A7F"/>
    <w:rsid w:val="00EE4E36"/>
    <w:rsid w:val="00F665F4"/>
    <w:rsid w:val="00FD225F"/>
    <w:rsid w:val="05B00A30"/>
    <w:rsid w:val="0B011416"/>
    <w:rsid w:val="31C2036A"/>
    <w:rsid w:val="320D02A5"/>
    <w:rsid w:val="348E566F"/>
    <w:rsid w:val="386824A9"/>
    <w:rsid w:val="3A226944"/>
    <w:rsid w:val="3AEE6A48"/>
    <w:rsid w:val="3C1620AA"/>
    <w:rsid w:val="3D8F080F"/>
    <w:rsid w:val="44CE1FA4"/>
    <w:rsid w:val="487F73ED"/>
    <w:rsid w:val="4A347EAE"/>
    <w:rsid w:val="4DBE6D36"/>
    <w:rsid w:val="51C3330B"/>
    <w:rsid w:val="52600405"/>
    <w:rsid w:val="529B4319"/>
    <w:rsid w:val="543B5335"/>
    <w:rsid w:val="57773DD6"/>
    <w:rsid w:val="578B79AB"/>
    <w:rsid w:val="5CCD3FD5"/>
    <w:rsid w:val="61FA5F9D"/>
    <w:rsid w:val="64CD6910"/>
    <w:rsid w:val="66B44E33"/>
    <w:rsid w:val="6789158D"/>
    <w:rsid w:val="67D81BA4"/>
    <w:rsid w:val="6AAF1C96"/>
    <w:rsid w:val="742C2A6E"/>
    <w:rsid w:val="75681757"/>
    <w:rsid w:val="75A346A8"/>
    <w:rsid w:val="79083931"/>
    <w:rsid w:val="79B9382C"/>
    <w:rsid w:val="7B043B76"/>
    <w:rsid w:val="7C041A6A"/>
    <w:rsid w:val="7C797C78"/>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chart" Target="charts/chart4.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oleObject" Target="file:///I:\&#26032;&#24314;%20Microsoft%20Office%20Excel%2097-2003%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Documents%20and%20Settings\Administrator\&#26700;&#38754;\&#26032;&#24314;%20Microsoft%20Office%20Excel%20&#24037;&#20316;&#34920;%20(2).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Sheet1!$A$1:$A$2</c:f>
              <c:strCache>
                <c:ptCount val="2"/>
                <c:pt idx="0">
                  <c:v>基本支出</c:v>
                </c:pt>
                <c:pt idx="1">
                  <c:v>项目支出</c:v>
                </c:pt>
              </c:strCache>
            </c:strRef>
          </c:cat>
          <c:val>
            <c:numRef>
              <c:f>Sheet1!$B$1:$B$2</c:f>
              <c:numCache>
                <c:formatCode>General</c:formatCode>
                <c:ptCount val="2"/>
                <c:pt idx="0">
                  <c:v>4974.34</c:v>
                </c:pt>
                <c:pt idx="1">
                  <c:v>117.4</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200"/>
              <a:t>预算收支执行</a:t>
            </a:r>
            <a:endParaRPr lang="zh-CN" altLang="en-US" sz="1200"/>
          </a:p>
        </c:rich>
      </c:tx>
      <c:layout>
        <c:manualLayout>
          <c:xMode val="edge"/>
          <c:yMode val="edge"/>
          <c:x val="0.350104480798578"/>
          <c:y val="0"/>
        </c:manualLayout>
      </c:layout>
      <c:overlay val="1"/>
    </c:title>
    <c:autoTitleDeleted val="0"/>
    <c:plotArea>
      <c:layout>
        <c:manualLayout>
          <c:layoutTarget val="inner"/>
          <c:xMode val="edge"/>
          <c:yMode val="edge"/>
          <c:x val="0.127374212417223"/>
          <c:y val="0.132036936678462"/>
          <c:w val="0.67368018620314"/>
          <c:h val="0.715327021369293"/>
        </c:manualLayout>
      </c:layout>
      <c:barChart>
        <c:barDir val="col"/>
        <c:grouping val="clustered"/>
        <c:varyColors val="1"/>
        <c:ser>
          <c:idx val="0"/>
          <c:order val="0"/>
          <c:tx>
            <c:strRef>
              <c:f>Sheet1!$A$18</c:f>
              <c:strCache>
                <c:ptCount val="1"/>
                <c:pt idx="0">
                  <c:v>2018年</c:v>
                </c:pt>
              </c:strCache>
            </c:strRef>
          </c:tx>
          <c:invertIfNegative val="1"/>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1"/>
            <c:showVal val="1"/>
            <c:showCatName val="1"/>
            <c:showSerName val="1"/>
            <c:showPercent val="1"/>
            <c:showBubbleSize val="1"/>
            <c:showLeaderLines val="0"/>
            <c:extLst>
              <c:ext xmlns:c15="http://schemas.microsoft.com/office/drawing/2012/chart" uri="{CE6537A1-D6FC-4f65-9D91-7224C49458BB}">
                <c15:layout/>
                <c15:showLeaderLines val="0"/>
                <c15:leaderLines/>
              </c:ext>
            </c:extLst>
          </c:dLbls>
          <c:cat>
            <c:strRef>
              <c:f>Sheet1!$B$17:$C$17</c:f>
              <c:strCache>
                <c:ptCount val="2"/>
                <c:pt idx="0">
                  <c:v>预算收入</c:v>
                </c:pt>
                <c:pt idx="1">
                  <c:v>预算支出</c:v>
                </c:pt>
              </c:strCache>
            </c:strRef>
          </c:cat>
          <c:val>
            <c:numRef>
              <c:f>Sheet1!$B$18:$C$18</c:f>
              <c:numCache>
                <c:formatCode>General</c:formatCode>
                <c:ptCount val="2"/>
                <c:pt idx="0">
                  <c:v>7501.18</c:v>
                </c:pt>
                <c:pt idx="1">
                  <c:v>7501.18</c:v>
                </c:pt>
              </c:numCache>
            </c:numRef>
          </c:val>
        </c:ser>
        <c:ser>
          <c:idx val="1"/>
          <c:order val="1"/>
          <c:tx>
            <c:strRef>
              <c:f>Sheet1!$A$19</c:f>
              <c:strCache>
                <c:ptCount val="1"/>
                <c:pt idx="0">
                  <c:v>2019年</c:v>
                </c:pt>
              </c:strCache>
            </c:strRef>
          </c:tx>
          <c:invertIfNegative val="1"/>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1"/>
            <c:showVal val="1"/>
            <c:showCatName val="1"/>
            <c:showSerName val="1"/>
            <c:showPercent val="1"/>
            <c:showBubbleSize val="1"/>
            <c:showLeaderLines val="0"/>
            <c:extLst>
              <c:ext xmlns:c15="http://schemas.microsoft.com/office/drawing/2012/chart" uri="{CE6537A1-D6FC-4f65-9D91-7224C49458BB}">
                <c15:layout/>
                <c15:showLeaderLines val="0"/>
                <c15:leaderLines/>
              </c:ext>
            </c:extLst>
          </c:dLbls>
          <c:cat>
            <c:strRef>
              <c:f>Sheet1!$B$17:$C$17</c:f>
              <c:strCache>
                <c:ptCount val="2"/>
                <c:pt idx="0">
                  <c:v>预算收入</c:v>
                </c:pt>
                <c:pt idx="1">
                  <c:v>预算支出</c:v>
                </c:pt>
              </c:strCache>
            </c:strRef>
          </c:cat>
          <c:val>
            <c:numRef>
              <c:f>Sheet1!$B$19:$C$19</c:f>
              <c:numCache>
                <c:formatCode>General</c:formatCode>
                <c:ptCount val="2"/>
                <c:pt idx="0">
                  <c:v>5096.77</c:v>
                </c:pt>
                <c:pt idx="1">
                  <c:v>5091.74</c:v>
                </c:pt>
              </c:numCache>
            </c:numRef>
          </c:val>
        </c:ser>
        <c:dLbls>
          <c:showLegendKey val="0"/>
          <c:showVal val="0"/>
          <c:showCatName val="0"/>
          <c:showSerName val="0"/>
          <c:showPercent val="0"/>
          <c:showBubbleSize val="0"/>
        </c:dLbls>
        <c:gapWidth val="150"/>
        <c:axId val="249688832"/>
        <c:axId val="249690368"/>
      </c:barChart>
      <c:catAx>
        <c:axId val="249688832"/>
        <c:scaling>
          <c:orientation val="minMax"/>
        </c:scaling>
        <c:delete val="1"/>
        <c:axPos val="b"/>
        <c:majorTickMark val="cross"/>
        <c:minorTickMark val="cross"/>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9690368"/>
        <c:crosses val="autoZero"/>
        <c:auto val="1"/>
        <c:lblAlgn val="ctr"/>
        <c:lblOffset val="100"/>
        <c:noMultiLvlLbl val="1"/>
      </c:catAx>
      <c:valAx>
        <c:axId val="249690368"/>
        <c:scaling>
          <c:orientation val="minMax"/>
        </c:scaling>
        <c:delete val="1"/>
        <c:axPos val="l"/>
        <c:majorGridlines/>
        <c:numFmt formatCode="General" sourceLinked="1"/>
        <c:majorTickMark val="cross"/>
        <c:minorTickMark val="cross"/>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9688832"/>
        <c:crosses val="autoZero"/>
        <c:crossBetween val="between"/>
      </c:valAx>
    </c:plotArea>
    <c:legend>
      <c:legendPos val="r"/>
      <c:layout>
        <c:manualLayout>
          <c:xMode val="edge"/>
          <c:yMode val="edge"/>
          <c:x val="0.757159807854207"/>
          <c:y val="0.468796582613408"/>
          <c:w val="0.237808745604913"/>
          <c:h val="0.195227135069655"/>
        </c:manualLayout>
      </c:layout>
      <c:overlay val="1"/>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1"/>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dLbl>
              <c:idx val="2"/>
              <c:layout/>
              <c:dLblPos val="outEnd"/>
              <c:showLegendKey val="0"/>
              <c:showVal val="1"/>
              <c:showCatName val="0"/>
              <c:showSerName val="0"/>
              <c:showPercent val="0"/>
              <c:showBubbleSize val="0"/>
              <c:extLst>
                <c:ext xmlns:c15="http://schemas.microsoft.com/office/drawing/2012/chart" uri="{CE6537A1-D6FC-4f65-9D91-7224C49458BB}"/>
              </c:extLst>
            </c:dLbl>
            <c:dLbl>
              <c:idx val="3"/>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Office Excel 工作表 (2).xlsx]Sheet1'!$A$1:$A$4</c:f>
              <c:strCache>
                <c:ptCount val="4"/>
                <c:pt idx="0">
                  <c:v>2019年预算收入</c:v>
                </c:pt>
                <c:pt idx="1">
                  <c:v>2019年实际收入</c:v>
                </c:pt>
                <c:pt idx="2">
                  <c:v>2019年预算支出</c:v>
                </c:pt>
                <c:pt idx="3">
                  <c:v>2019年实际支出</c:v>
                </c:pt>
              </c:strCache>
            </c:strRef>
          </c:cat>
          <c:val>
            <c:numRef>
              <c:f>'[新建 Microsoft Office Excel 工作表 (2).xlsx]Sheet1'!$B$1:$B$4</c:f>
              <c:numCache>
                <c:formatCode>General</c:formatCode>
                <c:ptCount val="4"/>
                <c:pt idx="0">
                  <c:v>5259.84</c:v>
                </c:pt>
                <c:pt idx="1">
                  <c:v>5096.77</c:v>
                </c:pt>
                <c:pt idx="2">
                  <c:v>5259.84</c:v>
                </c:pt>
                <c:pt idx="3">
                  <c:v>5091.74</c:v>
                </c:pt>
              </c:numCache>
            </c:numRef>
          </c:val>
        </c:ser>
        <c:dLbls>
          <c:showLegendKey val="0"/>
          <c:showVal val="0"/>
          <c:showCatName val="0"/>
          <c:showSerName val="0"/>
          <c:showPercent val="0"/>
          <c:showBubbleSize val="0"/>
        </c:dLbls>
        <c:gapWidth val="219"/>
        <c:overlap val="-27"/>
        <c:axId val="261432306"/>
        <c:axId val="360870558"/>
      </c:barChart>
      <c:catAx>
        <c:axId val="26143230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60870558"/>
        <c:crosses val="autoZero"/>
        <c:auto val="0"/>
        <c:lblAlgn val="ctr"/>
        <c:lblOffset val="100"/>
        <c:noMultiLvlLbl val="0"/>
      </c:catAx>
      <c:valAx>
        <c:axId val="36087055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143230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Sheet1!$A$1:$A$2</c:f>
              <c:strCache>
                <c:ptCount val="2"/>
                <c:pt idx="0">
                  <c:v>一般公共服务</c:v>
                </c:pt>
                <c:pt idx="1">
                  <c:v>教育</c:v>
                </c:pt>
              </c:strCache>
            </c:strRef>
          </c:cat>
          <c:val>
            <c:numRef>
              <c:f>Sheet1!$B$1:$B$2</c:f>
              <c:numCache>
                <c:formatCode>0.00%</c:formatCode>
                <c:ptCount val="2"/>
                <c:pt idx="0">
                  <c:v>0.1682</c:v>
                </c:pt>
                <c:pt idx="1">
                  <c:v>0.8318</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1A3C44A-4EEE-4AFC-B6C8-C3FFBE5DA1B0}">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22</Pages>
  <Words>6305</Words>
  <Characters>910</Characters>
  <Lines>7</Lines>
  <Paragraphs>14</Paragraphs>
  <TotalTime>2</TotalTime>
  <ScaleCrop>false</ScaleCrop>
  <LinksUpToDate>false</LinksUpToDate>
  <CharactersWithSpaces>7201</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2021-07-05T01:51:18Z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