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pPr>
      <w: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t>增村镇人民政府</w:t>
      </w:r>
    </w:p>
    <w:p>
      <w:pPr>
        <w:snapToGrid w:val="0"/>
        <w:jc w:val="center"/>
        <w:rPr>
          <w:rFonts w:ascii="黑体" w:hAnsi="黑体" w:eastAsia="黑体" w:cs="黑体"/>
          <w:sz w:val="56"/>
          <w:szCs w:val="72"/>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745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numPr>
          <w:ilvl w:val="0"/>
          <w:numId w:val="0"/>
        </w:numPr>
        <w:ind w:firstLine="560" w:firstLineChars="200"/>
        <w:rPr>
          <w:rFonts w:ascii="????_GBK" w:eastAsia="Times New Roman" w:cs="Times New Roman"/>
          <w:sz w:val="28"/>
          <w:szCs w:val="28"/>
        </w:rPr>
      </w:pPr>
      <w:r>
        <w:rPr>
          <w:rFonts w:ascii="????_GBK" w:hAnsi="宋体" w:eastAsia="Times New Roman" w:cs="Times New Roman"/>
          <w:sz w:val="28"/>
          <w:szCs w:val="28"/>
        </w:rPr>
        <w:t>一、继续抓好项目建设</w:t>
      </w:r>
    </w:p>
    <w:p>
      <w:pPr>
        <w:ind w:firstLine="560"/>
        <w:rPr>
          <w:rFonts w:ascii="????_GBK" w:eastAsia="Times New Roman" w:cs="Times New Roman"/>
          <w:sz w:val="28"/>
          <w:szCs w:val="28"/>
        </w:rPr>
      </w:pPr>
      <w:r>
        <w:rPr>
          <w:rFonts w:ascii="????_GBK" w:hAnsi="宋体" w:eastAsia="Times New Roman" w:cs="Times New Roman"/>
          <w:sz w:val="28"/>
          <w:szCs w:val="28"/>
        </w:rPr>
        <w:t>二、着力做好调结构转方式</w:t>
      </w:r>
    </w:p>
    <w:p>
      <w:pPr>
        <w:ind w:firstLine="560"/>
        <w:rPr>
          <w:rFonts w:ascii="????_GBK" w:eastAsia="Times New Roman" w:cs="Times New Roman"/>
          <w:sz w:val="28"/>
          <w:szCs w:val="28"/>
        </w:rPr>
      </w:pPr>
      <w:r>
        <w:rPr>
          <w:rFonts w:ascii="????_GBK" w:hAnsi="宋体" w:eastAsia="Times New Roman" w:cs="Times New Roman"/>
          <w:sz w:val="28"/>
          <w:szCs w:val="28"/>
        </w:rPr>
        <w:t>三、全面落实统筹发展</w:t>
      </w:r>
    </w:p>
    <w:p>
      <w:pPr>
        <w:ind w:firstLine="560"/>
        <w:rPr>
          <w:rFonts w:ascii="????_GBK" w:eastAsia="Times New Roman" w:cs="Times New Roman"/>
          <w:sz w:val="28"/>
          <w:szCs w:val="28"/>
        </w:rPr>
      </w:pPr>
      <w:r>
        <w:rPr>
          <w:rFonts w:ascii="????_GBK" w:hAnsi="宋体" w:eastAsia="Times New Roman" w:cs="Times New Roman"/>
          <w:sz w:val="28"/>
          <w:szCs w:val="28"/>
        </w:rPr>
        <w:t>四、治理生态环境</w:t>
      </w:r>
    </w:p>
    <w:p>
      <w:pPr>
        <w:ind w:firstLine="560"/>
        <w:rPr>
          <w:rFonts w:ascii="????_GBK" w:eastAsia="Times New Roman" w:cs="Times New Roman"/>
          <w:sz w:val="28"/>
          <w:szCs w:val="28"/>
        </w:rPr>
      </w:pPr>
      <w:r>
        <w:rPr>
          <w:rFonts w:ascii="????_GBK" w:hAnsi="宋体" w:eastAsia="Times New Roman" w:cs="Times New Roman"/>
          <w:sz w:val="28"/>
          <w:szCs w:val="28"/>
        </w:rPr>
        <w:t>五、优先保障社会民生</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05"/>
        <w:gridCol w:w="212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序号</w:t>
            </w:r>
          </w:p>
        </w:tc>
        <w:tc>
          <w:tcPr>
            <w:tcW w:w="3805" w:type="dxa"/>
            <w:vAlign w:val="center"/>
          </w:tcPr>
          <w:p>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单位名称</w:t>
            </w:r>
          </w:p>
        </w:tc>
        <w:tc>
          <w:tcPr>
            <w:tcW w:w="2125" w:type="dxa"/>
            <w:vAlign w:val="center"/>
          </w:tcPr>
          <w:p>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单位基本性质</w:t>
            </w:r>
          </w:p>
        </w:tc>
        <w:tc>
          <w:tcPr>
            <w:tcW w:w="2665" w:type="dxa"/>
            <w:vAlign w:val="center"/>
          </w:tcPr>
          <w:p>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1</w:t>
            </w:r>
          </w:p>
        </w:tc>
        <w:tc>
          <w:tcPr>
            <w:tcW w:w="3805" w:type="dxa"/>
          </w:tcPr>
          <w:p>
            <w:pPr>
              <w:spacing w:after="0" w:line="560" w:lineRule="exact"/>
              <w:rPr>
                <w:rFonts w:hint="eastAsia" w:ascii="仿宋" w:hAnsi="仿宋" w:eastAsia="仿宋" w:cs="仿宋"/>
                <w:kern w:val="0"/>
                <w:sz w:val="32"/>
                <w:szCs w:val="32"/>
              </w:rPr>
            </w:pPr>
            <w:r>
              <w:rPr>
                <w:rFonts w:hint="eastAsia" w:ascii="仿宋" w:hAnsi="仿宋" w:eastAsia="仿宋" w:cs="仿宋"/>
                <w:sz w:val="32"/>
                <w:szCs w:val="32"/>
              </w:rPr>
              <w:t>石家庄市藁城区</w:t>
            </w:r>
            <w:r>
              <w:rPr>
                <w:rFonts w:hint="eastAsia" w:ascii="仿宋" w:hAnsi="仿宋" w:eastAsia="仿宋" w:cs="仿宋"/>
                <w:sz w:val="32"/>
                <w:szCs w:val="32"/>
                <w:lang w:eastAsia="zh-CN"/>
              </w:rPr>
              <w:t>增村镇</w:t>
            </w:r>
            <w:r>
              <w:rPr>
                <w:rFonts w:hint="eastAsia" w:ascii="仿宋" w:hAnsi="仿宋" w:eastAsia="仿宋" w:cs="仿宋"/>
                <w:sz w:val="32"/>
                <w:szCs w:val="32"/>
              </w:rPr>
              <w:t>人民政府</w:t>
            </w:r>
          </w:p>
        </w:tc>
        <w:tc>
          <w:tcPr>
            <w:tcW w:w="2125" w:type="dxa"/>
          </w:tcPr>
          <w:p>
            <w:pPr>
              <w:spacing w:after="0" w:line="560" w:lineRule="exact"/>
              <w:jc w:val="center"/>
              <w:rPr>
                <w:rFonts w:hint="eastAsia" w:ascii="仿宋" w:hAnsi="仿宋" w:eastAsia="仿宋" w:cs="仿宋"/>
                <w:kern w:val="0"/>
                <w:sz w:val="32"/>
                <w:szCs w:val="32"/>
                <w:lang w:eastAsia="zh-CN"/>
              </w:rPr>
            </w:pPr>
            <w:r>
              <w:rPr>
                <w:rFonts w:hint="eastAsia" w:ascii="仿宋" w:hAnsi="仿宋" w:eastAsia="仿宋" w:cs="仿宋"/>
                <w:sz w:val="32"/>
                <w:szCs w:val="32"/>
              </w:rPr>
              <w:t>行政</w:t>
            </w:r>
            <w:r>
              <w:rPr>
                <w:rFonts w:hint="eastAsia" w:ascii="仿宋" w:hAnsi="仿宋" w:eastAsia="仿宋" w:cs="仿宋"/>
                <w:sz w:val="32"/>
                <w:szCs w:val="32"/>
                <w:lang w:eastAsia="zh-CN"/>
              </w:rPr>
              <w:t>单位</w:t>
            </w:r>
          </w:p>
        </w:tc>
        <w:tc>
          <w:tcPr>
            <w:tcW w:w="2665" w:type="dxa"/>
          </w:tcPr>
          <w:p>
            <w:pPr>
              <w:spacing w:after="0" w:line="560" w:lineRule="exact"/>
              <w:jc w:val="center"/>
              <w:rPr>
                <w:rFonts w:hint="eastAsia" w:ascii="仿宋" w:hAnsi="仿宋" w:eastAsia="仿宋" w:cs="仿宋"/>
                <w:kern w:val="0"/>
                <w:sz w:val="32"/>
                <w:szCs w:val="32"/>
              </w:rPr>
            </w:pPr>
            <w:r>
              <w:rPr>
                <w:rFonts w:hint="eastAsia" w:ascii="仿宋" w:hAnsi="仿宋" w:eastAsia="仿宋" w:cs="仿宋"/>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985" w:type="dxa"/>
          </w:tcPr>
          <w:p>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2</w:t>
            </w:r>
          </w:p>
        </w:tc>
        <w:tc>
          <w:tcPr>
            <w:tcW w:w="3805" w:type="dxa"/>
          </w:tcPr>
          <w:p>
            <w:pPr>
              <w:spacing w:after="0" w:line="560" w:lineRule="exact"/>
              <w:rPr>
                <w:rFonts w:hint="eastAsia" w:ascii="仿宋" w:hAnsi="仿宋" w:eastAsia="仿宋" w:cs="仿宋"/>
                <w:kern w:val="0"/>
                <w:sz w:val="32"/>
                <w:szCs w:val="32"/>
              </w:rPr>
            </w:pPr>
            <w:r>
              <w:rPr>
                <w:rFonts w:hint="eastAsia" w:ascii="仿宋" w:hAnsi="仿宋" w:eastAsia="仿宋" w:cs="仿宋"/>
                <w:sz w:val="32"/>
                <w:szCs w:val="32"/>
              </w:rPr>
              <w:t>石家庄市藁城区</w:t>
            </w:r>
            <w:r>
              <w:rPr>
                <w:rFonts w:hint="eastAsia" w:ascii="仿宋" w:hAnsi="仿宋" w:eastAsia="仿宋" w:cs="仿宋"/>
                <w:sz w:val="32"/>
                <w:szCs w:val="32"/>
                <w:lang w:eastAsia="zh-CN"/>
              </w:rPr>
              <w:t>增村</w:t>
            </w:r>
            <w:r>
              <w:rPr>
                <w:rFonts w:hint="eastAsia" w:ascii="仿宋" w:hAnsi="仿宋" w:eastAsia="仿宋" w:cs="仿宋"/>
                <w:sz w:val="32"/>
                <w:szCs w:val="32"/>
              </w:rPr>
              <w:t>镇中心校</w:t>
            </w:r>
          </w:p>
        </w:tc>
        <w:tc>
          <w:tcPr>
            <w:tcW w:w="2125" w:type="dxa"/>
          </w:tcPr>
          <w:p>
            <w:pPr>
              <w:spacing w:after="0" w:line="560" w:lineRule="exact"/>
              <w:jc w:val="center"/>
              <w:rPr>
                <w:rFonts w:hint="eastAsia" w:ascii="仿宋" w:hAnsi="仿宋" w:eastAsia="仿宋" w:cs="仿宋"/>
                <w:kern w:val="0"/>
                <w:sz w:val="32"/>
                <w:szCs w:val="32"/>
                <w:lang w:eastAsia="zh-CN"/>
              </w:rPr>
            </w:pPr>
            <w:r>
              <w:rPr>
                <w:rFonts w:hint="eastAsia" w:ascii="仿宋" w:hAnsi="仿宋" w:eastAsia="仿宋" w:cs="仿宋"/>
                <w:sz w:val="32"/>
                <w:szCs w:val="32"/>
                <w:lang w:eastAsia="zh-CN"/>
              </w:rPr>
              <w:t>财政补助</w:t>
            </w:r>
            <w:r>
              <w:rPr>
                <w:rFonts w:hint="eastAsia" w:ascii="仿宋" w:hAnsi="仿宋" w:eastAsia="仿宋" w:cs="仿宋"/>
                <w:sz w:val="32"/>
                <w:szCs w:val="32"/>
              </w:rPr>
              <w:t>事业</w:t>
            </w:r>
            <w:r>
              <w:rPr>
                <w:rFonts w:hint="eastAsia" w:ascii="仿宋" w:hAnsi="仿宋" w:eastAsia="仿宋" w:cs="仿宋"/>
                <w:sz w:val="32"/>
                <w:szCs w:val="32"/>
                <w:lang w:eastAsia="zh-CN"/>
              </w:rPr>
              <w:t>单位</w:t>
            </w:r>
          </w:p>
        </w:tc>
        <w:tc>
          <w:tcPr>
            <w:tcW w:w="2665" w:type="dxa"/>
          </w:tcPr>
          <w:p>
            <w:pPr>
              <w:spacing w:after="0" w:line="560" w:lineRule="exact"/>
              <w:jc w:val="center"/>
              <w:rPr>
                <w:rFonts w:hint="eastAsia" w:ascii="仿宋" w:hAnsi="仿宋" w:eastAsia="仿宋" w:cs="仿宋"/>
                <w:kern w:val="0"/>
                <w:sz w:val="32"/>
                <w:szCs w:val="32"/>
              </w:rPr>
            </w:pPr>
            <w:r>
              <w:rPr>
                <w:rFonts w:hint="eastAsia" w:ascii="仿宋" w:hAnsi="仿宋" w:eastAsia="仿宋" w:cs="仿宋"/>
                <w:sz w:val="32"/>
                <w:szCs w:val="32"/>
              </w:rPr>
              <w:t>财政性资金基本保证</w:t>
            </w:r>
          </w:p>
        </w:tc>
      </w:tr>
    </w:tbl>
    <w:p>
      <w:pPr>
        <w:widowControl/>
        <w:spacing w:after="160" w:line="580" w:lineRule="exact"/>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6" w:type="first"/>
          <w:headerReference r:id="rId14" w:type="default"/>
          <w:footerReference r:id="rId15"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7"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950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1217.7965</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20.79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一般财政收入减少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765.0518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16.49</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400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8.62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教育</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3473.8424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74.89</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r>
        <w:rPr>
          <w:rFonts w:hint="eastAsia" w:ascii="黑体" w:hAnsi="Calibri" w:eastAsia="黑体" w:cs="Times New Roman"/>
          <w:b/>
          <w:bCs/>
          <w:sz w:val="32"/>
          <w:szCs w:val="32"/>
          <w:lang w:eastAsia="zh-CN"/>
        </w:rPr>
        <w:drawing>
          <wp:anchor distT="0" distB="0" distL="114300" distR="114300" simplePos="0" relativeHeight="251673600" behindDoc="1" locked="0" layoutInCell="1" allowOverlap="1">
            <wp:simplePos x="0" y="0"/>
            <wp:positionH relativeFrom="column">
              <wp:posOffset>435610</wp:posOffset>
            </wp:positionH>
            <wp:positionV relativeFrom="page">
              <wp:posOffset>5878195</wp:posOffset>
            </wp:positionV>
            <wp:extent cx="4762500" cy="3207385"/>
            <wp:effectExtent l="4445" t="4445" r="14605" b="7620"/>
            <wp:wrapTight wrapText="bothSides">
              <wp:wrapPolygon>
                <wp:start x="-20" y="-30"/>
                <wp:lineTo x="-20" y="21523"/>
                <wp:lineTo x="21580" y="21523"/>
                <wp:lineTo x="21580" y="-30"/>
                <wp:lineTo x="-20" y="-30"/>
              </wp:wrapPolygon>
            </wp:wrapTight>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keepLines/>
        <w:snapToGrid w:val="0"/>
        <w:spacing w:line="580" w:lineRule="exact"/>
        <w:ind w:firstLine="643" w:firstLineChars="200"/>
        <w:outlineLvl w:val="1"/>
        <w:rPr>
          <w:rFonts w:hint="eastAsia" w:ascii="黑体" w:hAnsi="Calibri" w:eastAsia="黑体" w:cs="Times New Roman"/>
          <w:b/>
          <w:bCs/>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1217.7965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20.79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一般财政收入减少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1217.7965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20.79.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压缩开支</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5648" behindDoc="1" locked="0" layoutInCell="1" allowOverlap="1">
            <wp:simplePos x="0" y="0"/>
            <wp:positionH relativeFrom="column">
              <wp:posOffset>77470</wp:posOffset>
            </wp:positionH>
            <wp:positionV relativeFrom="paragraph">
              <wp:posOffset>323850</wp:posOffset>
            </wp:positionV>
            <wp:extent cx="5271135" cy="2937510"/>
            <wp:effectExtent l="4445" t="4445" r="20320" b="1079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321" w:firstLineChars="1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87.36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670.88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小于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eastAsia="zh-CN"/>
        </w:rPr>
        <w:t>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87.36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670.88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小于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eastAsia="zh-CN"/>
        </w:rPr>
        <w:t>收入减少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5648" behindDoc="0" locked="0" layoutInCell="1" allowOverlap="1">
            <wp:simplePos x="0" y="0"/>
            <wp:positionH relativeFrom="column">
              <wp:posOffset>109220</wp:posOffset>
            </wp:positionH>
            <wp:positionV relativeFrom="paragraph">
              <wp:posOffset>314960</wp:posOffset>
            </wp:positionV>
            <wp:extent cx="4937760" cy="2634615"/>
            <wp:effectExtent l="4445" t="4445" r="10795" b="8890"/>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4638.8943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765.0518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16.49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400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8.62</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3473.8424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74.89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黑体" w:hAnsi="Calibri" w:eastAsia="黑体" w:cs="Times New Roman"/>
          <w:b/>
          <w:bCs/>
          <w:sz w:val="32"/>
          <w:szCs w:val="32"/>
          <w:lang w:eastAsia="zh-CN"/>
        </w:rPr>
        <w:drawing>
          <wp:anchor distT="0" distB="0" distL="114300" distR="114300" simplePos="0" relativeHeight="251674624" behindDoc="0" locked="0" layoutInCell="1" allowOverlap="1">
            <wp:simplePos x="0" y="0"/>
            <wp:positionH relativeFrom="column">
              <wp:posOffset>297180</wp:posOffset>
            </wp:positionH>
            <wp:positionV relativeFrom="page">
              <wp:posOffset>1813560</wp:posOffset>
            </wp:positionV>
            <wp:extent cx="4810760" cy="2731770"/>
            <wp:effectExtent l="4445" t="4445" r="23495" b="698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4238.8943</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4034.4993</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134.1714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4.1504</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94.33</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0.2496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公务用车运行费</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0.0945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压缩开支</w:t>
      </w:r>
      <w:r>
        <w:rPr>
          <w:rFonts w:hint="eastAsia" w:ascii="仿宋_GB2312" w:hAnsi="Times New Roman" w:eastAsia="仿宋_GB2312" w:cs="DengXian-Regular"/>
          <w:sz w:val="32"/>
          <w:szCs w:val="32"/>
        </w:rPr>
        <w:t>。具体情况如下：</w:t>
      </w:r>
    </w:p>
    <w:p>
      <w:pPr>
        <w:numPr>
          <w:numId w:val="0"/>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val="en-US" w:eastAsia="zh-CN"/>
        </w:rPr>
        <w:t>与上年持平</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4.1504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0.2496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压缩开支</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0.0945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压缩开支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b/>
          <w:sz w:val="32"/>
          <w:szCs w:val="32"/>
          <w:lang w:eastAsia="zh-CN"/>
        </w:rPr>
        <w:t>：</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0.2496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5.67</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0.0945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，主要是压缩开支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黑体" w:hAnsi="Times New Roman" w:eastAsia="黑体" w:cs="Times New Roman"/>
          <w:sz w:val="32"/>
          <w:szCs w:val="40"/>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0万元</w:t>
      </w:r>
      <w:r>
        <w:rPr>
          <w:rFonts w:hint="eastAsia" w:ascii="楷体_GB2312" w:hAnsi="Times New Roman" w:eastAsia="楷体_GB2312" w:cs="DengXian-Bold"/>
          <w:b/>
          <w:bCs/>
          <w:sz w:val="32"/>
          <w:szCs w:val="32"/>
        </w:rPr>
        <w:t>。</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与上年持平。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hint="default" w:ascii="仿宋_GB2312" w:eastAsia="仿宋_GB2312" w:cs="DengXian-Regular"/>
          <w:color w:val="auto"/>
          <w:sz w:val="32"/>
          <w:szCs w:val="32"/>
          <w:shd w:val="clear" w:color="auto" w:fill="auto"/>
          <w:lang w:val="en-US"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470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。从评价情况来看</w:t>
      </w:r>
      <w:r>
        <w:rPr>
          <w:rFonts w:hint="eastAsia" w:ascii="仿宋_GB2312" w:eastAsia="仿宋_GB2312" w:cs="DengXian-Regular"/>
          <w:sz w:val="32"/>
          <w:szCs w:val="32"/>
          <w:shd w:val="clear" w:color="auto" w:fill="auto"/>
        </w:rPr>
        <w:t>评价结果为优秀的项目有</w:t>
      </w:r>
      <w:r>
        <w:rPr>
          <w:rFonts w:hint="eastAsia" w:ascii="仿宋_GB2312" w:eastAsia="仿宋_GB2312" w:cs="DengXian-Regular"/>
          <w:sz w:val="32"/>
          <w:szCs w:val="32"/>
          <w:shd w:val="clear" w:color="auto" w:fill="auto"/>
          <w:lang w:val="en-US" w:eastAsia="zh-CN"/>
        </w:rPr>
        <w:t>6</w:t>
      </w:r>
      <w:r>
        <w:rPr>
          <w:rFonts w:hint="eastAsia" w:ascii="仿宋_GB2312" w:eastAsia="仿宋_GB2312" w:cs="DengXian-Regular"/>
          <w:sz w:val="32"/>
          <w:szCs w:val="32"/>
          <w:shd w:val="clear" w:color="auto" w:fill="auto"/>
        </w:rPr>
        <w:t>个</w:t>
      </w:r>
      <w:r>
        <w:rPr>
          <w:rFonts w:hint="eastAsia" w:ascii="仿宋_GB2312" w:hAnsi="仿宋_GB2312" w:eastAsia="仿宋_GB2312" w:cs="仿宋_GB2312"/>
          <w:sz w:val="32"/>
          <w:szCs w:val="32"/>
        </w:rPr>
        <w:t>组织对2019年度政府性基金预算项目支出开展绩效自评，共涉及资金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万元，。组织对</w:t>
      </w:r>
      <w:r>
        <w:rPr>
          <w:rFonts w:hint="eastAsia" w:ascii="仿宋_GB2312" w:hAnsi="仿宋_GB2312" w:eastAsia="仿宋_GB2312" w:cs="仿宋_GB2312"/>
          <w:sz w:val="32"/>
          <w:szCs w:val="32"/>
          <w:lang w:val="en-US" w:eastAsia="zh-CN"/>
        </w:rPr>
        <w:t>节能环保</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470</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效果优秀。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620" w:lineRule="exact"/>
        <w:ind w:firstLine="640" w:firstLineChars="200"/>
        <w:jc w:val="left"/>
        <w:rPr>
          <w:rFonts w:ascii="仿宋_GB2312" w:eastAsia="仿宋_GB2312" w:cs="DengXian-Regular"/>
          <w:sz w:val="32"/>
          <w:szCs w:val="32"/>
          <w:shd w:val="clear" w:color="auto" w:fill="auto"/>
        </w:rPr>
      </w:pPr>
      <w:r>
        <w:rPr>
          <w:rFonts w:hint="eastAsia" w:ascii="仿宋_GB2312" w:hAnsi="仿宋_GB2312" w:eastAsia="仿宋_GB2312" w:cs="仿宋_GB2312"/>
          <w:sz w:val="32"/>
          <w:szCs w:val="32"/>
        </w:rPr>
        <w:t>本部门在今年部门决算公开中反映</w:t>
      </w:r>
      <w:r>
        <w:rPr>
          <w:rFonts w:hint="eastAsia" w:ascii="方正小标宋简体" w:hAnsi="方正小标宋简体" w:eastAsia="方正小标宋简体" w:cs="方正小标宋简体"/>
          <w:sz w:val="28"/>
          <w:szCs w:val="28"/>
          <w:lang w:val="en-US" w:eastAsia="zh-CN"/>
        </w:rPr>
        <w:t>节能环保</w:t>
      </w:r>
      <w:r>
        <w:rPr>
          <w:rFonts w:hint="eastAsia" w:ascii="方正小标宋简体" w:hAnsi="方正小标宋简体" w:eastAsia="方正小标宋简体" w:cs="方正小标宋简体"/>
          <w:sz w:val="28"/>
          <w:szCs w:val="28"/>
          <w:lang w:eastAsia="zh-CN"/>
        </w:rPr>
        <w:t>运等</w:t>
      </w:r>
      <w:r>
        <w:rPr>
          <w:rFonts w:hint="eastAsia" w:ascii="仿宋_GB2312" w:hAnsi="仿宋_GB2312" w:eastAsia="仿宋_GB2312" w:cs="仿宋_GB2312"/>
          <w:sz w:val="32"/>
          <w:szCs w:val="32"/>
        </w:rPr>
        <w:t>项目绩效自评结果。</w:t>
      </w:r>
    </w:p>
    <w:p>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节能环保</w:t>
      </w:r>
      <w:r>
        <w:rPr>
          <w:rFonts w:hint="eastAsia" w:ascii="仿宋_GB2312" w:hAnsi="仿宋_GB2312" w:eastAsia="仿宋_GB2312" w:cs="仿宋_GB2312"/>
          <w:sz w:val="32"/>
          <w:szCs w:val="32"/>
        </w:rPr>
        <w:t>自评综述：</w:t>
      </w:r>
      <w:r>
        <w:rPr>
          <w:rFonts w:hint="eastAsia" w:ascii="仿宋" w:hAnsi="仿宋" w:eastAsia="仿宋"/>
          <w:sz w:val="32"/>
          <w:szCs w:val="32"/>
        </w:rPr>
        <w:t>根据项目执行情况和项目绩效情况</w:t>
      </w:r>
      <w:r>
        <w:rPr>
          <w:rFonts w:hint="eastAsia" w:ascii="仿宋" w:hAnsi="仿宋" w:eastAsia="仿宋"/>
          <w:sz w:val="30"/>
          <w:szCs w:val="30"/>
        </w:rPr>
        <w:t>，</w:t>
      </w:r>
      <w:r>
        <w:rPr>
          <w:rFonts w:hint="eastAsia" w:ascii="方正小标宋简体" w:hAnsi="方正小标宋简体" w:eastAsia="方正小标宋简体" w:cs="方正小标宋简体"/>
          <w:sz w:val="30"/>
          <w:szCs w:val="30"/>
          <w:lang w:val="en-US" w:eastAsia="zh-CN"/>
        </w:rPr>
        <w:t>节能环保</w:t>
      </w:r>
      <w:r>
        <w:rPr>
          <w:rFonts w:hint="eastAsia" w:ascii="仿宋" w:hAnsi="仿宋" w:eastAsia="仿宋"/>
          <w:sz w:val="32"/>
          <w:szCs w:val="32"/>
        </w:rPr>
        <w:t>绩效评价得分为9</w:t>
      </w:r>
      <w:r>
        <w:rPr>
          <w:rFonts w:hint="eastAsia" w:ascii="仿宋" w:hAnsi="仿宋" w:eastAsia="仿宋"/>
          <w:sz w:val="32"/>
          <w:szCs w:val="32"/>
          <w:lang w:val="en-US" w:eastAsia="zh-CN"/>
        </w:rPr>
        <w:t>8</w:t>
      </w:r>
      <w:r>
        <w:rPr>
          <w:rFonts w:hint="eastAsia" w:ascii="仿宋" w:hAnsi="仿宋" w:eastAsia="仿宋"/>
          <w:sz w:val="32"/>
          <w:szCs w:val="32"/>
        </w:rPr>
        <w:t>分，评价等级为优秀</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 w:hAnsi="仿宋" w:eastAsia="仿宋"/>
          <w:sz w:val="32"/>
          <w:szCs w:val="32"/>
        </w:rPr>
        <w:t>绩效指标权重根据本项目实际情况确定，总分设定为100分。产出指标40分，</w:t>
      </w:r>
      <w:r>
        <w:rPr>
          <w:rFonts w:hint="eastAsia" w:ascii="仿宋" w:hAnsi="仿宋" w:eastAsia="仿宋"/>
          <w:sz w:val="32"/>
          <w:szCs w:val="32"/>
          <w:lang w:eastAsia="zh-CN"/>
        </w:rPr>
        <w:t>包括项目经费拨付率</w:t>
      </w:r>
      <w:r>
        <w:rPr>
          <w:rFonts w:hint="eastAsia" w:ascii="仿宋" w:hAnsi="仿宋" w:eastAsia="仿宋"/>
          <w:sz w:val="32"/>
          <w:szCs w:val="32"/>
          <w:lang w:val="en-US" w:eastAsia="zh-CN"/>
        </w:rPr>
        <w:t>10分、项目资金拨付额度10分，工作完成及时率10分；</w:t>
      </w:r>
      <w:r>
        <w:rPr>
          <w:rFonts w:hint="eastAsia" w:ascii="仿宋" w:hAnsi="仿宋" w:eastAsia="仿宋"/>
          <w:sz w:val="32"/>
          <w:szCs w:val="32"/>
        </w:rPr>
        <w:t>预算执行率指标10分，包括预算资金</w:t>
      </w:r>
      <w:r>
        <w:rPr>
          <w:rFonts w:hint="eastAsia" w:ascii="仿宋" w:hAnsi="仿宋" w:eastAsia="仿宋"/>
          <w:sz w:val="32"/>
          <w:szCs w:val="32"/>
          <w:lang w:eastAsia="zh-CN"/>
        </w:rPr>
        <w:t>拨付进度</w:t>
      </w:r>
      <w:r>
        <w:rPr>
          <w:rFonts w:hint="eastAsia" w:ascii="仿宋" w:hAnsi="仿宋" w:eastAsia="仿宋"/>
          <w:sz w:val="32"/>
          <w:szCs w:val="32"/>
        </w:rPr>
        <w:t>10分；效益指标40分，包括</w:t>
      </w:r>
      <w:r>
        <w:rPr>
          <w:rFonts w:hint="eastAsia" w:ascii="仿宋" w:hAnsi="仿宋" w:eastAsia="仿宋"/>
          <w:sz w:val="32"/>
          <w:szCs w:val="32"/>
          <w:lang w:eastAsia="zh-CN"/>
        </w:rPr>
        <w:t>费用支付</w:t>
      </w:r>
      <w:r>
        <w:rPr>
          <w:rFonts w:hint="eastAsia" w:ascii="仿宋" w:hAnsi="仿宋" w:eastAsia="仿宋"/>
          <w:sz w:val="32"/>
          <w:szCs w:val="32"/>
        </w:rPr>
        <w:t>完成率</w:t>
      </w:r>
      <w:r>
        <w:rPr>
          <w:rFonts w:hint="eastAsia" w:ascii="仿宋" w:hAnsi="仿宋" w:eastAsia="仿宋"/>
          <w:sz w:val="32"/>
          <w:szCs w:val="32"/>
          <w:lang w:val="en-US" w:eastAsia="zh-CN"/>
        </w:rPr>
        <w:t>20分</w:t>
      </w:r>
      <w:r>
        <w:rPr>
          <w:rFonts w:hint="eastAsia" w:ascii="仿宋" w:hAnsi="仿宋" w:eastAsia="仿宋"/>
          <w:sz w:val="32"/>
          <w:szCs w:val="32"/>
        </w:rPr>
        <w:t>、保障人民群众生产生顺利开展</w:t>
      </w:r>
      <w:r>
        <w:rPr>
          <w:rFonts w:hint="eastAsia" w:ascii="仿宋" w:hAnsi="仿宋" w:eastAsia="仿宋"/>
          <w:sz w:val="32"/>
          <w:szCs w:val="32"/>
          <w:lang w:val="en-US" w:eastAsia="zh-CN"/>
        </w:rPr>
        <w:t>20分；</w:t>
      </w:r>
      <w:r>
        <w:rPr>
          <w:rFonts w:hint="eastAsia" w:ascii="仿宋" w:hAnsi="仿宋" w:eastAsia="仿宋"/>
          <w:sz w:val="32"/>
          <w:szCs w:val="32"/>
        </w:rPr>
        <w:t>满意度指标10分，包括群众满意度10分。</w:t>
      </w:r>
    </w:p>
    <w:p>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从该项目的实施情况来看，整个项目在资金安排、使用的过程中在某些方面存在不足，对于项目支出运行实践经验还有所欠缺，相关制度建设还有待进一步加强。</w:t>
      </w:r>
    </w:p>
    <w:p>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rPr>
        <w:t>下一步改进措施：</w:t>
      </w:r>
      <w:r>
        <w:rPr>
          <w:rFonts w:hint="eastAsia" w:ascii="仿宋" w:hAnsi="仿宋" w:eastAsia="仿宋"/>
          <w:sz w:val="32"/>
          <w:szCs w:val="32"/>
        </w:rPr>
        <w:t>接下来的有关项目中我单位将尽量做到科学、合理的分配资金，在财政资金按时到位的情况下，有序进行各项工作，以确保各项工作保质完成。</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其他项目自评结果附表。</w:t>
      </w:r>
    </w:p>
    <w:tbl>
      <w:tblPr>
        <w:tblStyle w:val="6"/>
        <w:tblpPr w:leftFromText="180" w:rightFromText="180" w:vertAnchor="text" w:horzAnchor="page" w:tblpX="687" w:tblpY="905"/>
        <w:tblOverlap w:val="never"/>
        <w:tblW w:w="10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05"/>
        <w:gridCol w:w="1500"/>
        <w:gridCol w:w="990"/>
        <w:gridCol w:w="1410"/>
        <w:gridCol w:w="1080"/>
        <w:gridCol w:w="1320"/>
        <w:gridCol w:w="1275"/>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附件1</w:t>
            </w:r>
          </w:p>
        </w:tc>
        <w:tc>
          <w:tcPr>
            <w:tcW w:w="150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填报单位：</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增村镇人民政府</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单位金额：万元</w:t>
            </w:r>
          </w:p>
        </w:tc>
        <w:tc>
          <w:tcPr>
            <w:tcW w:w="154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一、基本情况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项目名称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环保治理</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实施（主管单位）</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增村镇人民政府</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二、预算执行</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nil"/>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预算安排情况（调整后）</w:t>
            </w:r>
          </w:p>
        </w:tc>
        <w:tc>
          <w:tcPr>
            <w:tcW w:w="990" w:type="dxa"/>
            <w:tcBorders>
              <w:top w:val="single" w:color="auto" w:sz="6" w:space="0"/>
              <w:left w:val="nil"/>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资金到位情况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资金执行情况</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到位数：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执行数：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400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三、目标完成</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年度预算目标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具体完成情况</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环保治理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木刀沟整治</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605" w:type="dxa"/>
            <w:tcBorders>
              <w:top w:val="single" w:color="auto" w:sz="6" w:space="0"/>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四、年度绩效指标完成情况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一级指标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二级指标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三级指标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预期指标值</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实际完成值</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产出指标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（40分）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数量指标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项目资金拨付率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质量指标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项目资金拨付额度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时效指标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工作完成及时率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成本指标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预算执行率指标（10分）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w:t>
            </w:r>
          </w:p>
          <w:p>
            <w:pPr>
              <w:spacing w:beforeLines="0" w:afterLines="0"/>
              <w:jc w:val="center"/>
              <w:rPr>
                <w:rFonts w:hint="eastAsia" w:ascii="宋体" w:hAnsi="宋体"/>
                <w:color w:val="000000"/>
                <w:sz w:val="22"/>
                <w:szCs w:val="24"/>
              </w:rPr>
            </w:pPr>
            <w:r>
              <w:rPr>
                <w:rFonts w:hint="eastAsia" w:ascii="宋体" w:hAnsi="宋体"/>
                <w:color w:val="000000"/>
                <w:sz w:val="22"/>
                <w:szCs w:val="24"/>
              </w:rPr>
              <w:t>执行率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拨付进度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效益指标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经济效益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补偿款发放完成率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社会效益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18"/>
                <w:szCs w:val="24"/>
              </w:rPr>
            </w:pPr>
            <w:r>
              <w:rPr>
                <w:rFonts w:hint="eastAsia" w:ascii="宋体" w:hAnsi="宋体"/>
                <w:color w:val="000000"/>
                <w:sz w:val="18"/>
                <w:szCs w:val="24"/>
              </w:rPr>
              <w:t>保障人民群众生产生顺利开展</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18"/>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可持续影响指标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群众满意度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总分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160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五、存在问题、原因及下一步整改措施</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填报人：</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张月敏</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联系电话：</w:t>
            </w: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88079003</w:t>
            </w:r>
          </w:p>
        </w:tc>
        <w:tc>
          <w:tcPr>
            <w:tcW w:w="127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0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r>
    </w:tbl>
    <w:tbl>
      <w:tblPr>
        <w:tblStyle w:val="6"/>
        <w:tblpPr w:leftFromText="180" w:rightFromText="180" w:vertAnchor="text" w:horzAnchor="page" w:tblpX="720" w:tblpY="337"/>
        <w:tblOverlap w:val="never"/>
        <w:tblW w:w="112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152"/>
        <w:gridCol w:w="1500"/>
        <w:gridCol w:w="990"/>
        <w:gridCol w:w="1410"/>
        <w:gridCol w:w="1080"/>
        <w:gridCol w:w="1320"/>
        <w:gridCol w:w="1275"/>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填报单位：</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增村镇人民政府</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单位金额：万元</w:t>
            </w:r>
          </w:p>
        </w:tc>
        <w:tc>
          <w:tcPr>
            <w:tcW w:w="154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一、基本情况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项目名称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环保治理、土地违法、安全生产、食品安全、信访等支出</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实施（主管单位）</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增村镇人民政府</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二、预算执行</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nil"/>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预算安排情况（调整后）</w:t>
            </w:r>
          </w:p>
        </w:tc>
        <w:tc>
          <w:tcPr>
            <w:tcW w:w="990" w:type="dxa"/>
            <w:tcBorders>
              <w:top w:val="single" w:color="auto" w:sz="6" w:space="0"/>
              <w:left w:val="nil"/>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资金到位情况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资金执行情况</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到位数：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执行数：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54.2236</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三、目标完成</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年度预算目标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具体完成情况</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按支出情况信访、环保、土地、食品、安全生产、协税等工作及劳务费分配情况</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按支出情况信访、环保、土地、食品、安全生产、协税等工作及劳务费分配情况</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2152" w:type="dxa"/>
            <w:tcBorders>
              <w:top w:val="single" w:color="auto" w:sz="6" w:space="0"/>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四、年度绩效指标完成情况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一级指标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二级指标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三级指标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预期指标值</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实际完成值</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产出指标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（40分）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数量指标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经费保障率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质量指标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项目资金拨付额度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时效指标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工作完成及时率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成本指标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预算执行率指标（10分）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w:t>
            </w:r>
          </w:p>
          <w:p>
            <w:pPr>
              <w:spacing w:beforeLines="0" w:afterLines="0"/>
              <w:jc w:val="center"/>
              <w:rPr>
                <w:rFonts w:hint="eastAsia" w:ascii="宋体" w:hAnsi="宋体"/>
                <w:color w:val="000000"/>
                <w:sz w:val="22"/>
                <w:szCs w:val="24"/>
              </w:rPr>
            </w:pPr>
            <w:r>
              <w:rPr>
                <w:rFonts w:hint="eastAsia" w:ascii="宋体" w:hAnsi="宋体"/>
                <w:color w:val="000000"/>
                <w:sz w:val="22"/>
                <w:szCs w:val="24"/>
              </w:rPr>
              <w:t>执行率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预算资金使用到位</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52" w:type="dxa"/>
            <w:tcBorders>
              <w:top w:val="nil"/>
              <w:left w:val="single" w:color="auto" w:sz="6" w:space="0"/>
              <w:bottom w:val="nil"/>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效益指标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（40分）</w:t>
            </w:r>
          </w:p>
        </w:tc>
        <w:tc>
          <w:tcPr>
            <w:tcW w:w="990" w:type="dxa"/>
            <w:tcBorders>
              <w:top w:val="single" w:color="auto" w:sz="6" w:space="0"/>
              <w:left w:val="single" w:color="auto" w:sz="6" w:space="0"/>
              <w:bottom w:val="single" w:color="auto" w:sz="6" w:space="0"/>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经济效益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12" w:space="0"/>
              <w:left w:val="single" w:color="auto" w:sz="12" w:space="0"/>
              <w:bottom w:val="single" w:color="auto" w:sz="12" w:space="0"/>
              <w:right w:val="nil"/>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协税等劳务费税收完成率</w:t>
            </w:r>
          </w:p>
        </w:tc>
        <w:tc>
          <w:tcPr>
            <w:tcW w:w="1080" w:type="dxa"/>
            <w:tcBorders>
              <w:top w:val="single" w:color="auto" w:sz="12" w:space="0"/>
              <w:left w:val="nil"/>
              <w:bottom w:val="single" w:color="auto" w:sz="12" w:space="0"/>
              <w:right w:val="single" w:color="auto" w:sz="12" w:space="0"/>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p>
        </w:tc>
        <w:tc>
          <w:tcPr>
            <w:tcW w:w="1320" w:type="dxa"/>
            <w:tcBorders>
              <w:top w:val="single" w:color="auto" w:sz="12" w:space="0"/>
              <w:left w:val="single" w:color="auto" w:sz="12" w:space="0"/>
              <w:bottom w:val="single" w:color="auto" w:sz="12" w:space="0"/>
              <w:right w:val="single" w:color="auto" w:sz="12" w:space="0"/>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100%</w:t>
            </w:r>
          </w:p>
        </w:tc>
        <w:tc>
          <w:tcPr>
            <w:tcW w:w="1275" w:type="dxa"/>
            <w:tcBorders>
              <w:top w:val="nil"/>
              <w:left w:val="nil"/>
              <w:bottom w:val="single" w:color="auto" w:sz="12" w:space="0"/>
              <w:right w:val="single" w:color="auto" w:sz="12" w:space="0"/>
              <w:tl2br w:val="nil"/>
              <w:tr2bl w:val="nil"/>
            </w:tcBorders>
            <w:shd w:val="solid" w:color="FFFFFF" w:fill="auto"/>
            <w:noWrap w:val="0"/>
            <w:vAlign w:val="top"/>
          </w:tcPr>
          <w:p>
            <w:pPr>
              <w:spacing w:beforeLines="0" w:afterLines="0"/>
              <w:jc w:val="right"/>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100%</w:t>
            </w:r>
          </w:p>
        </w:tc>
        <w:tc>
          <w:tcPr>
            <w:tcW w:w="1545" w:type="dxa"/>
            <w:tcBorders>
              <w:top w:val="nil"/>
              <w:left w:val="nil"/>
              <w:bottom w:val="single" w:color="auto" w:sz="12" w:space="0"/>
              <w:right w:val="single" w:color="auto" w:sz="12" w:space="0"/>
              <w:tl2br w:val="nil"/>
              <w:tr2bl w:val="nil"/>
            </w:tcBorders>
            <w:shd w:val="solid" w:color="FFFFFF" w:fill="auto"/>
            <w:noWrap w:val="0"/>
            <w:vAlign w:val="top"/>
          </w:tcPr>
          <w:p>
            <w:pPr>
              <w:spacing w:beforeLines="0" w:afterLines="0"/>
              <w:jc w:val="right"/>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社会效益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保障政府为民服务正常开展</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可持续影响指标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群众满意度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总分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2152"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五、存在问题、原因及下一步整改措施</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52"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填报人：</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张月敏</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联系电话：</w:t>
            </w: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88079003</w:t>
            </w:r>
          </w:p>
        </w:tc>
        <w:tc>
          <w:tcPr>
            <w:tcW w:w="127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r>
    </w:tbl>
    <w:tbl>
      <w:tblPr>
        <w:tblStyle w:val="6"/>
        <w:tblpPr w:leftFromText="180" w:rightFromText="180" w:vertAnchor="text" w:horzAnchor="page" w:tblpX="770" w:tblpY="689"/>
        <w:tblOverlap w:val="never"/>
        <w:tblW w:w="108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35"/>
        <w:gridCol w:w="1500"/>
        <w:gridCol w:w="990"/>
        <w:gridCol w:w="1410"/>
        <w:gridCol w:w="1080"/>
        <w:gridCol w:w="1320"/>
        <w:gridCol w:w="1275"/>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填报单位：</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增村镇人民政府</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单位金额：万元</w:t>
            </w:r>
          </w:p>
        </w:tc>
        <w:tc>
          <w:tcPr>
            <w:tcW w:w="1545" w:type="dxa"/>
            <w:tcBorders>
              <w:top w:val="nil"/>
              <w:left w:val="nil"/>
              <w:bottom w:val="single" w:color="auto" w:sz="6" w:space="0"/>
              <w:right w:val="nil"/>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一、基本情况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项目名称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学区工会费</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实施（主管单位）</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增村镇人民政府</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二、预算执行</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nil"/>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预算安排情况（调整后）</w:t>
            </w:r>
          </w:p>
        </w:tc>
        <w:tc>
          <w:tcPr>
            <w:tcW w:w="990" w:type="dxa"/>
            <w:tcBorders>
              <w:top w:val="single" w:color="auto" w:sz="6" w:space="0"/>
              <w:left w:val="nil"/>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资金到位情况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资金执行情况</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预算数：</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16</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到位数：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15</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执行数：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16</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16</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15</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其中：财政</w:t>
            </w:r>
          </w:p>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资金</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16</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 xml:space="preserve">     其他</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三、目标完成</w:t>
            </w:r>
          </w:p>
          <w:p>
            <w:pPr>
              <w:spacing w:beforeLines="0" w:afterLines="0"/>
              <w:jc w:val="center"/>
              <w:rPr>
                <w:rFonts w:hint="eastAsia" w:ascii="宋体" w:hAnsi="宋体"/>
                <w:color w:val="000000"/>
                <w:sz w:val="22"/>
                <w:szCs w:val="24"/>
              </w:rPr>
            </w:pPr>
            <w:r>
              <w:rPr>
                <w:rFonts w:hint="eastAsia" w:ascii="宋体" w:hAnsi="宋体"/>
                <w:color w:val="000000"/>
                <w:sz w:val="22"/>
                <w:szCs w:val="24"/>
              </w:rPr>
              <w:t>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年度预算目标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具体完成情况</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按实际支出学区工会费</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r>
              <w:rPr>
                <w:rFonts w:hint="eastAsia" w:ascii="宋体" w:hAnsi="宋体"/>
                <w:color w:val="000000"/>
                <w:sz w:val="16"/>
                <w:szCs w:val="24"/>
              </w:rPr>
              <w:t>按实际支出学区工会费</w:t>
            </w: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16"/>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735" w:type="dxa"/>
            <w:tcBorders>
              <w:top w:val="single" w:color="auto" w:sz="6" w:space="0"/>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四、年度绩效指标完成情况</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一级指标</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二级指标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三级指标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预期指标值</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实际完成值</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产出指标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（40分）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数量指标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经费保障率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质量指标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项目资金拨付及时率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时效指标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工会经费保障率</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成本指标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预算执行率指标（10分）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预算</w:t>
            </w:r>
          </w:p>
          <w:p>
            <w:pPr>
              <w:spacing w:beforeLines="0" w:afterLines="0"/>
              <w:jc w:val="center"/>
              <w:rPr>
                <w:rFonts w:hint="eastAsia" w:ascii="宋体" w:hAnsi="宋体"/>
                <w:color w:val="000000"/>
                <w:sz w:val="22"/>
                <w:szCs w:val="24"/>
              </w:rPr>
            </w:pPr>
            <w:r>
              <w:rPr>
                <w:rFonts w:hint="eastAsia" w:ascii="宋体" w:hAnsi="宋体"/>
                <w:color w:val="000000"/>
                <w:sz w:val="22"/>
                <w:szCs w:val="24"/>
              </w:rPr>
              <w:t>执行率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拨付进度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5" w:type="dxa"/>
            <w:tcBorders>
              <w:top w:val="nil"/>
              <w:left w:val="single" w:color="auto" w:sz="6" w:space="0"/>
              <w:bottom w:val="nil"/>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效益指标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（40分）</w:t>
            </w:r>
          </w:p>
        </w:tc>
        <w:tc>
          <w:tcPr>
            <w:tcW w:w="990" w:type="dxa"/>
            <w:tcBorders>
              <w:top w:val="single" w:color="auto" w:sz="6" w:space="0"/>
              <w:left w:val="single" w:color="auto" w:sz="6" w:space="0"/>
              <w:bottom w:val="single" w:color="auto" w:sz="6" w:space="0"/>
              <w:right w:val="single" w:color="auto" w:sz="6" w:space="0"/>
              <w:tl2br w:val="nil"/>
              <w:tr2bl w:val="nil"/>
            </w:tcBorders>
            <w:shd w:val="clear" w:color="auto" w:fill="auto"/>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经济效益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12" w:space="0"/>
              <w:left w:val="single" w:color="auto" w:sz="12" w:space="0"/>
              <w:bottom w:val="single" w:color="auto" w:sz="12" w:space="0"/>
              <w:right w:val="nil"/>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工会费使用率</w:t>
            </w:r>
          </w:p>
        </w:tc>
        <w:tc>
          <w:tcPr>
            <w:tcW w:w="1080" w:type="dxa"/>
            <w:tcBorders>
              <w:top w:val="single" w:color="auto" w:sz="12" w:space="0"/>
              <w:left w:val="nil"/>
              <w:bottom w:val="single" w:color="auto" w:sz="12" w:space="0"/>
              <w:right w:val="single" w:color="auto" w:sz="12" w:space="0"/>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p>
        </w:tc>
        <w:tc>
          <w:tcPr>
            <w:tcW w:w="1320" w:type="dxa"/>
            <w:tcBorders>
              <w:top w:val="single" w:color="auto" w:sz="12" w:space="0"/>
              <w:left w:val="single" w:color="auto" w:sz="12" w:space="0"/>
              <w:bottom w:val="single" w:color="auto" w:sz="12" w:space="0"/>
              <w:right w:val="single" w:color="auto" w:sz="12" w:space="0"/>
              <w:tl2br w:val="nil"/>
              <w:tr2bl w:val="nil"/>
            </w:tcBorders>
            <w:shd w:val="solid" w:color="FFFFFF" w:fill="auto"/>
            <w:noWrap w:val="0"/>
            <w:vAlign w:val="top"/>
          </w:tcPr>
          <w:p>
            <w:pPr>
              <w:spacing w:beforeLines="0" w:afterLines="0"/>
              <w:jc w:val="center"/>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100%</w:t>
            </w:r>
          </w:p>
        </w:tc>
        <w:tc>
          <w:tcPr>
            <w:tcW w:w="1275" w:type="dxa"/>
            <w:tcBorders>
              <w:top w:val="nil"/>
              <w:left w:val="nil"/>
              <w:bottom w:val="single" w:color="auto" w:sz="12" w:space="0"/>
              <w:right w:val="single" w:color="auto" w:sz="12" w:space="0"/>
              <w:tl2br w:val="nil"/>
              <w:tr2bl w:val="nil"/>
            </w:tcBorders>
            <w:shd w:val="solid" w:color="FFFFFF" w:fill="auto"/>
            <w:noWrap w:val="0"/>
            <w:vAlign w:val="top"/>
          </w:tcPr>
          <w:p>
            <w:pPr>
              <w:spacing w:beforeLines="0" w:afterLines="0"/>
              <w:jc w:val="right"/>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100%</w:t>
            </w:r>
          </w:p>
        </w:tc>
        <w:tc>
          <w:tcPr>
            <w:tcW w:w="1545" w:type="dxa"/>
            <w:tcBorders>
              <w:top w:val="nil"/>
              <w:left w:val="nil"/>
              <w:bottom w:val="single" w:color="auto" w:sz="12" w:space="0"/>
              <w:right w:val="single" w:color="auto" w:sz="12" w:space="0"/>
              <w:tl2br w:val="nil"/>
              <w:tr2bl w:val="nil"/>
            </w:tcBorders>
            <w:shd w:val="solid" w:color="FFFFFF" w:fill="auto"/>
            <w:noWrap w:val="0"/>
            <w:vAlign w:val="top"/>
          </w:tcPr>
          <w:p>
            <w:pPr>
              <w:spacing w:beforeLines="0" w:afterLines="0"/>
              <w:jc w:val="right"/>
              <w:rPr>
                <w:rFonts w:hint="eastAsia" w:ascii="楷体_GB2312" w:hAnsi="楷体_GB2312" w:eastAsia="楷体_GB2312"/>
                <w:color w:val="000000"/>
                <w:sz w:val="22"/>
                <w:szCs w:val="24"/>
              </w:rPr>
            </w:pPr>
            <w:r>
              <w:rPr>
                <w:rFonts w:hint="eastAsia" w:ascii="楷体_GB2312" w:hAnsi="楷体_GB2312" w:eastAsia="楷体_GB2312"/>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社会效益</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0"/>
                <w:szCs w:val="24"/>
              </w:rPr>
            </w:pPr>
            <w:r>
              <w:rPr>
                <w:rFonts w:hint="eastAsia" w:ascii="宋体" w:hAnsi="宋体"/>
                <w:color w:val="000000"/>
                <w:sz w:val="20"/>
                <w:szCs w:val="24"/>
              </w:rPr>
              <w:t>保障职工工会生活顺利开展</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0"/>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=100%</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可持续影响指标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指标1</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满意度指标</w:t>
            </w:r>
          </w:p>
          <w:p>
            <w:pPr>
              <w:spacing w:beforeLines="0" w:afterLines="0"/>
              <w:jc w:val="center"/>
              <w:rPr>
                <w:rFonts w:hint="eastAsia" w:ascii="宋体" w:hAnsi="宋体"/>
                <w:color w:val="000000"/>
                <w:sz w:val="22"/>
                <w:szCs w:val="24"/>
              </w:rPr>
            </w:pPr>
            <w:r>
              <w:rPr>
                <w:rFonts w:hint="eastAsia" w:ascii="宋体" w:hAnsi="宋体"/>
                <w:color w:val="000000"/>
                <w:sz w:val="22"/>
                <w:szCs w:val="24"/>
              </w:rPr>
              <w:t>（10分）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满意度</w:t>
            </w:r>
          </w:p>
          <w:p>
            <w:pPr>
              <w:spacing w:beforeLines="0" w:afterLines="0"/>
              <w:jc w:val="center"/>
              <w:rPr>
                <w:rFonts w:hint="eastAsia" w:ascii="宋体" w:hAnsi="宋体"/>
                <w:color w:val="000000"/>
                <w:sz w:val="22"/>
                <w:szCs w:val="24"/>
              </w:rPr>
            </w:pPr>
            <w:r>
              <w:rPr>
                <w:rFonts w:hint="eastAsia" w:ascii="宋体" w:hAnsi="宋体"/>
                <w:color w:val="000000"/>
                <w:sz w:val="22"/>
                <w:szCs w:val="24"/>
              </w:rPr>
              <w:t>指标</w:t>
            </w: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单位群众满意度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95%</w:t>
            </w: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指标2</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nil"/>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总分</w:t>
            </w: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173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center"/>
              <w:rPr>
                <w:rFonts w:hint="eastAsia" w:ascii="宋体" w:hAnsi="宋体"/>
                <w:color w:val="000000"/>
                <w:sz w:val="22"/>
                <w:szCs w:val="24"/>
              </w:rPr>
            </w:pPr>
            <w:r>
              <w:rPr>
                <w:rFonts w:hint="eastAsia" w:ascii="宋体" w:hAnsi="宋体"/>
                <w:color w:val="000000"/>
                <w:sz w:val="22"/>
                <w:szCs w:val="24"/>
              </w:rPr>
              <w:t>五、存在问题、原因及下一步整改措施</w:t>
            </w:r>
          </w:p>
        </w:tc>
        <w:tc>
          <w:tcPr>
            <w:tcW w:w="150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99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320"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single" w:color="auto" w:sz="6" w:space="0"/>
              <w:left w:val="single" w:color="auto" w:sz="6" w:space="0"/>
              <w:bottom w:val="single" w:color="auto" w:sz="6" w:space="0"/>
              <w:right w:val="single" w:color="auto" w:sz="6" w:space="0"/>
              <w:tl2br w:val="nil"/>
              <w:tr2bl w:val="nil"/>
            </w:tcBorders>
            <w:noWrap w:val="0"/>
            <w:vAlign w:val="top"/>
          </w:tcPr>
          <w:p>
            <w:pPr>
              <w:spacing w:beforeLines="0" w:afterLines="0"/>
              <w:jc w:val="right"/>
              <w:rPr>
                <w:rFonts w:hint="eastAsia" w:ascii="宋体" w:hAnsi="宋体"/>
                <w:color w:val="000000"/>
                <w:sz w:val="22"/>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5"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填报人：</w:t>
            </w:r>
          </w:p>
        </w:tc>
        <w:tc>
          <w:tcPr>
            <w:tcW w:w="150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张月敏</w:t>
            </w:r>
          </w:p>
        </w:tc>
        <w:tc>
          <w:tcPr>
            <w:tcW w:w="99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41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pPr>
              <w:spacing w:beforeLines="0" w:afterLines="0"/>
              <w:jc w:val="left"/>
              <w:rPr>
                <w:rFonts w:hint="eastAsia" w:ascii="宋体" w:hAnsi="宋体"/>
                <w:color w:val="000000"/>
                <w:sz w:val="22"/>
                <w:szCs w:val="24"/>
              </w:rPr>
            </w:pPr>
            <w:r>
              <w:rPr>
                <w:rFonts w:hint="eastAsia" w:ascii="宋体" w:hAnsi="宋体"/>
                <w:color w:val="000000"/>
                <w:sz w:val="22"/>
                <w:szCs w:val="24"/>
              </w:rPr>
              <w:t>联系电话：</w:t>
            </w:r>
          </w:p>
        </w:tc>
        <w:tc>
          <w:tcPr>
            <w:tcW w:w="1320"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r>
              <w:rPr>
                <w:rFonts w:hint="eastAsia" w:ascii="宋体" w:hAnsi="宋体"/>
                <w:color w:val="000000"/>
                <w:sz w:val="22"/>
                <w:szCs w:val="24"/>
              </w:rPr>
              <w:t>88079003</w:t>
            </w:r>
          </w:p>
        </w:tc>
        <w:tc>
          <w:tcPr>
            <w:tcW w:w="127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c>
          <w:tcPr>
            <w:tcW w:w="1545" w:type="dxa"/>
            <w:tcBorders>
              <w:top w:val="nil"/>
              <w:left w:val="nil"/>
              <w:bottom w:val="nil"/>
              <w:right w:val="nil"/>
              <w:tl2br w:val="nil"/>
              <w:tr2bl w:val="nil"/>
            </w:tcBorders>
            <w:noWrap w:val="0"/>
            <w:vAlign w:val="top"/>
          </w:tcPr>
          <w:p>
            <w:pPr>
              <w:spacing w:beforeLines="0" w:afterLines="0"/>
              <w:jc w:val="right"/>
              <w:rPr>
                <w:rFonts w:hint="eastAsia" w:ascii="宋体" w:hAnsi="宋体"/>
                <w:color w:val="000000"/>
                <w:sz w:val="22"/>
                <w:szCs w:val="24"/>
              </w:rPr>
            </w:pPr>
          </w:p>
        </w:tc>
      </w:tr>
    </w:tbl>
    <w:p>
      <w:pPr>
        <w:adjustRightInd w:val="0"/>
        <w:snapToGrid w:val="0"/>
        <w:spacing w:line="560" w:lineRule="exact"/>
        <w:rPr>
          <w:rFonts w:hint="eastAsia" w:ascii="仿宋" w:hAnsi="仿宋" w:eastAsia="仿宋"/>
          <w:sz w:val="32"/>
          <w:szCs w:val="32"/>
          <w:lang w:eastAsia="zh-CN"/>
        </w:rPr>
      </w:pPr>
    </w:p>
    <w:p>
      <w:pPr>
        <w:adjustRightInd w:val="0"/>
        <w:snapToGrid w:val="0"/>
        <w:spacing w:line="560" w:lineRule="exact"/>
        <w:ind w:firstLine="640" w:firstLineChars="200"/>
        <w:rPr>
          <w:rFonts w:hint="eastAsia" w:ascii="仿宋" w:hAnsi="仿宋" w:eastAsia="仿宋"/>
          <w:sz w:val="32"/>
          <w:szCs w:val="32"/>
          <w:lang w:eastAsia="zh-CN"/>
        </w:rPr>
      </w:pPr>
    </w:p>
    <w:p>
      <w:pPr>
        <w:numPr>
          <w:numId w:val="0"/>
        </w:numPr>
        <w:adjustRightInd w:val="0"/>
        <w:snapToGrid w:val="0"/>
        <w:spacing w:line="56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numPr>
          <w:ilvl w:val="0"/>
          <w:numId w:val="0"/>
        </w:numPr>
        <w:adjustRightInd w:val="0"/>
        <w:snapToGrid w:val="0"/>
        <w:spacing w:line="560" w:lineRule="exac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财政评价项目绩效结果为优秀。</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134.1714</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44.4024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24.86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压缩开支</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line="580" w:lineRule="exact"/>
        <w:ind w:firstLine="640" w:firstLineChars="200"/>
        <w:jc w:val="left"/>
        <w:rPr>
          <w:rFonts w:hint="eastAsia" w:ascii="仿宋_GB2312" w:hAnsi="Times New Roman" w:eastAsia="仿宋_GB2312" w:cs="DengXian-Regular"/>
          <w:sz w:val="32"/>
          <w:szCs w:val="32"/>
          <w:lang w:eastAsia="zh-CN"/>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从采购类型来看，政府采购货物支出0元、政府采购工程支出0元、政府采购服务支出0元、授予中小企业合同金0元，授予小微企业合同金额0元。</w:t>
      </w:r>
      <w:bookmarkStart w:id="0" w:name="_GoBack"/>
      <w:bookmarkEnd w:id="0"/>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。其中，应急保障用车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与上年持平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本部门2019年度无收支及结转结余情况，故以空表列示。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052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2"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pPr>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155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155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74"/>
        <w:gridCol w:w="3291"/>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7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7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8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67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szCs w:val="22"/>
                <w:lang w:val="en-US" w:eastAsia="zh-CN" w:bidi="ar"/>
              </w:rPr>
              <w:t>4638.39</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765.05</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3473.84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400</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4638.39</w:t>
            </w: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4638.89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4638.89</w:t>
            </w:r>
            <w:r>
              <w:rPr>
                <w:rFonts w:hint="eastAsia" w:ascii="宋体" w:hAnsi="宋体" w:eastAsia="宋体" w:cs="宋体"/>
                <w:color w:val="000000"/>
                <w:kern w:val="0"/>
                <w:sz w:val="22"/>
                <w:lang w:bidi="ar"/>
              </w:rPr>
              <w:t>　</w:t>
            </w:r>
          </w:p>
        </w:tc>
        <w:tc>
          <w:tcPr>
            <w:tcW w:w="3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4638.89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val="en-US" w:eastAsia="zh-CN"/>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注：本表反映部门本年度一般公共预算财政拨款支出情况。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注：本表反映部门本年度一般公共预算财政拨款基本支出明细情况。</w:t>
            </w: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注：本表反映部门本年度国有资本经营预算财政拨款支出情况。本部门本年度无相关支出情况，按要求以空表列示。</w:t>
      </w:r>
      <w:r>
        <w:br w:type="page"/>
      </w:r>
      <w:r>
        <w:rPr>
          <w:rFonts w:hint="eastAsia"/>
        </w:rPr>
        <w:t>注：本表反映部门本年度国有资本经营预算财政拨款支出情况。本部门本年度无相关支出情况，按要求以空表列示。</w:t>
      </w:r>
    </w:p>
    <w:p>
      <w:r>
        <mc:AlternateContent>
          <mc:Choice Requires="wps">
            <w:drawing>
              <wp:anchor distT="0" distB="0" distL="114300" distR="114300" simplePos="0" relativeHeight="25167257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257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_GBK">
    <w:altName w:val="Times New Roman"/>
    <w:panose1 w:val="00000000000000000000"/>
    <w:charset w:val="00"/>
    <w:family w:val="auto"/>
    <w:pitch w:val="default"/>
    <w:sig w:usb0="00000000" w:usb1="00000000" w:usb2="00000000" w:usb3="00000000" w:csb0="00000001"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简体">
    <w:altName w:val="Arial Unicode MS"/>
    <w:panose1 w:val="02010601030101010101"/>
    <w:charset w:val="86"/>
    <w:family w:val="auto"/>
    <w:pitch w:val="default"/>
    <w:sig w:usb0="00000000" w:usb1="00000000" w:usb2="0000000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998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998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384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486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588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691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07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97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305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408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100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100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203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7936"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7936;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896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179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281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667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667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5648;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76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87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7115871"/>
    <w:rsid w:val="0B011416"/>
    <w:rsid w:val="0F6C06DF"/>
    <w:rsid w:val="15D44B2F"/>
    <w:rsid w:val="19871A10"/>
    <w:rsid w:val="2CAA17A3"/>
    <w:rsid w:val="303F5D65"/>
    <w:rsid w:val="31C2036A"/>
    <w:rsid w:val="320D02A5"/>
    <w:rsid w:val="348E566F"/>
    <w:rsid w:val="35BA3B99"/>
    <w:rsid w:val="38717E34"/>
    <w:rsid w:val="3A226944"/>
    <w:rsid w:val="3AEE6A48"/>
    <w:rsid w:val="3C1620AA"/>
    <w:rsid w:val="3D8F080F"/>
    <w:rsid w:val="42BD4E91"/>
    <w:rsid w:val="44CE1FA4"/>
    <w:rsid w:val="45431776"/>
    <w:rsid w:val="487F73ED"/>
    <w:rsid w:val="4A347EAE"/>
    <w:rsid w:val="4C554CBF"/>
    <w:rsid w:val="5163540C"/>
    <w:rsid w:val="52600405"/>
    <w:rsid w:val="529B4319"/>
    <w:rsid w:val="52C13FE4"/>
    <w:rsid w:val="534B7639"/>
    <w:rsid w:val="55C46D39"/>
    <w:rsid w:val="57773DD6"/>
    <w:rsid w:val="578B79AB"/>
    <w:rsid w:val="5CCD3FD5"/>
    <w:rsid w:val="61FA5F9D"/>
    <w:rsid w:val="64CD6910"/>
    <w:rsid w:val="674B1C1C"/>
    <w:rsid w:val="6789158D"/>
    <w:rsid w:val="67D81BA4"/>
    <w:rsid w:val="6AAF1C96"/>
    <w:rsid w:val="6B465F14"/>
    <w:rsid w:val="6DF506D2"/>
    <w:rsid w:val="724E62F5"/>
    <w:rsid w:val="75681757"/>
    <w:rsid w:val="75A346A8"/>
    <w:rsid w:val="79B9382C"/>
    <w:rsid w:val="7B043B76"/>
    <w:rsid w:val="7C041A6A"/>
    <w:rsid w:val="7E327570"/>
    <w:rsid w:val="7E384272"/>
    <w:rsid w:val="7EA573EF"/>
    <w:rsid w:val="7FF928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支出类型</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Sheet1!$A$2:$A$4</c:f>
              <c:strCache>
                <c:ptCount val="3"/>
                <c:pt idx="0">
                  <c:v>基础支出</c:v>
                </c:pt>
                <c:pt idx="1">
                  <c:v>教育支出</c:v>
                </c:pt>
                <c:pt idx="2">
                  <c:v>项目支出</c:v>
                </c:pt>
              </c:strCache>
            </c:strRef>
          </c:cat>
          <c:val>
            <c:numRef>
              <c:f>Sheet1!$B$2:$B$4</c:f>
              <c:numCache>
                <c:formatCode>General</c:formatCode>
                <c:ptCount val="3"/>
                <c:pt idx="0">
                  <c:v>16</c:v>
                </c:pt>
                <c:pt idx="1">
                  <c:v>76</c:v>
                </c:pt>
                <c:pt idx="2">
                  <c:v>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382"/>
          <c:y val="0.234166666666667"/>
          <c:w val="0.92805"/>
          <c:h val="0.717233333333333"/>
        </c:manualLayout>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5856.68</c:v>
                </c:pt>
                <c:pt idx="1">
                  <c:v>5856.68</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4638.89</c:v>
                </c:pt>
                <c:pt idx="1">
                  <c:v>4638.89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877347657"/>
        <c:axId val="817175466"/>
      </c:barChart>
      <c:catAx>
        <c:axId val="8773476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175466"/>
        <c:crosses val="autoZero"/>
        <c:auto val="1"/>
        <c:lblAlgn val="ctr"/>
        <c:lblOffset val="100"/>
        <c:noMultiLvlLbl val="0"/>
      </c:catAx>
      <c:valAx>
        <c:axId val="81717546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73476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457304526748971"/>
          <c:y val="0.239674796747967"/>
          <c:w val="0.925977366255144"/>
          <c:h val="0.448260162601626"/>
        </c:manualLayout>
      </c:layout>
      <c:barChart>
        <c:barDir val="col"/>
        <c:grouping val="clustered"/>
        <c:varyColors val="0"/>
        <c:ser>
          <c:idx val="0"/>
          <c:order val="0"/>
          <c:tx>
            <c:strRef>
              <c:f>Sheet1!$B$1</c:f>
              <c:strCache>
                <c:ptCount val="1"/>
                <c:pt idx="0">
                  <c:v>年初预算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5309.77</c:v>
                </c:pt>
                <c:pt idx="1">
                  <c:v>5309.77</c:v>
                </c:pt>
              </c:numCache>
            </c:numRef>
          </c:val>
        </c:ser>
        <c:ser>
          <c:idx val="1"/>
          <c:order val="1"/>
          <c:tx>
            <c:strRef>
              <c:f>Sheet1!$C$1</c:f>
              <c:strCache>
                <c:ptCount val="1"/>
                <c:pt idx="0">
                  <c:v>年终决算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4638.89</c:v>
                </c:pt>
                <c:pt idx="1">
                  <c:v>4638.89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165485291"/>
        <c:axId val="165658178"/>
      </c:barChart>
      <c:catAx>
        <c:axId val="16548529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5658178"/>
        <c:crosses val="autoZero"/>
        <c:auto val="1"/>
        <c:lblAlgn val="ctr"/>
        <c:lblOffset val="100"/>
        <c:noMultiLvlLbl val="0"/>
      </c:catAx>
      <c:valAx>
        <c:axId val="16565817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548529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支出类型</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Sheet1!$A$2:$A$4</c:f>
              <c:strCache>
                <c:ptCount val="3"/>
                <c:pt idx="0">
                  <c:v>基础支出</c:v>
                </c:pt>
                <c:pt idx="1">
                  <c:v>教育支出</c:v>
                </c:pt>
                <c:pt idx="2">
                  <c:v>项目支出</c:v>
                </c:pt>
              </c:strCache>
            </c:strRef>
          </c:cat>
          <c:val>
            <c:numRef>
              <c:f>Sheet1!$B$2:$B$4</c:f>
              <c:numCache>
                <c:formatCode>General</c:formatCode>
                <c:ptCount val="3"/>
                <c:pt idx="0">
                  <c:v>16</c:v>
                </c:pt>
                <c:pt idx="1">
                  <c:v>76</c:v>
                </c:pt>
                <c:pt idx="2">
                  <c:v>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7</TotalTime>
  <ScaleCrop>false</ScaleCrop>
  <LinksUpToDate>false</LinksUpToDate>
  <CharactersWithSpaces>11119</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党政办公室</cp:lastModifiedBy>
  <cp:lastPrinted>2020-07-30T02:37:00Z</cp:lastPrinted>
  <dcterms:modified xsi:type="dcterms:W3CDTF">2021-06-24T09:05:46Z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DBA7CEDA410B4A96B95DCFB9F35D304F</vt:lpwstr>
  </property>
</Properties>
</file>