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8480"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8480;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0528;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9504;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6432"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6432;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1552"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4928;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7456;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石家庄市藁城区南孟镇人民政府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257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257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numPr>
          <w:ilvl w:val="0"/>
          <w:numId w:val="0"/>
        </w:numPr>
        <w:ind w:firstLine="560" w:firstLineChars="200"/>
        <w:rPr>
          <w:rFonts w:ascii="????_GBK" w:eastAsia="Times New Roman" w:cs="Times New Roman"/>
          <w:sz w:val="28"/>
          <w:szCs w:val="28"/>
        </w:rPr>
      </w:pPr>
      <w:r>
        <w:rPr>
          <w:rFonts w:hint="eastAsia" w:ascii="????_GBK" w:hAnsi="宋体" w:eastAsia="宋体" w:cs="Times New Roman"/>
          <w:sz w:val="28"/>
          <w:szCs w:val="28"/>
          <w:lang w:val="en-US" w:eastAsia="zh-CN"/>
        </w:rPr>
        <w:t>1</w:t>
      </w:r>
      <w:r>
        <w:rPr>
          <w:rFonts w:ascii="????_GBK" w:hAnsi="宋体" w:eastAsia="Times New Roman" w:cs="Times New Roman"/>
          <w:sz w:val="28"/>
          <w:szCs w:val="28"/>
        </w:rPr>
        <w:t>、继续抓好项目建设</w:t>
      </w:r>
    </w:p>
    <w:p>
      <w:pPr>
        <w:ind w:firstLine="560"/>
        <w:rPr>
          <w:rFonts w:ascii="????_GBK" w:eastAsia="Times New Roman" w:cs="Times New Roman"/>
          <w:sz w:val="28"/>
          <w:szCs w:val="28"/>
        </w:rPr>
      </w:pPr>
      <w:r>
        <w:rPr>
          <w:rFonts w:hint="eastAsia" w:ascii="????_GBK" w:hAnsi="宋体" w:eastAsia="宋体" w:cs="Times New Roman"/>
          <w:sz w:val="28"/>
          <w:szCs w:val="28"/>
          <w:lang w:val="en-US" w:eastAsia="zh-CN"/>
        </w:rPr>
        <w:t>2</w:t>
      </w:r>
      <w:r>
        <w:rPr>
          <w:rFonts w:ascii="????_GBK" w:hAnsi="宋体" w:eastAsia="Times New Roman" w:cs="Times New Roman"/>
          <w:sz w:val="28"/>
          <w:szCs w:val="28"/>
        </w:rPr>
        <w:t>、着力做好调结构转方式</w:t>
      </w:r>
    </w:p>
    <w:p>
      <w:pPr>
        <w:ind w:firstLine="560"/>
        <w:rPr>
          <w:rFonts w:ascii="????_GBK" w:eastAsia="Times New Roman" w:cs="Times New Roman"/>
          <w:sz w:val="28"/>
          <w:szCs w:val="28"/>
        </w:rPr>
      </w:pPr>
      <w:r>
        <w:rPr>
          <w:rFonts w:hint="eastAsia" w:ascii="????_GBK" w:hAnsi="宋体" w:eastAsia="宋体" w:cs="Times New Roman"/>
          <w:sz w:val="28"/>
          <w:szCs w:val="28"/>
          <w:lang w:val="en-US" w:eastAsia="zh-CN"/>
        </w:rPr>
        <w:t>3</w:t>
      </w:r>
      <w:r>
        <w:rPr>
          <w:rFonts w:ascii="????_GBK" w:hAnsi="宋体" w:eastAsia="Times New Roman" w:cs="Times New Roman"/>
          <w:sz w:val="28"/>
          <w:szCs w:val="28"/>
        </w:rPr>
        <w:t>、全面落实统筹发展</w:t>
      </w:r>
    </w:p>
    <w:p>
      <w:pPr>
        <w:ind w:firstLine="560"/>
        <w:rPr>
          <w:rFonts w:ascii="????_GBK" w:eastAsia="Times New Roman" w:cs="Times New Roman"/>
          <w:sz w:val="28"/>
          <w:szCs w:val="28"/>
        </w:rPr>
      </w:pPr>
      <w:r>
        <w:rPr>
          <w:rFonts w:hint="eastAsia" w:ascii="????_GBK" w:hAnsi="宋体" w:eastAsia="宋体" w:cs="Times New Roman"/>
          <w:sz w:val="28"/>
          <w:szCs w:val="28"/>
          <w:lang w:val="en-US" w:eastAsia="zh-CN"/>
        </w:rPr>
        <w:t>4</w:t>
      </w:r>
      <w:r>
        <w:rPr>
          <w:rFonts w:ascii="????_GBK" w:hAnsi="宋体" w:eastAsia="Times New Roman" w:cs="Times New Roman"/>
          <w:sz w:val="28"/>
          <w:szCs w:val="28"/>
        </w:rPr>
        <w:t>、治理生态环境</w:t>
      </w:r>
    </w:p>
    <w:p>
      <w:pPr>
        <w:ind w:firstLine="560"/>
        <w:rPr>
          <w:rFonts w:ascii="????_GBK" w:eastAsia="Times New Roman" w:cs="Times New Roman"/>
          <w:sz w:val="28"/>
          <w:szCs w:val="28"/>
        </w:rPr>
      </w:pPr>
      <w:r>
        <w:rPr>
          <w:rFonts w:hint="eastAsia" w:ascii="????_GBK" w:hAnsi="宋体" w:eastAsia="宋体" w:cs="Times New Roman"/>
          <w:sz w:val="28"/>
          <w:szCs w:val="28"/>
          <w:lang w:val="en-US" w:eastAsia="zh-CN"/>
        </w:rPr>
        <w:t>5</w:t>
      </w:r>
      <w:r>
        <w:rPr>
          <w:rFonts w:ascii="????_GBK" w:hAnsi="宋体" w:eastAsia="Times New Roman" w:cs="Times New Roman"/>
          <w:sz w:val="28"/>
          <w:szCs w:val="28"/>
        </w:rPr>
        <w:t>、优先保障社会民生</w:t>
      </w:r>
    </w:p>
    <w:p>
      <w:pPr>
        <w:widowControl/>
        <w:spacing w:line="580" w:lineRule="exact"/>
        <w:ind w:firstLine="560" w:firstLineChars="200"/>
        <w:rPr>
          <w:rFonts w:ascii="仿宋_GB2312" w:hAnsi="Calibri" w:eastAsia="仿宋_GB2312" w:cs="ArialUnicodeMS"/>
          <w:kern w:val="0"/>
          <w:sz w:val="32"/>
          <w:szCs w:val="32"/>
        </w:rPr>
      </w:pPr>
      <w:r>
        <w:rPr>
          <w:rFonts w:hint="eastAsia" w:ascii="????_GBK" w:hAnsi="宋体" w:eastAsia="宋体" w:cs="Times New Roman"/>
          <w:sz w:val="28"/>
          <w:szCs w:val="28"/>
          <w:lang w:val="en-US" w:eastAsia="zh-CN"/>
        </w:rPr>
        <w:t>6</w:t>
      </w:r>
      <w:r>
        <w:rPr>
          <w:rFonts w:ascii="????_GBK" w:hAnsi="宋体" w:eastAsia="Times New Roman" w:cs="Times New Roman"/>
          <w:sz w:val="28"/>
          <w:szCs w:val="28"/>
        </w:rPr>
        <w:t>、抓好干部队伍建设</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jc w:val="center"/>
              <w:rPr>
                <w:rFonts w:ascii="仿宋_GB2312" w:hAnsi="Calibri" w:eastAsia="仿宋_GB2312" w:cs="ArialUnicodeMS"/>
                <w:kern w:val="0"/>
                <w:sz w:val="28"/>
                <w:szCs w:val="28"/>
              </w:rPr>
            </w:pPr>
            <w:r>
              <w:rPr>
                <w:rFonts w:hint="eastAsia" w:ascii="宋体"/>
                <w:b/>
                <w:sz w:val="21"/>
                <w:szCs w:val="21"/>
              </w:rPr>
              <w:t>石家庄市藁城区</w:t>
            </w:r>
            <w:r>
              <w:rPr>
                <w:rFonts w:hint="eastAsia" w:ascii="宋体"/>
                <w:b/>
                <w:sz w:val="21"/>
                <w:szCs w:val="21"/>
                <w:lang w:eastAsia="zh-CN"/>
              </w:rPr>
              <w:t>南孟镇人民政府</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r>
              <w:rPr>
                <w:rFonts w:hint="eastAsia" w:ascii="宋体" w:hAnsi="宋体"/>
                <w:sz w:val="18"/>
              </w:rPr>
              <w:t>石家庄市藁城区南孟镇中心校</w:t>
            </w:r>
            <w:r>
              <w:rPr>
                <w:rFonts w:hint="eastAsia" w:ascii="宋体" w:hAnsi="宋体"/>
                <w:sz w:val="18"/>
                <w:lang w:val="en-US" w:eastAsia="zh-CN"/>
              </w:rPr>
              <w:t>(小学）</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4"/>
                <w:szCs w:val="24"/>
                <w:lang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方正书宋_GBK" w:eastAsia="方正书宋_GBK"/>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r>
              <w:rPr>
                <w:rFonts w:hint="eastAsia" w:ascii="宋体" w:hAnsi="宋体"/>
                <w:sz w:val="18"/>
              </w:rPr>
              <w:t>石家庄市藁城区南孟镇中心校</w:t>
            </w:r>
            <w:r>
              <w:rPr>
                <w:rFonts w:hint="eastAsia" w:ascii="宋体" w:hAnsi="宋体"/>
                <w:sz w:val="18"/>
                <w:lang w:val="en-US" w:eastAsia="zh-CN"/>
              </w:rPr>
              <w:t>(中学）</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4"/>
                <w:szCs w:val="24"/>
                <w:lang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方正书宋_GBK" w:eastAsia="方正书宋_GBK"/>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36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667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667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1630.44</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30.92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不含退休人员精神文明奖。</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drawing>
          <wp:anchor distT="0" distB="0" distL="114300" distR="114300" simplePos="0" relativeHeight="251683840" behindDoc="0" locked="0" layoutInCell="1" allowOverlap="1">
            <wp:simplePos x="0" y="0"/>
            <wp:positionH relativeFrom="column">
              <wp:posOffset>401320</wp:posOffset>
            </wp:positionH>
            <wp:positionV relativeFrom="paragraph">
              <wp:posOffset>89535</wp:posOffset>
            </wp:positionV>
            <wp:extent cx="4651375" cy="3514725"/>
            <wp:effectExtent l="4445" t="4445" r="11430" b="5080"/>
            <wp:wrapSquare wrapText="bothSides"/>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3455.65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94.86</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187.3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5.14</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0768" behindDoc="0" locked="0" layoutInCell="1" allowOverlap="1">
            <wp:simplePos x="0" y="0"/>
            <wp:positionH relativeFrom="column">
              <wp:posOffset>239395</wp:posOffset>
            </wp:positionH>
            <wp:positionV relativeFrom="paragraph">
              <wp:posOffset>123825</wp:posOffset>
            </wp:positionV>
            <wp:extent cx="4003675" cy="2676525"/>
            <wp:effectExtent l="4445" t="4445" r="11430" b="508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sz w:val="32"/>
        </w:rPr>
        <mc:AlternateContent>
          <mc:Choice Requires="wps">
            <w:drawing>
              <wp:anchor distT="0" distB="0" distL="114300" distR="114300" simplePos="0" relativeHeight="251674624" behindDoc="1" locked="0" layoutInCell="1" allowOverlap="1">
                <wp:simplePos x="0" y="0"/>
                <wp:positionH relativeFrom="column">
                  <wp:posOffset>983615</wp:posOffset>
                </wp:positionH>
                <wp:positionV relativeFrom="paragraph">
                  <wp:posOffset>252095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91995" y="7477125"/>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both"/>
                              <w:rPr>
                                <w:rFonts w:ascii="仿宋_GB2312" w:hAnsi="Times New Roman" w:eastAsia="仿宋_GB2312" w:cs="DengXian-Regular"/>
                                <w:sz w:val="28"/>
                                <w:szCs w:val="28"/>
                              </w:rPr>
                            </w:pP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7.45pt;margin-top:19.85pt;height:38.05pt;width:260.95pt;z-index:-251641856;mso-width-relative:page;mso-height-relative:page;" fillcolor="#FFFFFF" filled="t" stroked="f" coordsize="21600,21600" o:gfxdata="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G8XSX1QAAAAoBAAAPAAAAAAAAAAEAIAAA&#10;ACIAAABkcnMvZG93bnJldi54bWxQSwECFAAUAAAACACHTuJAChOWF0gCAABdBAAADgAAAAAAAAAB&#10;ACAAAAAkAQAAZHJzL2Uyb0RvYy54bWxQSwUGAAAAAAYABgBZAQAA3gUAAAAA&#10;">
                <v:fill on="t" focussize="0,0"/>
                <v:stroke on="f" weight="0.5pt"/>
                <v:imagedata o:title=""/>
                <o:lock v:ext="edit" aspectratio="f"/>
                <v:textbox>
                  <w:txbxContent>
                    <w:p>
                      <w:pPr>
                        <w:adjustRightInd w:val="0"/>
                        <w:snapToGrid w:val="0"/>
                        <w:spacing w:after="160" w:line="560" w:lineRule="exact"/>
                        <w:jc w:val="both"/>
                        <w:rPr>
                          <w:rFonts w:ascii="仿宋_GB2312" w:hAnsi="Times New Roman" w:eastAsia="仿宋_GB2312" w:cs="DengXian-Regular"/>
                          <w:sz w:val="28"/>
                          <w:szCs w:val="28"/>
                        </w:rPr>
                      </w:pPr>
                    </w:p>
                    <w:p>
                      <w:pPr>
                        <w:spacing w:after="160" w:line="480" w:lineRule="auto"/>
                        <w:rPr>
                          <w:rFonts w:ascii="Times New Roman" w:hAnsi="Times New Roman" w:eastAsia="宋体" w:cs="Times New Roman"/>
                          <w:sz w:val="20"/>
                        </w:rPr>
                      </w:pPr>
                    </w:p>
                  </w:txbxContent>
                </v:textbox>
              </v:shape>
            </w:pict>
          </mc:Fallback>
        </mc:AlternateConten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1630.44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30.92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不含退休人员精神文明奖</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1630.44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30.92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不含退休人员精神文明奖。</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88.89</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455.19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88.89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455.19</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人员经费减少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1792" behindDoc="0" locked="0" layoutInCell="1" allowOverlap="1">
            <wp:simplePos x="0" y="0"/>
            <wp:positionH relativeFrom="column">
              <wp:posOffset>134620</wp:posOffset>
            </wp:positionH>
            <wp:positionV relativeFrom="paragraph">
              <wp:posOffset>51435</wp:posOffset>
            </wp:positionV>
            <wp:extent cx="4613275" cy="3124200"/>
            <wp:effectExtent l="4445" t="5080" r="11430" b="13970"/>
            <wp:wrapSquare wrapText="bothSides"/>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（三）</w:t>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3642.95</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855.16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23.47</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2787.79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76.53</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2816" behindDoc="0" locked="0" layoutInCell="1" allowOverlap="1">
            <wp:simplePos x="0" y="0"/>
            <wp:positionH relativeFrom="column">
              <wp:posOffset>534670</wp:posOffset>
            </wp:positionH>
            <wp:positionV relativeFrom="paragraph">
              <wp:posOffset>6985</wp:posOffset>
            </wp:positionV>
            <wp:extent cx="4765675" cy="3191510"/>
            <wp:effectExtent l="4445" t="4445" r="11430" b="23495"/>
            <wp:wrapSquare wrapText="bothSides"/>
            <wp:docPr id="25"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3455.65</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3354.17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101.49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highlight w:val="none"/>
        </w:rPr>
      </w:pPr>
      <w:r>
        <w:rPr>
          <w:rFonts w:hint="eastAsia" w:ascii="黑体" w:hAnsi="Calibri" w:eastAsia="黑体" w:cs="Times New Roman"/>
          <w:sz w:val="32"/>
          <w:szCs w:val="32"/>
          <w:highlight w:val="none"/>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2.09</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36.67</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3.61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63.33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无本单位组织的出国（境）团组。因公出国（境）费支出预算</w:t>
      </w:r>
      <w:r>
        <w:rPr>
          <w:rFonts w:hint="eastAsia" w:ascii="仿宋_GB2312" w:hAnsi="Times New Roman" w:eastAsia="仿宋_GB2312" w:cs="DengXian-Regular"/>
          <w:sz w:val="32"/>
          <w:szCs w:val="32"/>
          <w:lang w:eastAsia="zh-CN"/>
        </w:rPr>
        <w:t>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，未发生因公出国经费支出，与年初预算持平。</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2.09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2.31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万元。公务用车购置费支出预算</w:t>
      </w:r>
      <w:r>
        <w:rPr>
          <w:rFonts w:hint="eastAsia" w:ascii="仿宋_GB2312" w:hAnsi="Times New Roman" w:eastAsia="仿宋_GB2312" w:cs="DengXian-Regular"/>
          <w:sz w:val="32"/>
          <w:szCs w:val="32"/>
          <w:lang w:eastAsia="zh-CN"/>
        </w:rPr>
        <w:t>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，未发生公务用车购置，无增减变化。与年初预算持平。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2.31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压减开支</w:t>
      </w:r>
      <w:r>
        <w:rPr>
          <w:rFonts w:hint="eastAsia" w:ascii="仿宋_GB2312" w:hAnsi="Times New Roman" w:eastAsia="仿宋_GB2312" w:cs="DengXian-Regular"/>
          <w:sz w:val="32"/>
          <w:szCs w:val="32"/>
        </w:rPr>
        <w:t>；上年度</w:t>
      </w:r>
      <w:r>
        <w:rPr>
          <w:rFonts w:hint="eastAsia" w:ascii="仿宋_GB2312" w:hAnsi="Times New Roman" w:eastAsia="仿宋_GB2312" w:cs="DengXian-Regular"/>
          <w:sz w:val="32"/>
          <w:szCs w:val="32"/>
          <w:lang w:eastAsia="zh-CN"/>
        </w:rPr>
        <w:t>公务接待费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未发生公务接待支出，与</w:t>
      </w:r>
      <w:r>
        <w:rPr>
          <w:rFonts w:hint="eastAsia" w:ascii="仿宋_GB2312" w:hAnsi="Times New Roman" w:eastAsia="仿宋_GB2312" w:cs="DengXian-Regular"/>
          <w:sz w:val="32"/>
          <w:szCs w:val="32"/>
          <w:lang w:val="en-US" w:eastAsia="zh-CN"/>
        </w:rPr>
        <w:t>2018年度决算持平。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294.23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。从评价情况来看</w:t>
      </w:r>
      <w:r>
        <w:rPr>
          <w:rFonts w:hint="eastAsia" w:ascii="仿宋_GB2312" w:eastAsia="仿宋_GB2312" w:cs="DengXian-Regular"/>
          <w:sz w:val="32"/>
          <w:szCs w:val="32"/>
          <w:shd w:val="clear" w:color="auto" w:fill="auto"/>
        </w:rPr>
        <w:t>评价结果为优秀的项目有</w:t>
      </w:r>
      <w:r>
        <w:rPr>
          <w:rFonts w:hint="eastAsia" w:ascii="仿宋_GB2312" w:eastAsia="仿宋_GB2312" w:cs="DengXian-Regular"/>
          <w:sz w:val="32"/>
          <w:szCs w:val="32"/>
          <w:shd w:val="clear" w:color="auto" w:fill="auto"/>
          <w:lang w:val="en-US" w:eastAsia="zh-CN"/>
        </w:rPr>
        <w:t>6</w:t>
      </w:r>
      <w:r>
        <w:rPr>
          <w:rFonts w:hint="eastAsia" w:ascii="仿宋_GB2312" w:eastAsia="仿宋_GB2312" w:cs="DengXian-Regular"/>
          <w:sz w:val="32"/>
          <w:szCs w:val="32"/>
          <w:shd w:val="clear" w:color="auto" w:fill="auto"/>
        </w:rPr>
        <w:t>个</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620" w:lineRule="exact"/>
        <w:jc w:val="left"/>
        <w:rPr>
          <w:rFonts w:ascii="仿宋_GB2312" w:eastAsia="仿宋_GB2312" w:cs="DengXian-Regular"/>
          <w:sz w:val="32"/>
          <w:szCs w:val="32"/>
          <w:shd w:val="clear" w:color="auto" w:fill="auto"/>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本部门在今年部门决算公开中反映</w:t>
      </w:r>
      <w:r>
        <w:rPr>
          <w:rFonts w:hint="eastAsia" w:ascii="方正小标宋简体" w:hAnsi="方正小标宋简体" w:eastAsia="方正小标宋简体" w:cs="方正小标宋简体"/>
          <w:sz w:val="28"/>
          <w:szCs w:val="28"/>
          <w:lang w:eastAsia="zh-CN"/>
        </w:rPr>
        <w:t>拆除违建机械费及垃圾外运等</w:t>
      </w:r>
      <w:r>
        <w:rPr>
          <w:rFonts w:hint="eastAsia" w:ascii="仿宋_GB2312" w:hAnsi="仿宋_GB2312" w:eastAsia="仿宋_GB2312" w:cs="仿宋_GB2312"/>
          <w:sz w:val="32"/>
          <w:szCs w:val="32"/>
        </w:rPr>
        <w:t>项目绩效自评结果。</w:t>
      </w:r>
    </w:p>
    <w:p>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（1）</w:t>
      </w:r>
      <w:r>
        <w:rPr>
          <w:rFonts w:hint="eastAsia" w:ascii="方正小标宋简体" w:hAnsi="方正小标宋简体" w:eastAsia="方正小标宋简体" w:cs="方正小标宋简体"/>
          <w:sz w:val="28"/>
          <w:szCs w:val="28"/>
          <w:lang w:eastAsia="zh-CN"/>
        </w:rPr>
        <w:t>拆除违建机械费及垃圾外运</w:t>
      </w:r>
      <w:r>
        <w:rPr>
          <w:rFonts w:hint="eastAsia" w:ascii="仿宋_GB2312" w:hAnsi="仿宋_GB2312" w:eastAsia="仿宋_GB2312" w:cs="仿宋_GB2312"/>
          <w:sz w:val="32"/>
          <w:szCs w:val="32"/>
        </w:rPr>
        <w:t>自评综述：</w:t>
      </w:r>
      <w:r>
        <w:rPr>
          <w:rFonts w:hint="eastAsia" w:ascii="仿宋" w:hAnsi="仿宋" w:eastAsia="仿宋"/>
          <w:sz w:val="32"/>
          <w:szCs w:val="32"/>
        </w:rPr>
        <w:t>根据项目执行情况和项目绩效情况</w:t>
      </w:r>
      <w:r>
        <w:rPr>
          <w:rFonts w:hint="eastAsia" w:ascii="仿宋" w:hAnsi="仿宋" w:eastAsia="仿宋"/>
          <w:sz w:val="30"/>
          <w:szCs w:val="30"/>
        </w:rPr>
        <w:t>，</w:t>
      </w:r>
      <w:r>
        <w:rPr>
          <w:rFonts w:hint="eastAsia" w:ascii="方正小标宋简体" w:hAnsi="方正小标宋简体" w:eastAsia="方正小标宋简体" w:cs="方正小标宋简体"/>
          <w:sz w:val="30"/>
          <w:szCs w:val="30"/>
          <w:lang w:eastAsia="zh-CN"/>
        </w:rPr>
        <w:t>拆除违建机械费及垃圾外运项目</w:t>
      </w:r>
      <w:r>
        <w:rPr>
          <w:rFonts w:hint="eastAsia" w:ascii="仿宋" w:hAnsi="仿宋" w:eastAsia="仿宋"/>
          <w:sz w:val="32"/>
          <w:szCs w:val="32"/>
        </w:rPr>
        <w:t>绩效评价得分为9</w:t>
      </w:r>
      <w:r>
        <w:rPr>
          <w:rFonts w:hint="eastAsia" w:ascii="仿宋" w:hAnsi="仿宋" w:eastAsia="仿宋"/>
          <w:sz w:val="32"/>
          <w:szCs w:val="32"/>
          <w:lang w:val="en-US" w:eastAsia="zh-CN"/>
        </w:rPr>
        <w:t>8</w:t>
      </w:r>
      <w:r>
        <w:rPr>
          <w:rFonts w:hint="eastAsia" w:ascii="仿宋" w:hAnsi="仿宋" w:eastAsia="仿宋"/>
          <w:sz w:val="32"/>
          <w:szCs w:val="32"/>
        </w:rPr>
        <w:t>分，评价等级为优秀</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57.779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57.779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 w:hAnsi="仿宋" w:eastAsia="仿宋"/>
          <w:sz w:val="32"/>
          <w:szCs w:val="32"/>
        </w:rPr>
        <w:t>绩效指标权重根据本项目实际情况确定，总分设定为100分。产出指标40分，</w:t>
      </w:r>
      <w:r>
        <w:rPr>
          <w:rFonts w:hint="eastAsia" w:ascii="仿宋" w:hAnsi="仿宋" w:eastAsia="仿宋"/>
          <w:sz w:val="32"/>
          <w:szCs w:val="32"/>
          <w:lang w:eastAsia="zh-CN"/>
        </w:rPr>
        <w:t>包括项目经费拨付率</w:t>
      </w:r>
      <w:r>
        <w:rPr>
          <w:rFonts w:hint="eastAsia" w:ascii="仿宋" w:hAnsi="仿宋" w:eastAsia="仿宋"/>
          <w:sz w:val="32"/>
          <w:szCs w:val="32"/>
          <w:lang w:val="en-US" w:eastAsia="zh-CN"/>
        </w:rPr>
        <w:t>10分、项目资金拨付额度10分，工作完成及时率10分；</w:t>
      </w:r>
      <w:r>
        <w:rPr>
          <w:rFonts w:hint="eastAsia" w:ascii="仿宋" w:hAnsi="仿宋" w:eastAsia="仿宋"/>
          <w:sz w:val="32"/>
          <w:szCs w:val="32"/>
        </w:rPr>
        <w:t>预算执行率指标10分，包括预算资金</w:t>
      </w:r>
      <w:r>
        <w:rPr>
          <w:rFonts w:hint="eastAsia" w:ascii="仿宋" w:hAnsi="仿宋" w:eastAsia="仿宋"/>
          <w:sz w:val="32"/>
          <w:szCs w:val="32"/>
          <w:lang w:eastAsia="zh-CN"/>
        </w:rPr>
        <w:t>拨付进度</w:t>
      </w:r>
      <w:r>
        <w:rPr>
          <w:rFonts w:hint="eastAsia" w:ascii="仿宋" w:hAnsi="仿宋" w:eastAsia="仿宋"/>
          <w:sz w:val="32"/>
          <w:szCs w:val="32"/>
        </w:rPr>
        <w:t>10分；效益指标40分，包括</w:t>
      </w:r>
      <w:r>
        <w:rPr>
          <w:rFonts w:hint="eastAsia" w:ascii="仿宋" w:hAnsi="仿宋" w:eastAsia="仿宋"/>
          <w:sz w:val="32"/>
          <w:szCs w:val="32"/>
          <w:lang w:eastAsia="zh-CN"/>
        </w:rPr>
        <w:t>费用支付</w:t>
      </w:r>
      <w:r>
        <w:rPr>
          <w:rFonts w:hint="eastAsia" w:ascii="仿宋" w:hAnsi="仿宋" w:eastAsia="仿宋"/>
          <w:sz w:val="32"/>
          <w:szCs w:val="32"/>
        </w:rPr>
        <w:t>完成率</w:t>
      </w:r>
      <w:r>
        <w:rPr>
          <w:rFonts w:hint="eastAsia" w:ascii="仿宋" w:hAnsi="仿宋" w:eastAsia="仿宋"/>
          <w:sz w:val="32"/>
          <w:szCs w:val="32"/>
          <w:lang w:val="en-US" w:eastAsia="zh-CN"/>
        </w:rPr>
        <w:t>20分</w:t>
      </w:r>
      <w:r>
        <w:rPr>
          <w:rFonts w:hint="eastAsia" w:ascii="仿宋" w:hAnsi="仿宋" w:eastAsia="仿宋"/>
          <w:sz w:val="32"/>
          <w:szCs w:val="32"/>
        </w:rPr>
        <w:t>、保障人民群众生产生顺利开展</w:t>
      </w:r>
      <w:r>
        <w:rPr>
          <w:rFonts w:hint="eastAsia" w:ascii="仿宋" w:hAnsi="仿宋" w:eastAsia="仿宋"/>
          <w:sz w:val="32"/>
          <w:szCs w:val="32"/>
          <w:lang w:val="en-US" w:eastAsia="zh-CN"/>
        </w:rPr>
        <w:t>20分；</w:t>
      </w:r>
      <w:r>
        <w:rPr>
          <w:rFonts w:hint="eastAsia" w:ascii="仿宋" w:hAnsi="仿宋" w:eastAsia="仿宋"/>
          <w:sz w:val="32"/>
          <w:szCs w:val="32"/>
        </w:rPr>
        <w:t>满意度指标10分，包括群众满意度10分。</w:t>
      </w:r>
    </w:p>
    <w:p>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从该项目的实施情况来看，整个项目在资金安排、使用的过程中在某些方面存在不足，对于项目支出运行实践经验还有所欠缺，相关制度建设还有待进一步加强。</w:t>
      </w:r>
      <w:r>
        <w:rPr>
          <w:rFonts w:hint="eastAsia" w:ascii="仿宋_GB2312" w:hAnsi="仿宋_GB2312" w:eastAsia="仿宋_GB2312" w:cs="仿宋_GB2312"/>
          <w:sz w:val="32"/>
          <w:szCs w:val="32"/>
        </w:rPr>
        <w:t>下一步改进措施：</w:t>
      </w:r>
      <w:r>
        <w:rPr>
          <w:rFonts w:hint="eastAsia" w:ascii="仿宋" w:hAnsi="仿宋" w:eastAsia="仿宋"/>
          <w:sz w:val="32"/>
          <w:szCs w:val="32"/>
        </w:rPr>
        <w:t>接下来的有关项目中我单位将尽量做到科学、合理的分配资金，在财政资金按时到位的情况下，有序进行各项工作，以确保各项工作保质完成。</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其他项目自评结果附表。</w:t>
      </w:r>
    </w:p>
    <w:p>
      <w:pPr>
        <w:numPr>
          <w:ilvl w:val="0"/>
          <w:numId w:val="2"/>
        </w:numPr>
        <w:adjustRightInd w:val="0"/>
        <w:snapToGrid w:val="0"/>
        <w:spacing w:line="560" w:lineRule="exact"/>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w:t>
      </w:r>
    </w:p>
    <w:p>
      <w:pPr>
        <w:numPr>
          <w:ilvl w:val="0"/>
          <w:numId w:val="0"/>
        </w:numPr>
        <w:adjustRightInd w:val="0"/>
        <w:snapToGrid w:val="0"/>
        <w:spacing w:line="560" w:lineRule="exact"/>
        <w:ind w:firstLine="643" w:firstLineChars="200"/>
        <w:rPr>
          <w:rFonts w:hint="eastAsia" w:ascii="仿宋" w:hAnsi="仿宋" w:eastAsia="仿宋_GB2312"/>
          <w:sz w:val="32"/>
          <w:szCs w:val="32"/>
          <w:lang w:eastAsia="zh-CN"/>
        </w:rPr>
      </w:pPr>
      <w:r>
        <w:rPr>
          <w:rFonts w:hint="eastAsia" w:ascii="仿宋_GB2312" w:hAnsi="仿宋_GB2312" w:eastAsia="仿宋_GB2312" w:cs="仿宋_GB2312"/>
          <w:b/>
          <w:bCs/>
          <w:sz w:val="32"/>
          <w:szCs w:val="32"/>
          <w:lang w:eastAsia="zh-CN"/>
        </w:rPr>
        <w:t>无</w:t>
      </w:r>
      <w:bookmarkStart w:id="0" w:name="_GoBack"/>
      <w:bookmarkEnd w:id="0"/>
    </w:p>
    <w:tbl>
      <w:tblPr>
        <w:tblStyle w:val="6"/>
        <w:tblpPr w:leftFromText="180" w:rightFromText="180" w:vertAnchor="text" w:horzAnchor="page" w:tblpX="179" w:tblpY="2224"/>
        <w:tblOverlap w:val="never"/>
        <w:tblW w:w="114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35"/>
        <w:gridCol w:w="1320"/>
        <w:gridCol w:w="1755"/>
        <w:gridCol w:w="1695"/>
        <w:gridCol w:w="645"/>
        <w:gridCol w:w="1200"/>
        <w:gridCol w:w="900"/>
        <w:gridCol w:w="2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环保治理、土地违法、安全生产、食品安全、信访等支出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按支出情况信访、环保、土地、食品、安全生产、协税等工作及劳务费分配情况</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按支出情况信访、环保、土地、食品、安全生产、协税等工作及劳务费分配情况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经费保障率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协税等劳务费税收完成率</w:t>
            </w:r>
          </w:p>
        </w:tc>
        <w:tc>
          <w:tcPr>
            <w:tcW w:w="1200" w:type="dxa"/>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00"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91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保障政府为民服务正常开展</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学区工会费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按实际支出学区工会费</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按实际支出学区工会费</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经费保障率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工会经费保障率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工会费使用率</w:t>
            </w:r>
          </w:p>
        </w:tc>
        <w:tc>
          <w:tcPr>
            <w:tcW w:w="1200" w:type="dxa"/>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00"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91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保障职工工会生活顺利开展</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单位群众满意度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联防队员军龄补贴党报党刊等其他不可预见经费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109.93</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联防队员军龄补贴党报党刊等其他不可预见经费</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按实际情况支出关于联防队员军龄补贴党报党刊等其他不可预见经费</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经费保障率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疏通项目完成率</w:t>
            </w:r>
          </w:p>
        </w:tc>
        <w:tc>
          <w:tcPr>
            <w:tcW w:w="1200" w:type="dxa"/>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00"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91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联防队员军龄补贴党报党刊费正常支付</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政府工会费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按实际支出学区工会费</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按实际支出学区工会费</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经费保障率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工会费使用率</w:t>
            </w:r>
          </w:p>
        </w:tc>
        <w:tc>
          <w:tcPr>
            <w:tcW w:w="1200" w:type="dxa"/>
            <w:tcBorders>
              <w:top w:val="single" w:color="000000" w:sz="8" w:space="0"/>
              <w:left w:val="single" w:color="000000" w:sz="8" w:space="0"/>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00"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91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保障职工工会生活顺利开展</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职工满意率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禽蛋市场占地费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57.779</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按实际情况支出禽蛋市场占地费</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按实际情况支出禽蛋市场占地费</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补偿款发放完成率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保障占地费及时足额发放</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146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146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81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拆除违建机械费及垃圾外运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南孟镇人民政府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2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35.221</w:t>
            </w: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拆除违建机械费及垃圾外运</w:t>
            </w:r>
          </w:p>
        </w:tc>
        <w:tc>
          <w:tcPr>
            <w:tcW w:w="27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拆除违建机械费及垃圾外运</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补偿款发放完成率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保障人民群众生产生顺利开展</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9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4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张文彦</w:t>
            </w: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88307010</w:t>
            </w:r>
          </w:p>
        </w:tc>
        <w:tc>
          <w:tcPr>
            <w:tcW w:w="9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adjustRightInd w:val="0"/>
        <w:snapToGrid w:val="0"/>
        <w:spacing w:line="560" w:lineRule="exact"/>
        <w:ind w:firstLine="640" w:firstLineChars="200"/>
        <w:rPr>
          <w:rFonts w:hint="eastAsia" w:ascii="仿宋" w:hAnsi="仿宋" w:eastAsia="仿宋"/>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101.49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5.47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5.11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厉行节约，压减开支</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3" w:firstLineChars="200"/>
        <w:jc w:val="lef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辆，主要是</w:t>
      </w:r>
      <w:r>
        <w:rPr>
          <w:rFonts w:hint="eastAsia" w:ascii="仿宋_GB2312" w:eastAsia="仿宋_GB2312" w:cs="DengXian-Regular"/>
          <w:sz w:val="32"/>
          <w:szCs w:val="32"/>
        </w:rPr>
        <w:t>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本部门2019年度无收支及结转结余情况，故以空表列示。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r>
        <w:rPr>
          <w:sz w:val="72"/>
        </w:rPr>
        <mc:AlternateContent>
          <mc:Choice Requires="wps">
            <w:drawing>
              <wp:anchor distT="0" distB="0" distL="114300" distR="114300" simplePos="0" relativeHeight="251677696" behindDoc="0" locked="0" layoutInCell="1" allowOverlap="1">
                <wp:simplePos x="0" y="0"/>
                <wp:positionH relativeFrom="column">
                  <wp:posOffset>-1002665</wp:posOffset>
                </wp:positionH>
                <wp:positionV relativeFrom="paragraph">
                  <wp:posOffset>-1280160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ind w:firstLine="900" w:firstLineChars="100"/>
                              <w:jc w:val="both"/>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78.95pt;margin-top:-100.8pt;height:263.1pt;width:613.65pt;z-index:251677696;v-text-anchor:middle;mso-width-relative:page;mso-height-relative:page;" fillcolor="#FFD966" filled="t" stroked="t" coordsize="21600,21600" o:gfxdata="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SSPri3QAAAA4BAAAPAAAAAAAAAAEAIAAAACIAAABkcnMvZG93bnJldi54bWxQSwECFAAUAAAA&#10;CACHTuJAZD9bv1sCAAC6BAAADgAAAAAAAAABACAAAAAsAQAAZHJzL2Uyb0RvYy54bWxQSwUGAAAA&#10;AAYABgBZAQAA+QUAAAAA&#10;">
                <v:fill type="pattern" on="t" color2="#FFFFFF [3212]" focussize="0,0" r:id="rId26"/>
                <v:stroke weight="0.5pt" color="#FFD966 [3204]" joinstyle="round"/>
                <v:imagedata o:title=""/>
                <o:lock v:ext="edit" aspectratio="f"/>
                <v:textbox>
                  <w:txbxContent>
                    <w:p>
                      <w:pPr>
                        <w:widowControl/>
                        <w:ind w:firstLine="900" w:firstLineChars="100"/>
                        <w:jc w:val="both"/>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
      <w:pPr>
        <w:tabs>
          <w:tab w:val="left" w:pos="886"/>
        </w:tabs>
        <w:jc w:val="left"/>
        <w:sectPr>
          <w:headerReference r:id="rId18" w:type="first"/>
          <w:footerReference r:id="rId20" w:type="first"/>
          <w:headerReference r:id="rId17" w:type="default"/>
          <w:footerReference r:id="rId19" w:type="defaul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872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872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Ind w:w="0" w:type="dxa"/>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25167974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974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_GBK">
    <w:altName w:val="Times New Roman"/>
    <w:panose1 w:val="00000000000000000000"/>
    <w:charset w:val="00"/>
    <w:family w:val="auto"/>
    <w:pitch w:val="default"/>
    <w:sig w:usb0="00000000" w:usb1="00000000" w:usb2="00000000" w:usb3="00000000" w:csb0="00000001" w:csb1="00000000"/>
  </w:font>
  <w:font w:name="ArialUnicodeMS">
    <w:altName w:val="Malgun Gothic"/>
    <w:panose1 w:val="00000000000000000000"/>
    <w:charset w:val="81"/>
    <w:family w:val="auto"/>
    <w:pitch w:val="default"/>
    <w:sig w:usb0="00000000" w:usb1="00000000" w:usb2="00000010" w:usb3="00000000" w:csb0="00080001" w:csb1="00000000"/>
  </w:font>
  <w:font w:name="方正书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简体">
    <w:altName w:val="宋体"/>
    <w:panose1 w:val="02010601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99C9D5"/>
    <w:multiLevelType w:val="singleLevel"/>
    <w:tmpl w:val="6A99C9D5"/>
    <w:lvl w:ilvl="0" w:tentative="0">
      <w:start w:val="3"/>
      <w:numFmt w:val="decimal"/>
      <w:suff w:val="nothing"/>
      <w:lvlText w:val="%1、"/>
      <w:lvlJc w:val="left"/>
    </w:lvl>
  </w:abstractNum>
  <w:abstractNum w:abstractNumId="1">
    <w:nsid w:val="78843A82"/>
    <w:multiLevelType w:val="singleLevel"/>
    <w:tmpl w:val="78843A82"/>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1F5B46"/>
    <w:rsid w:val="033641F1"/>
    <w:rsid w:val="05B00A30"/>
    <w:rsid w:val="087C4605"/>
    <w:rsid w:val="08B76DC4"/>
    <w:rsid w:val="09487B63"/>
    <w:rsid w:val="09EC53B3"/>
    <w:rsid w:val="0B011416"/>
    <w:rsid w:val="0D0519CE"/>
    <w:rsid w:val="0D783100"/>
    <w:rsid w:val="0DF13987"/>
    <w:rsid w:val="0EB44FA3"/>
    <w:rsid w:val="0F165C57"/>
    <w:rsid w:val="0F5F7ABB"/>
    <w:rsid w:val="117E7040"/>
    <w:rsid w:val="181D6693"/>
    <w:rsid w:val="1B4D52AF"/>
    <w:rsid w:val="23640162"/>
    <w:rsid w:val="24443302"/>
    <w:rsid w:val="24621E9D"/>
    <w:rsid w:val="25337B5C"/>
    <w:rsid w:val="25A21A64"/>
    <w:rsid w:val="285E1D60"/>
    <w:rsid w:val="2B455CBD"/>
    <w:rsid w:val="2B7A1123"/>
    <w:rsid w:val="2B814884"/>
    <w:rsid w:val="31C2036A"/>
    <w:rsid w:val="320D02A5"/>
    <w:rsid w:val="348E566F"/>
    <w:rsid w:val="363C0F91"/>
    <w:rsid w:val="37510D96"/>
    <w:rsid w:val="39A41560"/>
    <w:rsid w:val="3A226944"/>
    <w:rsid w:val="3A543735"/>
    <w:rsid w:val="3AEE6A48"/>
    <w:rsid w:val="3B8D7103"/>
    <w:rsid w:val="3BAF7317"/>
    <w:rsid w:val="3C1620AA"/>
    <w:rsid w:val="3D8F080F"/>
    <w:rsid w:val="3FE32DEE"/>
    <w:rsid w:val="44112F1E"/>
    <w:rsid w:val="44CE1FA4"/>
    <w:rsid w:val="45900EBA"/>
    <w:rsid w:val="487F73ED"/>
    <w:rsid w:val="497E7671"/>
    <w:rsid w:val="49B118CB"/>
    <w:rsid w:val="4A347EAE"/>
    <w:rsid w:val="4A506E00"/>
    <w:rsid w:val="4ACA3550"/>
    <w:rsid w:val="5009574C"/>
    <w:rsid w:val="52564A06"/>
    <w:rsid w:val="52600405"/>
    <w:rsid w:val="529B4319"/>
    <w:rsid w:val="533F5B56"/>
    <w:rsid w:val="56AB1EE2"/>
    <w:rsid w:val="57773DD6"/>
    <w:rsid w:val="578B79AB"/>
    <w:rsid w:val="5A802DBF"/>
    <w:rsid w:val="5BBA153A"/>
    <w:rsid w:val="5CCD3FD5"/>
    <w:rsid w:val="5E2D00C3"/>
    <w:rsid w:val="61FA5F9D"/>
    <w:rsid w:val="6280047E"/>
    <w:rsid w:val="631E22C4"/>
    <w:rsid w:val="632146C5"/>
    <w:rsid w:val="64CB0076"/>
    <w:rsid w:val="64CD6910"/>
    <w:rsid w:val="66956BF7"/>
    <w:rsid w:val="6789158D"/>
    <w:rsid w:val="67D81BA4"/>
    <w:rsid w:val="6A2A61B1"/>
    <w:rsid w:val="6A64029E"/>
    <w:rsid w:val="6AAF1C96"/>
    <w:rsid w:val="6CAD4813"/>
    <w:rsid w:val="6DDF2CA0"/>
    <w:rsid w:val="70524656"/>
    <w:rsid w:val="711D4AE5"/>
    <w:rsid w:val="71F00DF1"/>
    <w:rsid w:val="74321C3E"/>
    <w:rsid w:val="75681757"/>
    <w:rsid w:val="75745255"/>
    <w:rsid w:val="75A346A8"/>
    <w:rsid w:val="75B84C92"/>
    <w:rsid w:val="76A556D6"/>
    <w:rsid w:val="76CC1984"/>
    <w:rsid w:val="77216905"/>
    <w:rsid w:val="78C04812"/>
    <w:rsid w:val="79B9382C"/>
    <w:rsid w:val="7AE94384"/>
    <w:rsid w:val="7B043B76"/>
    <w:rsid w:val="7C041A6A"/>
    <w:rsid w:val="7DB34CFF"/>
    <w:rsid w:val="7E327570"/>
    <w:rsid w:val="7E4D6B9A"/>
    <w:rsid w:val="7E6D6D2C"/>
    <w:rsid w:val="7E881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1.bmp"/><Relationship Id="rId25" Type="http://schemas.openxmlformats.org/officeDocument/2006/relationships/theme" Target="theme/theme1.xml"/><Relationship Id="rId24" Type="http://schemas.openxmlformats.org/officeDocument/2006/relationships/footer" Target="footer9.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50"/>
              <a:t>图</a:t>
            </a:r>
            <a:r>
              <a:rPr lang="en-US" altLang="zh-CN" sz="1050"/>
              <a:t>1:2019</a:t>
            </a:r>
            <a:r>
              <a:rPr altLang="en-US" sz="1050"/>
              <a:t>与</a:t>
            </a:r>
            <a:r>
              <a:rPr lang="en-US" altLang="zh-CN" sz="1050"/>
              <a:t>2018</a:t>
            </a:r>
            <a:r>
              <a:rPr altLang="zh-CN" sz="1050"/>
              <a:t>收支决算对比</a:t>
            </a:r>
            <a:endParaRPr altLang="zh-CN" sz="1050"/>
          </a:p>
        </c:rich>
      </c:tx>
      <c:layout>
        <c:manualLayout>
          <c:xMode val="edge"/>
          <c:yMode val="edge"/>
          <c:x val="0.254129692832764"/>
          <c:y val="0.919602529358627"/>
        </c:manualLayout>
      </c:layout>
      <c:overlay val="0"/>
      <c:spPr>
        <a:noFill/>
        <a:ln>
          <a:noFill/>
        </a:ln>
        <a:effectLst/>
      </c:spPr>
    </c:title>
    <c:autoTitleDeleted val="0"/>
    <c:plotArea>
      <c:layout>
        <c:manualLayout>
          <c:layoutTarget val="inner"/>
          <c:xMode val="edge"/>
          <c:yMode val="edge"/>
          <c:x val="0.0941433447098976"/>
          <c:y val="0.14453477868112"/>
          <c:w val="0.818894197952218"/>
          <c:h val="0.6593315266486"/>
        </c:manualLayout>
      </c:layout>
      <c:barChart>
        <c:barDir val="col"/>
        <c:grouping val="clustered"/>
        <c:varyColors val="0"/>
        <c:ser>
          <c:idx val="0"/>
          <c:order val="0"/>
          <c:tx>
            <c:strRef>
              <c:f>Sheet1!$B$1</c:f>
              <c:strCache>
                <c:ptCount val="1"/>
                <c:pt idx="0">
                  <c:v>2019年收支总计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3642.95</c:v>
                </c:pt>
              </c:numCache>
            </c:numRef>
          </c:val>
        </c:ser>
        <c:ser>
          <c:idx val="1"/>
          <c:order val="1"/>
          <c:tx>
            <c:strRef>
              <c:f>Sheet1!$C$1</c:f>
              <c:strCache>
                <c:ptCount val="1"/>
                <c:pt idx="0">
                  <c:v>2018年收支总计</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5273.39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numRef>
              <c:f>Sheet1!$A$2</c:f>
              <c:numCache>
                <c:formatCode>General</c:formatCode>
                <c:ptCount val="1"/>
              </c:numCache>
            </c:num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880757870"/>
        <c:axId val="878939090"/>
      </c:barChart>
      <c:catAx>
        <c:axId val="88075787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8939090"/>
        <c:crosses val="autoZero"/>
        <c:auto val="1"/>
        <c:lblAlgn val="ctr"/>
        <c:lblOffset val="100"/>
        <c:noMultiLvlLbl val="0"/>
      </c:catAx>
      <c:valAx>
        <c:axId val="8789390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0757870"/>
        <c:crosses val="autoZero"/>
        <c:crossBetween val="between"/>
      </c:valAx>
      <c:spPr>
        <a:noFill/>
        <a:ln>
          <a:noFill/>
        </a:ln>
        <a:effectLst/>
      </c:spPr>
    </c:plotArea>
    <c:legend>
      <c:legendPos val="b"/>
      <c:legendEntry>
        <c:idx val="2"/>
        <c:delete val="1"/>
      </c:legendEntry>
      <c:layout>
        <c:manualLayout>
          <c:xMode val="edge"/>
          <c:yMode val="edge"/>
          <c:x val="0.26061433447099"/>
          <c:y val="0.8205962059620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50"/>
              <a:t>图</a:t>
            </a:r>
            <a:r>
              <a:rPr lang="en-US" altLang="zh-CN" sz="1050"/>
              <a:t>2:</a:t>
            </a:r>
            <a:r>
              <a:rPr altLang="zh-CN" sz="1050"/>
              <a:t>支出构成情况（按支出性质）</a:t>
            </a:r>
            <a:endParaRPr altLang="zh-CN" sz="1050"/>
          </a:p>
        </c:rich>
      </c:tx>
      <c:layout>
        <c:manualLayout>
          <c:xMode val="edge"/>
          <c:yMode val="edge"/>
          <c:x val="0.189452815226011"/>
          <c:y val="0.843416370106762"/>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Lbls>
            <c:dLbl>
              <c:idx val="2"/>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Sheet1!$B$2:$B$4</c:f>
              <c:numCache>
                <c:formatCode>General</c:formatCode>
                <c:ptCount val="3"/>
                <c:pt idx="0">
                  <c:v>3455.65</c:v>
                </c:pt>
                <c:pt idx="1">
                  <c:v>187.3</c:v>
                </c:pt>
                <c:pt idx="2">
                  <c:v>0</c:v>
                </c:pt>
              </c:numCache>
            </c:numRef>
          </c:val>
        </c:ser>
        <c:ser>
          <c:idx val="1"/>
          <c:order val="1"/>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Sheet1!$C$2:$C$4</c:f>
              <c:numCache>
                <c:formatCode>0.00%</c:formatCode>
                <c:ptCount val="3"/>
                <c:pt idx="0">
                  <c:v>0.9486</c:v>
                </c:pt>
                <c:pt idx="1">
                  <c:v>0.0514</c:v>
                </c:pt>
                <c:pt idx="2" c:formatCode="0%">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50" b="0" i="0" u="none" strike="noStrike" kern="1200" spc="0" baseline="0">
                <a:solidFill>
                  <a:schemeClr val="tx1">
                    <a:lumMod val="65000"/>
                    <a:lumOff val="35000"/>
                  </a:schemeClr>
                </a:solidFill>
                <a:latin typeface="+mn-lt"/>
                <a:ea typeface="+mn-ea"/>
                <a:cs typeface="+mn-cs"/>
              </a:defRPr>
            </a:pPr>
            <a:r>
              <a:rPr sz="1050"/>
              <a:t>图</a:t>
            </a:r>
            <a:r>
              <a:rPr lang="en-US" altLang="zh-CN" sz="1050"/>
              <a:t>3</a:t>
            </a:r>
            <a:r>
              <a:rPr altLang="en-US" sz="1050"/>
              <a:t>：财政拨款收支与年初预算对比</a:t>
            </a:r>
            <a:endParaRPr altLang="en-US" sz="1050"/>
          </a:p>
        </c:rich>
      </c:tx>
      <c:layout>
        <c:manualLayout>
          <c:xMode val="edge"/>
          <c:yMode val="edge"/>
          <c:x val="0.235581555402615"/>
          <c:y val="0.905487804878049"/>
        </c:manualLayout>
      </c:layout>
      <c:overlay val="0"/>
      <c:spPr>
        <a:noFill/>
        <a:ln>
          <a:noFill/>
        </a:ln>
        <a:effectLst/>
      </c:spPr>
    </c:title>
    <c:autoTitleDeleted val="0"/>
    <c:plotArea>
      <c:layout>
        <c:manualLayout>
          <c:layoutTarget val="inner"/>
          <c:xMode val="edge"/>
          <c:yMode val="edge"/>
          <c:x val="0.0227"/>
          <c:y val="0.005"/>
          <c:w val="0.92605"/>
          <c:h val="0.7084"/>
        </c:manualLayout>
      </c:layout>
      <c:barChart>
        <c:barDir val="col"/>
        <c:grouping val="clustered"/>
        <c:varyColors val="0"/>
        <c:ser>
          <c:idx val="0"/>
          <c:order val="0"/>
          <c:tx>
            <c:strRef>
              <c:f>Sheet1!#REF!</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一般公共预算收入/年初预算</c:v>
                </c:pt>
                <c:pt idx="1">
                  <c:v>本年支出/预算支出</c:v>
                </c:pt>
              </c:strCache>
            </c:strRef>
          </c:cat>
          <c:val>
            <c:numRef>
              <c:f>Sheet1!$B$2:$B$3</c:f>
              <c:numCache>
                <c:formatCode>General</c:formatCode>
                <c:ptCount val="2"/>
                <c:pt idx="0">
                  <c:v>3642.95</c:v>
                </c:pt>
                <c:pt idx="1">
                  <c:v>3642.95</c:v>
                </c:pt>
              </c:numCache>
            </c:numRef>
          </c:val>
        </c:ser>
        <c:ser>
          <c:idx val="1"/>
          <c:order val="1"/>
          <c:tx>
            <c:strRef>
              <c:f>Sheet1!$C$1</c:f>
              <c:strCache>
                <c:ptCount val="1"/>
                <c:pt idx="0">
                  <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一般公共预算收入/年初预算</c:v>
                </c:pt>
                <c:pt idx="1">
                  <c:v>本年支出/预算支出</c:v>
                </c:pt>
              </c:strCache>
            </c:strRef>
          </c:cat>
          <c:val>
            <c:numRef>
              <c:f>Sheet1!$C$2:$C$3</c:f>
              <c:numCache>
                <c:formatCode>General</c:formatCode>
                <c:ptCount val="2"/>
                <c:pt idx="0">
                  <c:v>4098.14</c:v>
                </c:pt>
                <c:pt idx="1">
                  <c:v>4098.14</c:v>
                </c:pt>
              </c:numCache>
            </c:numRef>
          </c:val>
        </c:ser>
        <c:ser>
          <c:idx val="2"/>
          <c:order val="2"/>
          <c:tx>
            <c:strRef>
              <c:f>Sheet1!#REF!</c:f>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一般公共预算收入/年初预算</c:v>
                </c:pt>
                <c:pt idx="1">
                  <c:v>本年支出/预算支出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226618313"/>
        <c:axId val="918389485"/>
      </c:barChart>
      <c:catAx>
        <c:axId val="2266183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8389485"/>
        <c:crosses val="autoZero"/>
        <c:auto val="1"/>
        <c:lblAlgn val="ctr"/>
        <c:lblOffset val="100"/>
        <c:noMultiLvlLbl val="0"/>
      </c:catAx>
      <c:valAx>
        <c:axId val="91838948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661831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50"/>
              <a:t>图</a:t>
            </a:r>
            <a:r>
              <a:rPr lang="en-US" altLang="zh-CN" sz="1050"/>
              <a:t>4</a:t>
            </a:r>
            <a:r>
              <a:rPr altLang="en-US" sz="1050"/>
              <a:t>：财政拨款支出决算结构情况</a:t>
            </a:r>
            <a:endParaRPr altLang="en-US" sz="1050"/>
          </a:p>
        </c:rich>
      </c:tx>
      <c:layout>
        <c:manualLayout>
          <c:xMode val="edge"/>
          <c:yMode val="edge"/>
          <c:x val="0.222051965356429"/>
          <c:y val="0.911460405889375"/>
        </c:manualLayout>
      </c:layout>
      <c:overlay val="0"/>
      <c:spPr>
        <a:noFill/>
        <a:ln>
          <a:noFill/>
        </a:ln>
        <a:effectLst/>
      </c:spPr>
    </c:title>
    <c:autoTitleDeleted val="0"/>
    <c:plotArea>
      <c:layout>
        <c:manualLayout>
          <c:layoutTarget val="inner"/>
          <c:xMode val="edge"/>
          <c:yMode val="edge"/>
          <c:x val="0.149580279813458"/>
          <c:y val="0.156287306008754"/>
          <c:w val="0.755549633577615"/>
          <c:h val="0.62692001591723"/>
        </c:manualLayout>
      </c:layout>
      <c:barChart>
        <c:barDir val="col"/>
        <c:grouping val="clustered"/>
        <c:varyColors val="0"/>
        <c:ser>
          <c:idx val="0"/>
          <c:order val="0"/>
          <c:spPr>
            <a:solidFill>
              <a:schemeClr val="accent2"/>
            </a:solidFill>
            <a:ln>
              <a:noFill/>
            </a:ln>
            <a:effectLst/>
          </c:spPr>
          <c:invertIfNegative val="0"/>
          <c:dPt>
            <c:idx val="0"/>
            <c:invertIfNegative val="0"/>
            <c:bubble3D val="0"/>
            <c:spPr>
              <a:solidFill>
                <a:schemeClr val="accent1"/>
              </a:solidFill>
              <a:ln>
                <a:noFill/>
              </a:ln>
              <a:effectLst/>
            </c:spPr>
          </c:dPt>
          <c:dPt>
            <c:idx val="2"/>
            <c:invertIfNegative val="0"/>
            <c:bubble3D val="0"/>
            <c:spPr>
              <a:solidFill>
                <a:schemeClr val="accent4"/>
              </a:solidFill>
              <a:ln>
                <a:no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Sheet1!$A$1:$C$1</c:f>
              <c:strCache>
                <c:ptCount val="3"/>
                <c:pt idx="0">
                  <c:v>财政拨款支出</c:v>
                </c:pt>
                <c:pt idx="1">
                  <c:v>一般公共服务</c:v>
                </c:pt>
                <c:pt idx="2">
                  <c:v>教育</c:v>
                </c:pt>
              </c:strCache>
            </c:strRef>
          </c:cat>
          <c:val>
            <c:numRef>
              <c:f>Sheet1!$A$2:$C$2</c:f>
              <c:numCache>
                <c:formatCode>General</c:formatCode>
                <c:ptCount val="3"/>
                <c:pt idx="0">
                  <c:v>3642.95</c:v>
                </c:pt>
                <c:pt idx="1">
                  <c:v>855.16</c:v>
                </c:pt>
                <c:pt idx="2">
                  <c:v>2787.79</c:v>
                </c:pt>
              </c:numCache>
            </c:numRef>
          </c:val>
        </c:ser>
        <c:ser>
          <c:idx val="1"/>
          <c:order val="1"/>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Sheet1!$A$1:$C$1</c:f>
              <c:strCache>
                <c:ptCount val="3"/>
                <c:pt idx="0">
                  <c:v>财政拨款支出</c:v>
                </c:pt>
                <c:pt idx="1">
                  <c:v>一般公共服务</c:v>
                </c:pt>
                <c:pt idx="2">
                  <c:v>教育</c:v>
                </c:pt>
              </c:strCache>
            </c:strRef>
          </c:cat>
          <c:val>
            <c:numRef>
              <c:f>Sheet1!$A$3:$C$3</c:f>
              <c:numCache>
                <c:formatCode>0%</c:formatCode>
                <c:ptCount val="3"/>
                <c:pt idx="0">
                  <c:v>1</c:v>
                </c:pt>
                <c:pt idx="1" c:formatCode="0.00%">
                  <c:v>0.2347</c:v>
                </c:pt>
                <c:pt idx="2" c:formatCode="0.00%">
                  <c:v>0.7653</c:v>
                </c:pt>
              </c:numCache>
            </c:numRef>
          </c:val>
        </c:ser>
        <c:dLbls>
          <c:showLegendKey val="0"/>
          <c:showVal val="1"/>
          <c:showCatName val="0"/>
          <c:showSerName val="0"/>
          <c:showPercent val="0"/>
          <c:showBubbleSize val="0"/>
        </c:dLbls>
        <c:gapWidth val="219"/>
        <c:overlap val="-27"/>
        <c:axId val="495550464"/>
        <c:axId val="903260587"/>
      </c:barChart>
      <c:catAx>
        <c:axId val="49555046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3260587"/>
        <c:crosses val="autoZero"/>
        <c:auto val="1"/>
        <c:lblAlgn val="ctr"/>
        <c:lblOffset val="100"/>
        <c:noMultiLvlLbl val="0"/>
      </c:catAx>
      <c:valAx>
        <c:axId val="9032605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5550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9</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张文彦</cp:lastModifiedBy>
  <cp:lastPrinted>2020-07-30T02:37:00Z</cp:lastPrinted>
  <dcterms:modified xsi:type="dcterms:W3CDTF">2021-06-21T08:38:07Z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