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中国共产党石家庄市藁城区纪律检查委员会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hint="eastAsia"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4384"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4384;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）负责全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党的纪律检查工作。贯彻落实党中央和省</w:t>
      </w:r>
      <w:r>
        <w:rPr>
          <w:rFonts w:hint="eastAsia" w:ascii="仿宋_GB2312" w:hAnsi="仿宋_GB2312" w:eastAsia="仿宋_GB2312" w:cs="仿宋_GB2312"/>
          <w:sz w:val="32"/>
          <w:szCs w:val="32"/>
          <w:lang w:eastAsia="zh-CN"/>
        </w:rPr>
        <w:t>、市、区</w:t>
      </w:r>
      <w:r>
        <w:rPr>
          <w:rFonts w:hint="eastAsia" w:ascii="仿宋_GB2312" w:hAnsi="仿宋_GB2312" w:eastAsia="仿宋_GB2312" w:cs="仿宋_GB2312"/>
          <w:sz w:val="32"/>
          <w:szCs w:val="32"/>
        </w:rPr>
        <w:t>委关于纪律检查工作的决策部署，维护党的章程和其他党内法规，</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党的路线方针政策和决议的执行情况，协助</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委推进全面从严治党、加强党风建设和组织协调反腐败工作。</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（二）依照党的章程和其他党内法规履行监督、执纪、问责职责。负责经常对党员进行遵守纪律的教育，作出关于维护党纪的决定；对</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委工作机关、</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委批准设立的党组（党委），</w:t>
      </w:r>
      <w:r>
        <w:rPr>
          <w:rFonts w:hint="eastAsia" w:ascii="仿宋_GB2312" w:hAnsi="仿宋_GB2312" w:eastAsia="仿宋_GB2312" w:cs="仿宋_GB2312"/>
          <w:sz w:val="32"/>
          <w:szCs w:val="32"/>
          <w:lang w:eastAsia="zh-CN"/>
        </w:rPr>
        <w:t>各乡镇</w:t>
      </w:r>
      <w:r>
        <w:rPr>
          <w:rFonts w:hint="eastAsia" w:ascii="仿宋_GB2312" w:hAnsi="仿宋_GB2312" w:eastAsia="仿宋_GB2312" w:cs="仿宋_GB2312"/>
          <w:sz w:val="32"/>
          <w:szCs w:val="32"/>
        </w:rPr>
        <w:t>党委、纪委等党的组织和</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（三）支持配合</w:t>
      </w:r>
      <w:r>
        <w:rPr>
          <w:rFonts w:hint="eastAsia" w:ascii="仿宋_GB2312" w:hAnsi="仿宋_GB2312" w:eastAsia="仿宋_GB2312" w:cs="仿宋_GB2312"/>
          <w:sz w:val="32"/>
          <w:szCs w:val="32"/>
          <w:lang w:eastAsia="zh-CN"/>
        </w:rPr>
        <w:t>巡视巡察</w:t>
      </w:r>
      <w:r>
        <w:rPr>
          <w:rFonts w:hint="eastAsia" w:ascii="仿宋_GB2312" w:hAnsi="仿宋_GB2312" w:eastAsia="仿宋_GB2312" w:cs="仿宋_GB2312"/>
          <w:sz w:val="32"/>
          <w:szCs w:val="32"/>
        </w:rPr>
        <w:t>工作。承担</w:t>
      </w:r>
      <w:r>
        <w:rPr>
          <w:rFonts w:hint="eastAsia" w:ascii="仿宋_GB2312" w:hAnsi="仿宋_GB2312" w:eastAsia="仿宋_GB2312" w:cs="仿宋_GB2312"/>
          <w:sz w:val="32"/>
          <w:szCs w:val="32"/>
          <w:lang w:eastAsia="zh-CN"/>
        </w:rPr>
        <w:t>巡视巡察</w:t>
      </w:r>
      <w:r>
        <w:rPr>
          <w:rFonts w:hint="eastAsia" w:ascii="仿宋_GB2312" w:hAnsi="仿宋_GB2312" w:eastAsia="仿宋_GB2312" w:cs="仿宋_GB2312"/>
          <w:sz w:val="32"/>
          <w:szCs w:val="32"/>
        </w:rPr>
        <w:t>整改日常监督责任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w:t>
      </w:r>
      <w:r>
        <w:rPr>
          <w:rFonts w:hint="eastAsia" w:ascii="仿宋_GB2312" w:hAnsi="仿宋_GB2312" w:eastAsia="仿宋_GB2312" w:cs="仿宋_GB2312"/>
          <w:sz w:val="32"/>
          <w:szCs w:val="32"/>
          <w:lang w:eastAsia="zh-CN"/>
        </w:rPr>
        <w:t>巡视巡察</w:t>
      </w: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eastAsia="zh-CN"/>
        </w:rPr>
        <w:t>督查</w:t>
      </w:r>
      <w:r>
        <w:rPr>
          <w:rFonts w:hint="eastAsia" w:ascii="仿宋_GB2312" w:hAnsi="仿宋_GB2312" w:eastAsia="仿宋_GB2312" w:cs="仿宋_GB2312"/>
          <w:sz w:val="32"/>
          <w:szCs w:val="32"/>
        </w:rPr>
        <w:t>督办工作，依规依纪依法处置</w:t>
      </w:r>
      <w:r>
        <w:rPr>
          <w:rFonts w:hint="eastAsia" w:ascii="仿宋_GB2312" w:hAnsi="仿宋_GB2312" w:eastAsia="仿宋_GB2312" w:cs="仿宋_GB2312"/>
          <w:sz w:val="32"/>
          <w:szCs w:val="32"/>
          <w:lang w:eastAsia="zh-CN"/>
        </w:rPr>
        <w:t>中央、省、市</w:t>
      </w:r>
      <w:r>
        <w:rPr>
          <w:rFonts w:hint="eastAsia" w:ascii="仿宋_GB2312" w:hAnsi="仿宋_GB2312" w:eastAsia="仿宋_GB2312" w:cs="仿宋_GB2312"/>
          <w:sz w:val="32"/>
          <w:szCs w:val="32"/>
        </w:rPr>
        <w:t>巡视</w:t>
      </w:r>
      <w:r>
        <w:rPr>
          <w:rFonts w:hint="eastAsia" w:ascii="仿宋_GB2312" w:hAnsi="仿宋_GB2312" w:eastAsia="仿宋_GB2312" w:cs="仿宋_GB2312"/>
          <w:sz w:val="32"/>
          <w:szCs w:val="32"/>
          <w:lang w:eastAsia="zh-CN"/>
        </w:rPr>
        <w:t>巡察</w:t>
      </w:r>
      <w:r>
        <w:rPr>
          <w:rFonts w:hint="eastAsia" w:ascii="仿宋_GB2312" w:hAnsi="仿宋_GB2312" w:eastAsia="仿宋_GB2312" w:cs="仿宋_GB2312"/>
          <w:sz w:val="32"/>
          <w:szCs w:val="32"/>
        </w:rPr>
        <w:t>移交的反映干部问题线索。</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监察工作。贯彻落实</w:t>
      </w:r>
      <w:r>
        <w:rPr>
          <w:rFonts w:hint="eastAsia" w:ascii="仿宋_GB2312" w:hAnsi="仿宋_GB2312" w:eastAsia="仿宋_GB2312" w:cs="仿宋_GB2312"/>
          <w:sz w:val="32"/>
          <w:szCs w:val="32"/>
          <w:lang w:eastAsia="zh-CN"/>
        </w:rPr>
        <w:t>上级机关</w:t>
      </w:r>
      <w:r>
        <w:rPr>
          <w:rFonts w:hint="eastAsia" w:ascii="仿宋_GB2312" w:hAnsi="仿宋_GB2312" w:eastAsia="仿宋_GB2312" w:cs="仿宋_GB2312"/>
          <w:sz w:val="32"/>
          <w:szCs w:val="32"/>
        </w:rPr>
        <w:t>关于监察工作的决策部署，维护宪法法律，依法对</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委管理的行使公权力的公职人员进行监察，调查职务违法和职务犯罪，开展廉政建设和反腐败工作。</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（五）依照法律规定履行监督、调查、处置职责。推动开展廉政教育，对</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委管理的行使公权力的公职人员依法履职秉公用权、廉洁从政从业以及道德操守情况进行监督检查；对涉嫌贪污贿赂、滥用职权、玩忽职守、权力寻租、利益输送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徇私舞弊以及浪费国家资财等职务违法和职务犯罪进行调查；对违法的公职人员依法作出政务处分决定；对履行职责不力失职失责的领导人员进行问责；对涉嫌职务犯罪的，将调查结果移送人民检察院依法</w:t>
      </w:r>
      <w:r>
        <w:rPr>
          <w:rFonts w:hint="eastAsia" w:ascii="仿宋_GB2312" w:hAnsi="仿宋_GB2312" w:eastAsia="仿宋_GB2312" w:cs="仿宋_GB2312"/>
          <w:sz w:val="32"/>
          <w:szCs w:val="32"/>
          <w:lang w:eastAsia="zh-CN"/>
        </w:rPr>
        <w:t>审查</w:t>
      </w:r>
      <w:r>
        <w:rPr>
          <w:rFonts w:hint="eastAsia" w:ascii="仿宋_GB2312" w:hAnsi="仿宋_GB2312" w:eastAsia="仿宋_GB2312" w:cs="仿宋_GB2312"/>
          <w:sz w:val="32"/>
          <w:szCs w:val="32"/>
        </w:rPr>
        <w:t>、提起公诉；向监察对象所在单位提出监察建议。</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（六）负责组织协调全面从严治党、党风廉政建设和反腐败宣传教育工作。</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（七）负责综合分析全面从严治党、党风廉政建设和反腐败工作情况，对纪检监察工作重要理论及实践问题进行调查研究；制定或者修改全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纪检</w:t>
      </w:r>
      <w:r>
        <w:rPr>
          <w:rFonts w:hint="eastAsia" w:ascii="仿宋_GB2312" w:hAnsi="仿宋_GB2312" w:eastAsia="仿宋_GB2312" w:cs="仿宋_GB2312"/>
          <w:sz w:val="32"/>
          <w:szCs w:val="32"/>
          <w:lang w:eastAsia="zh-CN"/>
        </w:rPr>
        <w:t>监察</w:t>
      </w:r>
      <w:r>
        <w:rPr>
          <w:rFonts w:hint="eastAsia" w:ascii="仿宋_GB2312" w:hAnsi="仿宋_GB2312" w:eastAsia="仿宋_GB2312" w:cs="仿宋_GB2312"/>
          <w:sz w:val="32"/>
          <w:szCs w:val="32"/>
        </w:rPr>
        <w:t>法规制度，参与起草有关法律法规和规范性文件。</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（八）负责组织协调全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反腐败追逃追赃和防逃工作，督促有关单位做好相关工作。</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（九）根据干部管理权限，负责</w:t>
      </w:r>
      <w:r>
        <w:rPr>
          <w:rFonts w:hint="eastAsia" w:ascii="仿宋_GB2312" w:hAnsi="仿宋_GB2312" w:eastAsia="仿宋_GB2312" w:cs="仿宋_GB2312"/>
          <w:sz w:val="32"/>
          <w:szCs w:val="32"/>
          <w:lang w:eastAsia="zh-CN"/>
        </w:rPr>
        <w:t>区直各单位机关纪检</w:t>
      </w:r>
      <w:r>
        <w:rPr>
          <w:rFonts w:hint="eastAsia" w:ascii="仿宋_GB2312" w:hAnsi="仿宋_GB2312" w:eastAsia="仿宋_GB2312" w:cs="仿宋_GB2312"/>
          <w:sz w:val="32"/>
          <w:szCs w:val="32"/>
        </w:rPr>
        <w:t>组织建设的综合规划、政策研究、制度建设和业务指导；会同</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委组织部负责</w:t>
      </w:r>
      <w:r>
        <w:rPr>
          <w:rFonts w:hint="eastAsia" w:ascii="仿宋_GB2312" w:hAnsi="仿宋_GB2312" w:eastAsia="仿宋_GB2312" w:cs="仿宋_GB2312"/>
          <w:sz w:val="32"/>
          <w:szCs w:val="32"/>
          <w:lang w:eastAsia="zh-CN"/>
        </w:rPr>
        <w:t>乡镇纪委干部的</w:t>
      </w:r>
      <w:r>
        <w:rPr>
          <w:rFonts w:hint="eastAsia" w:ascii="仿宋_GB2312" w:hAnsi="仿宋_GB2312" w:eastAsia="仿宋_GB2312" w:cs="仿宋_GB2312"/>
          <w:sz w:val="32"/>
          <w:szCs w:val="32"/>
        </w:rPr>
        <w:t>提名、考察，</w:t>
      </w:r>
      <w:r>
        <w:rPr>
          <w:rFonts w:hint="eastAsia" w:ascii="仿宋_GB2312" w:hAnsi="仿宋_GB2312" w:eastAsia="仿宋_GB2312" w:cs="仿宋_GB2312"/>
          <w:sz w:val="32"/>
          <w:szCs w:val="32"/>
          <w:lang w:eastAsia="zh-CN"/>
        </w:rPr>
        <w:t>涉及科级干部的</w:t>
      </w:r>
      <w:r>
        <w:rPr>
          <w:rFonts w:hint="eastAsia" w:ascii="仿宋_GB2312" w:hAnsi="仿宋_GB2312" w:eastAsia="仿宋_GB2312" w:cs="仿宋_GB2312"/>
          <w:sz w:val="32"/>
          <w:szCs w:val="32"/>
        </w:rPr>
        <w:t>报</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委任免</w:t>
      </w:r>
      <w:r>
        <w:rPr>
          <w:rFonts w:hint="eastAsia" w:ascii="仿宋_GB2312" w:hAnsi="仿宋_GB2312" w:eastAsia="仿宋_GB2312" w:cs="仿宋_GB2312"/>
          <w:sz w:val="32"/>
          <w:szCs w:val="32"/>
          <w:lang w:eastAsia="zh-CN"/>
        </w:rPr>
        <w:t>；会同有关方面做好区纪委监委派出机构、乡镇纪委、区属学校、医院纪检监察机构领导班子建设有关工作；</w:t>
      </w:r>
      <w:r>
        <w:rPr>
          <w:rFonts w:hint="eastAsia" w:ascii="仿宋_GB2312" w:hAnsi="仿宋_GB2312" w:eastAsia="仿宋_GB2312" w:cs="仿宋_GB2312"/>
          <w:sz w:val="32"/>
          <w:szCs w:val="32"/>
        </w:rPr>
        <w:t>组织和指导全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纪检监察干部教育培训工作等。</w:t>
      </w:r>
    </w:p>
    <w:p>
      <w:pPr>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（十）完成</w:t>
      </w:r>
      <w:r>
        <w:rPr>
          <w:rFonts w:hint="eastAsia" w:ascii="仿宋_GB2312" w:hAnsi="仿宋_GB2312" w:eastAsia="仿宋_GB2312" w:cs="仿宋_GB2312"/>
          <w:sz w:val="32"/>
          <w:szCs w:val="32"/>
          <w:lang w:val="en-US" w:eastAsia="zh-CN"/>
        </w:rPr>
        <w:t>上级</w:t>
      </w:r>
      <w:r>
        <w:rPr>
          <w:rFonts w:hint="eastAsia" w:ascii="仿宋_GB2312" w:hAnsi="仿宋_GB2312" w:eastAsia="仿宋_GB2312" w:cs="仿宋_GB2312"/>
          <w:sz w:val="32"/>
          <w:szCs w:val="32"/>
        </w:rPr>
        <w:t>纪委、监委</w:t>
      </w:r>
      <w:r>
        <w:rPr>
          <w:rFonts w:hint="eastAsia" w:ascii="仿宋_GB2312" w:hAnsi="仿宋_GB2312" w:eastAsia="仿宋_GB2312" w:cs="仿宋_GB2312"/>
          <w:sz w:val="32"/>
          <w:szCs w:val="32"/>
          <w:lang w:eastAsia="zh-CN"/>
        </w:rPr>
        <w:t>和区</w:t>
      </w:r>
      <w:r>
        <w:rPr>
          <w:rFonts w:hint="eastAsia" w:ascii="仿宋_GB2312" w:hAnsi="仿宋_GB2312" w:eastAsia="仿宋_GB2312" w:cs="仿宋_GB2312"/>
          <w:sz w:val="32"/>
          <w:szCs w:val="32"/>
        </w:rPr>
        <w:t>委交办的其他任务。</w:t>
      </w:r>
    </w:p>
    <w:p>
      <w:pPr>
        <w:widowControl/>
        <w:spacing w:line="580" w:lineRule="exact"/>
        <w:rPr>
          <w:rFonts w:ascii="仿宋_GB2312" w:hAnsi="Calibri" w:eastAsia="仿宋_GB2312" w:cs="ArialUnicodeMS"/>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中国共产党石家庄市藁城区纪律检查委员会</w:t>
            </w:r>
            <w:r>
              <w:rPr>
                <w:rFonts w:hint="eastAsia" w:ascii="仿宋_GB2312" w:hAnsi="Calibri" w:eastAsia="仿宋_GB2312" w:cs="ArialUnicodeMS"/>
                <w:kern w:val="0"/>
                <w:sz w:val="28"/>
                <w:szCs w:val="28"/>
              </w:rPr>
              <w:t>(本级)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848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6848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90.20</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4.27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部分项目已经完成，项目经费减少。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1434.08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70.84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590.38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29.16</w:t>
      </w:r>
      <w:r>
        <w:rPr>
          <w:rFonts w:hint="eastAsia" w:ascii="仿宋_GB2312" w:hAnsi="Times New Roman" w:eastAsia="仿宋_GB2312" w:cs="DengXian-Regular"/>
          <w:sz w:val="32"/>
          <w:szCs w:val="32"/>
        </w:rPr>
        <w:t>%；如图所示：</w:t>
      </w:r>
    </w:p>
    <w:p>
      <w:pPr>
        <w:adjustRightInd w:val="0"/>
        <w:snapToGrid w:val="0"/>
        <w:spacing w:line="240" w:lineRule="auto"/>
        <w:ind w:firstLine="1928" w:firstLineChars="600"/>
        <w:rPr>
          <w:rFonts w:ascii="黑体" w:hAnsi="Calibri" w:eastAsia="黑体" w:cs="Times New Roman"/>
          <w:b/>
          <w:bCs/>
          <w:sz w:val="32"/>
          <w:szCs w:val="32"/>
        </w:rPr>
      </w:pPr>
      <w:r>
        <w:rPr>
          <w:rFonts w:hint="eastAsia" w:ascii="黑体" w:hAnsi="Calibri" w:eastAsia="黑体" w:cs="Times New Roman"/>
          <w:b/>
          <w:bCs/>
          <w:sz w:val="32"/>
          <w:szCs w:val="32"/>
          <w:lang w:eastAsia="zh-CN"/>
        </w:rPr>
        <w:drawing>
          <wp:inline distT="0" distB="0" distL="114300" distR="114300">
            <wp:extent cx="3594735" cy="2714625"/>
            <wp:effectExtent l="0" t="0" r="5715" b="9525"/>
            <wp:docPr id="41" name="图片 41" descr="微信图片_20200928155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微信图片_20200928155128"/>
                    <pic:cNvPicPr>
                      <a:picLocks noChangeAspect="1"/>
                    </pic:cNvPicPr>
                  </pic:nvPicPr>
                  <pic:blipFill>
                    <a:blip r:embed="rId28"/>
                    <a:stretch>
                      <a:fillRect/>
                    </a:stretch>
                  </pic:blipFill>
                  <pic:spPr>
                    <a:xfrm>
                      <a:off x="0" y="0"/>
                      <a:ext cx="3594735" cy="2714625"/>
                    </a:xfrm>
                    <a:prstGeom prst="rect">
                      <a:avLst/>
                    </a:prstGeom>
                  </pic:spPr>
                </pic:pic>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90.20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4.27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部分项目已经完成，项目经费减少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90.20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4.27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部分项目已经完成，项目经费减少。</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1552" behindDoc="0" locked="0" layoutInCell="1" allowOverlap="1">
            <wp:simplePos x="0" y="0"/>
            <wp:positionH relativeFrom="column">
              <wp:posOffset>877570</wp:posOffset>
            </wp:positionH>
            <wp:positionV relativeFrom="paragraph">
              <wp:posOffset>251460</wp:posOffset>
            </wp:positionV>
            <wp:extent cx="4137025" cy="2190750"/>
            <wp:effectExtent l="4445" t="4445" r="11430" b="14605"/>
            <wp:wrapSquare wrapText="bothSides"/>
            <wp:docPr id="23" name="图表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rPr>
          <w:rFonts w:hint="eastAsia" w:ascii="仿宋_GB2312" w:hAnsi="Times New Roman" w:eastAsia="仿宋_GB2312" w:cs="DengXian-Regular"/>
          <w:sz w:val="32"/>
          <w:szCs w:val="32"/>
          <w:lang w:eastAsia="zh-CN"/>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96.23</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79.21</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压缩日常公用经费的支出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96.23</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79.21</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压缩日常公用经费的支出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2576" behindDoc="0" locked="0" layoutInCell="1" allowOverlap="1">
            <wp:simplePos x="0" y="0"/>
            <wp:positionH relativeFrom="column">
              <wp:posOffset>306070</wp:posOffset>
            </wp:positionH>
            <wp:positionV relativeFrom="paragraph">
              <wp:posOffset>34925</wp:posOffset>
            </wp:positionV>
            <wp:extent cx="4784725" cy="1952625"/>
            <wp:effectExtent l="4445" t="5080" r="11430" b="4445"/>
            <wp:wrapSquare wrapText="bothSides"/>
            <wp:docPr id="24"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hint="eastAsia"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rPr>
          <w:rFonts w:hint="eastAsia" w:ascii="楷体_GB2312" w:hAnsi="Times New Roman" w:eastAsia="仿宋_GB2312" w:cs="DengXian-Bold"/>
          <w:b/>
          <w:bCs/>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万元，主要用于一般公共服务（类）支出</w:t>
      </w:r>
      <w:r>
        <w:rPr>
          <w:rFonts w:hint="eastAsia" w:ascii="仿宋_GB2312" w:hAnsi="Times New Roman" w:eastAsia="仿宋_GB2312" w:cs="DengXian-Regular"/>
          <w:sz w:val="32"/>
          <w:szCs w:val="32"/>
          <w:lang w:val="en-US" w:eastAsia="zh-CN"/>
        </w:rPr>
        <w:t>1434.08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70.84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2024.45</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1225.75</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208.33</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25.62</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94.19</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1.58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5.81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公务接待费减少</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2.82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12.37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公务用车运行维护费增加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24.2</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与年初预算持平</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增加了</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18.18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公务用车增加</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与年初预算持平</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未发生公务用车购置</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与年初预算持平</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18.18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公务用车增加</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1.42</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30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300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1.58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52.67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公务接待减少</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1.58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52.67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公务接待减少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590.38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。开展绩效评价。从评价情况来看，</w:t>
      </w:r>
      <w:r>
        <w:rPr>
          <w:rFonts w:hint="eastAsia" w:ascii="仿宋" w:hAnsi="仿宋" w:eastAsia="仿宋" w:cs="仿宋"/>
          <w:sz w:val="32"/>
          <w:szCs w:val="32"/>
        </w:rPr>
        <w:t>部门总体</w:t>
      </w:r>
      <w:r>
        <w:rPr>
          <w:rFonts w:hint="eastAsia" w:ascii="仿宋" w:hAnsi="仿宋" w:eastAsia="仿宋" w:cs="仿宋"/>
          <w:sz w:val="32"/>
          <w:szCs w:val="32"/>
          <w:lang w:eastAsia="zh-CN"/>
        </w:rPr>
        <w:t>绩效评价</w:t>
      </w:r>
      <w:r>
        <w:rPr>
          <w:rFonts w:hint="eastAsia" w:ascii="仿宋" w:hAnsi="仿宋" w:eastAsia="仿宋" w:cs="仿宋"/>
          <w:sz w:val="32"/>
          <w:szCs w:val="32"/>
        </w:rPr>
        <w:t>工作开展</w:t>
      </w:r>
      <w:r>
        <w:rPr>
          <w:rFonts w:hint="eastAsia" w:ascii="仿宋" w:hAnsi="仿宋" w:eastAsia="仿宋" w:cs="仿宋"/>
          <w:sz w:val="32"/>
          <w:szCs w:val="32"/>
          <w:lang w:eastAsia="zh-CN"/>
        </w:rPr>
        <w:t>良好</w:t>
      </w:r>
      <w:r>
        <w:rPr>
          <w:rFonts w:hint="eastAsia" w:ascii="仿宋" w:hAnsi="仿宋" w:eastAsia="仿宋" w:cs="仿宋"/>
          <w:sz w:val="32"/>
          <w:szCs w:val="32"/>
        </w:rPr>
        <w:t>，专项资金和具体预算支出</w:t>
      </w:r>
      <w:r>
        <w:rPr>
          <w:rFonts w:hint="eastAsia" w:ascii="仿宋" w:hAnsi="仿宋" w:eastAsia="仿宋" w:cs="仿宋"/>
          <w:sz w:val="32"/>
          <w:szCs w:val="32"/>
          <w:lang w:eastAsia="zh-CN"/>
        </w:rPr>
        <w:t>都比较合理。各</w:t>
      </w:r>
      <w:r>
        <w:rPr>
          <w:rFonts w:hint="eastAsia" w:ascii="仿宋_GB2312" w:eastAsia="仿宋_GB2312"/>
          <w:sz w:val="32"/>
          <w:szCs w:val="32"/>
          <w:lang w:val="en-US" w:eastAsia="zh-CN"/>
        </w:rPr>
        <w:t>项目财务</w:t>
      </w:r>
      <w:r>
        <w:rPr>
          <w:rFonts w:hint="eastAsia" w:ascii="仿宋_GB2312" w:eastAsia="仿宋_GB2312"/>
          <w:sz w:val="32"/>
          <w:szCs w:val="32"/>
        </w:rPr>
        <w:t>管理制度健全、资金使用合规和财务监控</w:t>
      </w:r>
      <w:r>
        <w:rPr>
          <w:rFonts w:hint="eastAsia" w:ascii="仿宋_GB2312" w:eastAsia="仿宋_GB2312"/>
          <w:sz w:val="32"/>
          <w:szCs w:val="32"/>
          <w:lang w:val="en-US" w:eastAsia="zh-CN"/>
        </w:rPr>
        <w:t>及时</w:t>
      </w:r>
      <w:r>
        <w:rPr>
          <w:rFonts w:hint="eastAsia" w:ascii="仿宋_GB2312" w:eastAsia="仿宋_GB2312"/>
          <w:sz w:val="32"/>
          <w:szCs w:val="32"/>
        </w:rPr>
        <w:t>有效</w:t>
      </w:r>
      <w:r>
        <w:rPr>
          <w:rFonts w:hint="eastAsia" w:ascii="仿宋_GB2312" w:eastAsia="仿宋_GB2312"/>
          <w:sz w:val="32"/>
          <w:szCs w:val="32"/>
          <w:lang w:eastAsia="zh-CN"/>
        </w:rPr>
        <w:t>，</w:t>
      </w:r>
      <w:r>
        <w:rPr>
          <w:rFonts w:hint="eastAsia" w:ascii="仿宋_GB2312" w:eastAsia="仿宋_GB2312"/>
          <w:sz w:val="32"/>
          <w:szCs w:val="32"/>
          <w:lang w:val="en-US" w:eastAsia="zh-CN"/>
        </w:rPr>
        <w:t>均按照年初预算有效进行。</w:t>
      </w:r>
      <w:r>
        <w:rPr>
          <w:rFonts w:hint="eastAsia" w:ascii="仿宋" w:hAnsi="仿宋" w:eastAsia="仿宋" w:cs="仿宋"/>
          <w:sz w:val="32"/>
          <w:szCs w:val="32"/>
        </w:rPr>
        <w:t>通过绩效自评结果对比</w:t>
      </w:r>
      <w:r>
        <w:rPr>
          <w:rFonts w:hint="eastAsia" w:ascii="仿宋" w:hAnsi="仿宋" w:eastAsia="仿宋" w:cs="仿宋"/>
          <w:sz w:val="32"/>
          <w:szCs w:val="32"/>
          <w:lang w:eastAsia="zh-CN"/>
        </w:rPr>
        <w:t>，</w:t>
      </w:r>
      <w:r>
        <w:rPr>
          <w:rFonts w:hint="eastAsia" w:ascii="仿宋" w:hAnsi="仿宋" w:eastAsia="仿宋" w:cs="仿宋"/>
          <w:sz w:val="32"/>
          <w:szCs w:val="32"/>
        </w:rPr>
        <w:t>年初绩效目标设定质量情况</w:t>
      </w:r>
      <w:r>
        <w:rPr>
          <w:rFonts w:hint="eastAsia" w:ascii="仿宋" w:hAnsi="仿宋" w:eastAsia="仿宋" w:cs="仿宋"/>
          <w:sz w:val="32"/>
          <w:szCs w:val="32"/>
          <w:lang w:eastAsia="zh-CN"/>
        </w:rPr>
        <w:t>良好</w:t>
      </w:r>
      <w:r>
        <w:rPr>
          <w:rFonts w:hint="eastAsia" w:ascii="仿宋" w:hAnsi="仿宋" w:eastAsia="仿宋" w:cs="仿宋"/>
          <w:sz w:val="32"/>
          <w:szCs w:val="32"/>
        </w:rPr>
        <w:t>，绩效目标设定清晰准确，绩效指标全面完整、科学合理，绩效标准恰当适宜、易于评价。</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本部门在今年部门决算公开中反映 </w:t>
      </w:r>
      <w:r>
        <w:rPr>
          <w:rFonts w:hint="eastAsia" w:ascii="仿宋_GB2312" w:hAnsi="仿宋_GB2312" w:eastAsia="仿宋_GB2312" w:cs="仿宋_GB2312"/>
          <w:sz w:val="32"/>
          <w:szCs w:val="32"/>
          <w:lang w:eastAsia="zh-CN"/>
        </w:rPr>
        <w:t>大要案定额经费</w:t>
      </w:r>
      <w:r>
        <w:rPr>
          <w:rFonts w:hint="eastAsia" w:ascii="仿宋_GB2312" w:hAnsi="仿宋_GB2312" w:eastAsia="仿宋_GB2312" w:cs="仿宋_GB2312"/>
          <w:sz w:val="32"/>
          <w:szCs w:val="32"/>
        </w:rPr>
        <w:t xml:space="preserve">项目及 </w:t>
      </w:r>
      <w:r>
        <w:rPr>
          <w:rFonts w:hint="eastAsia" w:ascii="仿宋_GB2312" w:hAnsi="仿宋_GB2312" w:eastAsia="仿宋_GB2312" w:cs="仿宋_GB2312"/>
          <w:sz w:val="32"/>
          <w:szCs w:val="32"/>
          <w:lang w:eastAsia="zh-CN"/>
        </w:rPr>
        <w:t>办案专项经费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个项目绩效自评结果。</w:t>
      </w: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）大要案定额经费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大要案定额经费</w:t>
      </w:r>
      <w:r>
        <w:rPr>
          <w:rFonts w:hint="eastAsia" w:ascii="仿宋_GB2312" w:hAnsi="仿宋_GB2312" w:eastAsia="仿宋_GB2312" w:cs="仿宋_GB2312"/>
          <w:sz w:val="32"/>
          <w:szCs w:val="32"/>
        </w:rPr>
        <w:t>项目</w:t>
      </w: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根据项目执行情况和项目绩效情况，该项目指标体系得93分，综合评价结论和项目综合绩效评价等级为良好。</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140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138.543286</w:t>
      </w:r>
      <w:r>
        <w:rPr>
          <w:rFonts w:hint="eastAsia" w:ascii="仿宋_GB2312" w:hAnsi="仿宋_GB2312" w:eastAsia="仿宋_GB2312" w:cs="仿宋_GB2312"/>
          <w:sz w:val="32"/>
          <w:szCs w:val="32"/>
        </w:rPr>
        <w:t>万元，项目绩效目标完成情况：</w:t>
      </w: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是保障大要案工作的正常进行。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numPr>
          <w:ilvl w:val="0"/>
          <w:numId w:val="0"/>
        </w:numPr>
        <w:adjustRightInd w:val="0"/>
        <w:snapToGrid w:val="0"/>
        <w:spacing w:line="580" w:lineRule="exact"/>
        <w:ind w:firstLine="640" w:firstLineChars="200"/>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）办案专项经费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大要案定额经费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pacing w:val="0"/>
          <w:w w:val="100"/>
          <w:position w:val="0"/>
          <w:sz w:val="32"/>
          <w:szCs w:val="32"/>
          <w:lang w:val="zh-TW" w:eastAsia="zh-CN"/>
        </w:rPr>
        <w:t>该项目经费</w:t>
      </w:r>
      <w:r>
        <w:rPr>
          <w:rFonts w:hint="eastAsia" w:ascii="仿宋_GB2312" w:hAnsi="仿宋_GB2312" w:eastAsia="仿宋_GB2312" w:cs="仿宋_GB2312"/>
          <w:color w:val="000000"/>
          <w:spacing w:val="0"/>
          <w:w w:val="100"/>
          <w:position w:val="0"/>
          <w:sz w:val="32"/>
          <w:szCs w:val="32"/>
          <w:lang w:val="en-US" w:eastAsia="zh-CN"/>
        </w:rPr>
        <w:t>42万元，全部为一般公共预算财政拨款，主要用于办案专项</w:t>
      </w:r>
      <w:r>
        <w:rPr>
          <w:rFonts w:hint="eastAsia" w:ascii="仿宋_GB2312" w:hAnsi="仿宋_GB2312" w:eastAsia="仿宋_GB2312" w:cs="仿宋_GB2312"/>
          <w:color w:val="000000"/>
          <w:spacing w:val="0"/>
          <w:w w:val="100"/>
          <w:position w:val="0"/>
          <w:sz w:val="32"/>
          <w:szCs w:val="32"/>
          <w:lang w:val="zh-TW" w:eastAsia="zh-CN"/>
        </w:rPr>
        <w:t>的办公费、租赁费、其他交通费等。</w:t>
      </w:r>
      <w:r>
        <w:rPr>
          <w:rFonts w:hint="eastAsia" w:ascii="仿宋_GB2312" w:hAnsi="仿宋_GB2312" w:eastAsia="仿宋_GB2312" w:cs="仿宋_GB2312"/>
          <w:sz w:val="32"/>
          <w:szCs w:val="32"/>
        </w:rPr>
        <w:t>执行数为</w:t>
      </w:r>
      <w:r>
        <w:rPr>
          <w:rFonts w:hint="eastAsia" w:ascii="仿宋_GB2312" w:hAnsi="仿宋_GB2312" w:eastAsia="仿宋_GB2312" w:cs="仿宋_GB2312"/>
          <w:sz w:val="32"/>
          <w:szCs w:val="32"/>
          <w:lang w:val="en-US" w:eastAsia="zh-CN"/>
        </w:rPr>
        <w:t>40.4171</w:t>
      </w:r>
      <w:r>
        <w:rPr>
          <w:rFonts w:hint="eastAsia" w:ascii="仿宋_GB2312" w:hAnsi="仿宋_GB2312" w:eastAsia="仿宋_GB2312" w:cs="仿宋_GB2312"/>
          <w:sz w:val="32"/>
          <w:szCs w:val="32"/>
        </w:rPr>
        <w:t>万元，</w:t>
      </w: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是保障办案工作的正常进行。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CN"/>
        </w:rPr>
        <w:t>（</w:t>
      </w:r>
      <w:r>
        <w:rPr>
          <w:rFonts w:hint="eastAsia" w:ascii="仿宋_GB2312" w:hAnsi="仿宋_GB2312" w:eastAsia="仿宋_GB2312" w:cs="仿宋_GB2312"/>
          <w:color w:val="000000"/>
          <w:spacing w:val="0"/>
          <w:w w:val="100"/>
          <w:position w:val="0"/>
          <w:sz w:val="32"/>
          <w:szCs w:val="32"/>
          <w:lang w:val="en-US" w:eastAsia="zh-CN"/>
        </w:rPr>
        <w:t>3</w:t>
      </w:r>
      <w:r>
        <w:rPr>
          <w:rFonts w:hint="eastAsia" w:ascii="仿宋_GB2312" w:hAnsi="仿宋_GB2312" w:eastAsia="仿宋_GB2312" w:cs="仿宋_GB2312"/>
          <w:color w:val="000000"/>
          <w:spacing w:val="0"/>
          <w:w w:val="100"/>
          <w:position w:val="0"/>
          <w:sz w:val="32"/>
          <w:szCs w:val="32"/>
          <w:lang w:val="zh-CN"/>
        </w:rPr>
        <w:t>）</w:t>
      </w:r>
      <w:r>
        <w:rPr>
          <w:rFonts w:hint="eastAsia" w:ascii="仿宋_GB2312" w:hAnsi="仿宋_GB2312" w:eastAsia="仿宋_GB2312" w:cs="仿宋_GB2312"/>
          <w:color w:val="000000"/>
          <w:spacing w:val="0"/>
          <w:w w:val="100"/>
          <w:position w:val="0"/>
          <w:sz w:val="32"/>
          <w:szCs w:val="32"/>
          <w:lang w:eastAsia="zh-CN"/>
        </w:rPr>
        <w:t>大型会议室改造费</w:t>
      </w:r>
      <w:r>
        <w:rPr>
          <w:rFonts w:hint="eastAsia" w:ascii="仿宋_GB2312" w:hAnsi="仿宋_GB2312" w:eastAsia="仿宋_GB2312" w:cs="仿宋_GB2312"/>
          <w:color w:val="000000"/>
          <w:spacing w:val="0"/>
          <w:w w:val="100"/>
          <w:position w:val="0"/>
          <w:sz w:val="32"/>
          <w:szCs w:val="32"/>
          <w:lang w:val="zh-TW" w:eastAsia="zh-CN"/>
        </w:rPr>
        <w:t>项目</w:t>
      </w:r>
      <w:r>
        <w:rPr>
          <w:rFonts w:hint="eastAsia" w:ascii="仿宋_GB2312" w:hAnsi="仿宋_GB2312" w:eastAsia="仿宋_GB2312" w:cs="仿宋_GB2312"/>
          <w:sz w:val="32"/>
          <w:szCs w:val="32"/>
        </w:rPr>
        <w:t>绩效自评综述：</w:t>
      </w: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根据项目执行情况和项目绩效情况，该项目指标体系得95分，综合评价结论和项目综合绩效评价等级为优秀。</w:t>
      </w:r>
      <w:r>
        <w:rPr>
          <w:rFonts w:hint="eastAsia" w:ascii="仿宋_GB2312" w:hAnsi="仿宋_GB2312" w:eastAsia="仿宋_GB2312" w:cs="仿宋_GB2312"/>
          <w:color w:val="000000"/>
          <w:spacing w:val="0"/>
          <w:w w:val="100"/>
          <w:position w:val="0"/>
          <w:sz w:val="32"/>
          <w:szCs w:val="32"/>
          <w:lang w:val="zh-TW" w:eastAsia="zh-CN"/>
        </w:rPr>
        <w:t>该项目经费</w:t>
      </w:r>
      <w:r>
        <w:rPr>
          <w:rFonts w:hint="eastAsia" w:ascii="仿宋_GB2312" w:hAnsi="仿宋_GB2312" w:eastAsia="仿宋_GB2312" w:cs="仿宋_GB2312"/>
          <w:color w:val="000000"/>
          <w:spacing w:val="0"/>
          <w:w w:val="100"/>
          <w:position w:val="0"/>
          <w:sz w:val="32"/>
          <w:szCs w:val="32"/>
          <w:lang w:val="en-US" w:eastAsia="zh-CN"/>
        </w:rPr>
        <w:t>62万元，全部为一般公共预算财政拨款，主要用于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大型会议室改造</w:t>
      </w:r>
      <w:r>
        <w:rPr>
          <w:rFonts w:hint="eastAsia" w:ascii="仿宋_GB2312" w:hAnsi="仿宋_GB2312" w:eastAsia="仿宋_GB2312" w:cs="仿宋_GB2312"/>
          <w:color w:val="000000"/>
          <w:spacing w:val="0"/>
          <w:w w:val="100"/>
          <w:position w:val="0"/>
          <w:sz w:val="32"/>
          <w:szCs w:val="32"/>
          <w:lang w:val="zh-TW" w:eastAsia="zh-CN"/>
        </w:rPr>
        <w:t>。</w:t>
      </w: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w:t>
      </w:r>
      <w:r>
        <w:rPr>
          <w:rFonts w:hint="eastAsia" w:ascii="仿宋_GB2312" w:hAnsi="仿宋_GB2312" w:eastAsia="仿宋_GB2312" w:cs="仿宋_GB2312"/>
          <w:color w:val="000000"/>
          <w:spacing w:val="0"/>
          <w:w w:val="100"/>
          <w:position w:val="0"/>
          <w:sz w:val="32"/>
          <w:szCs w:val="32"/>
          <w:lang w:val="en-US" w:eastAsia="zh-CN"/>
        </w:rPr>
        <w:t>4</w:t>
      </w:r>
      <w:r>
        <w:rPr>
          <w:rFonts w:hint="eastAsia" w:ascii="仿宋_GB2312" w:hAnsi="仿宋_GB2312" w:eastAsia="仿宋_GB2312" w:cs="仿宋_GB2312"/>
          <w:color w:val="000000"/>
          <w:spacing w:val="0"/>
          <w:w w:val="100"/>
          <w:position w:val="0"/>
          <w:sz w:val="32"/>
          <w:szCs w:val="32"/>
          <w:lang w:val="zh-TW" w:eastAsia="zh-CN"/>
        </w:rPr>
        <w:t>）</w:t>
      </w:r>
      <w:r>
        <w:rPr>
          <w:rFonts w:hint="eastAsia" w:ascii="仿宋_GB2312" w:hAnsi="仿宋_GB2312" w:eastAsia="仿宋_GB2312" w:cs="仿宋_GB2312"/>
          <w:color w:val="000000"/>
          <w:spacing w:val="0"/>
          <w:w w:val="100"/>
          <w:position w:val="0"/>
          <w:sz w:val="32"/>
          <w:szCs w:val="32"/>
          <w:lang w:eastAsia="zh-CN"/>
        </w:rPr>
        <w:t>监察委办公场所水电费</w:t>
      </w:r>
      <w:r>
        <w:rPr>
          <w:rFonts w:hint="eastAsia" w:ascii="仿宋_GB2312" w:hAnsi="仿宋_GB2312" w:eastAsia="仿宋_GB2312" w:cs="仿宋_GB2312"/>
          <w:color w:val="000000"/>
          <w:spacing w:val="0"/>
          <w:w w:val="100"/>
          <w:position w:val="0"/>
          <w:sz w:val="32"/>
          <w:szCs w:val="32"/>
          <w:lang w:val="zh-TW" w:eastAsia="zh-CN"/>
        </w:rPr>
        <w:t>项目</w:t>
      </w:r>
      <w:r>
        <w:rPr>
          <w:rFonts w:hint="eastAsia" w:ascii="仿宋_GB2312" w:hAnsi="仿宋_GB2312" w:eastAsia="仿宋_GB2312" w:cs="仿宋_GB2312"/>
          <w:sz w:val="32"/>
          <w:szCs w:val="32"/>
        </w:rPr>
        <w:t>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根据项目执行情况和项目绩效情况，该项目指标体系得98分，综合评价结论和项目综合绩效评价等级为优秀。</w:t>
      </w:r>
      <w:r>
        <w:rPr>
          <w:rFonts w:hint="eastAsia" w:ascii="仿宋_GB2312" w:hAnsi="仿宋_GB2312" w:eastAsia="仿宋_GB2312" w:cs="仿宋_GB2312"/>
          <w:color w:val="000000"/>
          <w:spacing w:val="0"/>
          <w:w w:val="100"/>
          <w:position w:val="0"/>
          <w:sz w:val="32"/>
          <w:szCs w:val="32"/>
          <w:lang w:val="zh-TW" w:eastAsia="zh-CN"/>
        </w:rPr>
        <w:t>该项目经费</w:t>
      </w:r>
      <w:r>
        <w:rPr>
          <w:rFonts w:hint="eastAsia" w:ascii="仿宋_GB2312" w:hAnsi="仿宋_GB2312" w:eastAsia="仿宋_GB2312" w:cs="仿宋_GB2312"/>
          <w:color w:val="000000"/>
          <w:spacing w:val="0"/>
          <w:w w:val="100"/>
          <w:position w:val="0"/>
          <w:sz w:val="32"/>
          <w:szCs w:val="32"/>
          <w:lang w:val="en-US" w:eastAsia="zh-CN"/>
        </w:rPr>
        <w:t>50万元，执行数为49.417198万元，全部为一般公共预算财政拨款，主要用于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监察委办公场所水电费、邮电费</w:t>
      </w:r>
      <w:r>
        <w:rPr>
          <w:rFonts w:hint="eastAsia" w:ascii="仿宋_GB2312" w:hAnsi="仿宋_GB2312" w:eastAsia="仿宋_GB2312" w:cs="仿宋_GB2312"/>
          <w:color w:val="000000"/>
          <w:spacing w:val="0"/>
          <w:w w:val="100"/>
          <w:position w:val="0"/>
          <w:sz w:val="32"/>
          <w:szCs w:val="32"/>
          <w:lang w:val="zh-TW" w:eastAsia="zh-CN"/>
        </w:rPr>
        <w:t>。</w:t>
      </w: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w:t>
      </w:r>
      <w:r>
        <w:rPr>
          <w:rFonts w:hint="eastAsia" w:ascii="仿宋_GB2312" w:hAnsi="仿宋_GB2312" w:eastAsia="仿宋_GB2312" w:cs="仿宋_GB2312"/>
          <w:color w:val="000000"/>
          <w:spacing w:val="0"/>
          <w:w w:val="100"/>
          <w:position w:val="0"/>
          <w:sz w:val="32"/>
          <w:szCs w:val="32"/>
          <w:lang w:val="en-US" w:eastAsia="zh-CN"/>
        </w:rPr>
        <w:t>5</w:t>
      </w:r>
      <w:r>
        <w:rPr>
          <w:rFonts w:hint="eastAsia" w:ascii="仿宋_GB2312" w:hAnsi="仿宋_GB2312" w:eastAsia="仿宋_GB2312" w:cs="仿宋_GB2312"/>
          <w:color w:val="000000"/>
          <w:spacing w:val="0"/>
          <w:w w:val="100"/>
          <w:position w:val="0"/>
          <w:sz w:val="32"/>
          <w:szCs w:val="32"/>
          <w:lang w:val="zh-TW" w:eastAsia="zh-CN"/>
        </w:rPr>
        <w:t>）</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lang w:val="zh-TW" w:eastAsia="zh-CN"/>
        </w:rPr>
        <w:t>项目</w:t>
      </w:r>
      <w:r>
        <w:rPr>
          <w:rFonts w:hint="eastAsia" w:ascii="仿宋_GB2312" w:hAnsi="仿宋_GB2312" w:eastAsia="仿宋_GB2312" w:cs="仿宋_GB2312"/>
          <w:sz w:val="32"/>
          <w:szCs w:val="32"/>
        </w:rPr>
        <w:t>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根据项目执行情况和项目绩效情况，该项目指标体系得98分，综合评价结论和项目综合绩效评价等级为优秀。</w:t>
      </w:r>
      <w:r>
        <w:rPr>
          <w:rFonts w:hint="eastAsia" w:ascii="仿宋_GB2312" w:hAnsi="仿宋_GB2312" w:eastAsia="仿宋_GB2312" w:cs="仿宋_GB2312"/>
          <w:color w:val="000000"/>
          <w:spacing w:val="0"/>
          <w:w w:val="100"/>
          <w:position w:val="0"/>
          <w:sz w:val="32"/>
          <w:szCs w:val="32"/>
          <w:lang w:val="zh-TW" w:eastAsia="zh-CN"/>
        </w:rPr>
        <w:t>该项目经费</w:t>
      </w:r>
      <w:r>
        <w:rPr>
          <w:rFonts w:hint="eastAsia" w:ascii="仿宋_GB2312" w:hAnsi="仿宋_GB2312" w:eastAsia="仿宋_GB2312" w:cs="仿宋_GB2312"/>
          <w:color w:val="000000"/>
          <w:spacing w:val="0"/>
          <w:w w:val="100"/>
          <w:position w:val="0"/>
          <w:sz w:val="32"/>
          <w:szCs w:val="32"/>
          <w:lang w:val="en-US" w:eastAsia="zh-CN"/>
        </w:rPr>
        <w:t>100万元，全部为一般公共预算财政拨款，主要用于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lang w:val="zh-TW" w:eastAsia="zh-CN"/>
        </w:rPr>
        <w:t>。</w:t>
      </w: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w:t>
      </w:r>
      <w:r>
        <w:rPr>
          <w:rFonts w:hint="eastAsia" w:ascii="仿宋_GB2312" w:hAnsi="仿宋_GB2312" w:eastAsia="仿宋_GB2312" w:cs="仿宋_GB2312"/>
          <w:color w:val="000000"/>
          <w:spacing w:val="0"/>
          <w:w w:val="100"/>
          <w:position w:val="0"/>
          <w:sz w:val="32"/>
          <w:szCs w:val="32"/>
          <w:lang w:val="en-US" w:eastAsia="zh-CN"/>
        </w:rPr>
        <w:t>6</w:t>
      </w:r>
      <w:r>
        <w:rPr>
          <w:rFonts w:hint="eastAsia" w:ascii="仿宋_GB2312" w:hAnsi="仿宋_GB2312" w:eastAsia="仿宋_GB2312" w:cs="仿宋_GB2312"/>
          <w:color w:val="000000"/>
          <w:spacing w:val="0"/>
          <w:w w:val="100"/>
          <w:position w:val="0"/>
          <w:sz w:val="32"/>
          <w:szCs w:val="32"/>
          <w:lang w:val="zh-TW" w:eastAsia="zh-CN"/>
        </w:rPr>
        <w:t>）</w:t>
      </w:r>
      <w:r>
        <w:rPr>
          <w:rFonts w:hint="eastAsia" w:ascii="仿宋_GB2312" w:hAnsi="仿宋_GB2312" w:eastAsia="仿宋_GB2312" w:cs="仿宋_GB2312"/>
          <w:color w:val="000000"/>
          <w:spacing w:val="0"/>
          <w:w w:val="100"/>
          <w:position w:val="0"/>
          <w:sz w:val="32"/>
          <w:szCs w:val="32"/>
          <w:lang w:eastAsia="zh-CN"/>
        </w:rPr>
        <w:t>监察委办公场所改造及装修</w:t>
      </w:r>
      <w:r>
        <w:rPr>
          <w:rFonts w:hint="eastAsia" w:ascii="仿宋_GB2312" w:hAnsi="仿宋_GB2312" w:eastAsia="仿宋_GB2312" w:cs="仿宋_GB2312"/>
          <w:color w:val="000000"/>
          <w:spacing w:val="0"/>
          <w:w w:val="100"/>
          <w:position w:val="0"/>
          <w:sz w:val="32"/>
          <w:szCs w:val="32"/>
          <w:lang w:val="zh-TW" w:eastAsia="zh-CN"/>
        </w:rPr>
        <w:t>项目</w:t>
      </w:r>
      <w:r>
        <w:rPr>
          <w:rFonts w:hint="eastAsia" w:ascii="仿宋_GB2312" w:hAnsi="仿宋_GB2312" w:eastAsia="仿宋_GB2312" w:cs="仿宋_GB2312"/>
          <w:sz w:val="32"/>
          <w:szCs w:val="32"/>
        </w:rPr>
        <w:t>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根据项目执行情况和项目绩效情况，该项目指标体系得95分，综合评价结论和项目综合绩效评价等级为优秀。</w:t>
      </w:r>
      <w:r>
        <w:rPr>
          <w:rFonts w:hint="eastAsia" w:ascii="仿宋_GB2312" w:hAnsi="仿宋_GB2312" w:eastAsia="仿宋_GB2312" w:cs="仿宋_GB2312"/>
          <w:color w:val="000000"/>
          <w:spacing w:val="0"/>
          <w:w w:val="100"/>
          <w:position w:val="0"/>
          <w:sz w:val="32"/>
          <w:szCs w:val="32"/>
          <w:lang w:val="zh-TW" w:eastAsia="zh-CN"/>
        </w:rPr>
        <w:t>该项目经费</w:t>
      </w:r>
      <w:r>
        <w:rPr>
          <w:rFonts w:hint="eastAsia" w:ascii="仿宋_GB2312" w:hAnsi="仿宋_GB2312" w:eastAsia="仿宋_GB2312" w:cs="仿宋_GB2312"/>
          <w:color w:val="000000"/>
          <w:spacing w:val="0"/>
          <w:w w:val="100"/>
          <w:position w:val="0"/>
          <w:sz w:val="32"/>
          <w:szCs w:val="32"/>
          <w:lang w:val="en-US" w:eastAsia="zh-CN"/>
        </w:rPr>
        <w:t>200万元，全部为一般公共预算财政拨款，主要用于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监察委办公场所改造及装修</w:t>
      </w:r>
      <w:r>
        <w:rPr>
          <w:rFonts w:hint="eastAsia" w:ascii="仿宋_GB2312" w:hAnsi="仿宋_GB2312" w:eastAsia="仿宋_GB2312" w:cs="仿宋_GB2312"/>
          <w:color w:val="000000"/>
          <w:spacing w:val="0"/>
          <w:w w:val="100"/>
          <w:position w:val="0"/>
          <w:sz w:val="32"/>
          <w:szCs w:val="32"/>
          <w:lang w:val="zh-TW" w:eastAsia="zh-CN"/>
        </w:rPr>
        <w:t>。</w:t>
      </w: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所有项目的各项支出进行分析评价，未发现有重大问题，为使下年度的预算绩效取得更好的评价，我单位将严格按照相关文件精神，规范执行行为，落实执行进度，使得我们的专项经费取得更好的效益。</w:t>
      </w: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p>
    <w:p>
      <w:pPr>
        <w:pStyle w:val="12"/>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sectPr>
          <w:type w:val="continuous"/>
          <w:pgSz w:w="11906" w:h="16838"/>
          <w:pgMar w:top="2098" w:right="1474" w:bottom="1984" w:left="1588" w:header="851" w:footer="992" w:gutter="0"/>
          <w:pgNumType w:fmt="numberInDash"/>
          <w:cols w:space="0" w:num="1"/>
          <w:docGrid w:type="lines" w:linePitch="312" w:charSpace="0"/>
        </w:sectPr>
      </w:pPr>
    </w:p>
    <w:tbl>
      <w:tblPr>
        <w:tblStyle w:val="6"/>
        <w:tblW w:w="12879" w:type="dxa"/>
        <w:tblInd w:w="93" w:type="dxa"/>
        <w:shd w:val="clear" w:color="auto" w:fill="auto"/>
        <w:tblLayout w:type="fixed"/>
        <w:tblCellMar>
          <w:top w:w="0" w:type="dxa"/>
          <w:left w:w="108" w:type="dxa"/>
          <w:bottom w:w="0" w:type="dxa"/>
          <w:right w:w="108" w:type="dxa"/>
        </w:tblCellMar>
      </w:tblPr>
      <w:tblGrid>
        <w:gridCol w:w="4573"/>
        <w:gridCol w:w="1263"/>
        <w:gridCol w:w="1035"/>
        <w:gridCol w:w="1273"/>
        <w:gridCol w:w="995"/>
        <w:gridCol w:w="1183"/>
        <w:gridCol w:w="1183"/>
        <w:gridCol w:w="1374"/>
      </w:tblGrid>
      <w:tr>
        <w:tblPrEx>
          <w:shd w:val="clear" w:color="auto" w:fill="auto"/>
          <w:tblLayout w:type="fixed"/>
          <w:tblCellMar>
            <w:top w:w="0" w:type="dxa"/>
            <w:left w:w="108" w:type="dxa"/>
            <w:bottom w:w="0" w:type="dxa"/>
            <w:right w:w="108" w:type="dxa"/>
          </w:tblCellMar>
        </w:tblPrEx>
        <w:trPr>
          <w:trHeight w:val="270" w:hRule="atLeast"/>
        </w:trPr>
        <w:tc>
          <w:tcPr>
            <w:tcW w:w="457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附件1</w:t>
            </w:r>
          </w:p>
        </w:tc>
        <w:tc>
          <w:tcPr>
            <w:tcW w:w="126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03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27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99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18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18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374"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12879"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tblLayout w:type="fixed"/>
          <w:tblCellMar>
            <w:top w:w="0" w:type="dxa"/>
            <w:left w:w="108" w:type="dxa"/>
            <w:bottom w:w="0" w:type="dxa"/>
            <w:right w:w="108" w:type="dxa"/>
          </w:tblCellMar>
        </w:tblPrEx>
        <w:trPr>
          <w:trHeight w:val="270" w:hRule="atLeast"/>
        </w:trPr>
        <w:tc>
          <w:tcPr>
            <w:tcW w:w="12879"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tblLayout w:type="fixed"/>
          <w:tblCellMar>
            <w:top w:w="0" w:type="dxa"/>
            <w:left w:w="108" w:type="dxa"/>
            <w:bottom w:w="0" w:type="dxa"/>
            <w:right w:w="108" w:type="dxa"/>
          </w:tblCellMar>
        </w:tblPrEx>
        <w:trPr>
          <w:trHeight w:val="300" w:hRule="atLeast"/>
        </w:trPr>
        <w:tc>
          <w:tcPr>
            <w:tcW w:w="12879"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2019    年度）</w:t>
            </w:r>
          </w:p>
        </w:tc>
      </w:tr>
      <w:tr>
        <w:tblPrEx>
          <w:tblLayout w:type="fixed"/>
          <w:tblCellMar>
            <w:top w:w="0" w:type="dxa"/>
            <w:left w:w="108" w:type="dxa"/>
            <w:bottom w:w="0" w:type="dxa"/>
            <w:right w:w="108" w:type="dxa"/>
          </w:tblCellMar>
        </w:tblPrEx>
        <w:trPr>
          <w:trHeight w:val="270" w:hRule="atLeast"/>
        </w:trPr>
        <w:tc>
          <w:tcPr>
            <w:tcW w:w="457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填报单位：中国共产党石家庄市藁城区纪律检查委员会</w:t>
            </w:r>
          </w:p>
        </w:tc>
        <w:tc>
          <w:tcPr>
            <w:tcW w:w="126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03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27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99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18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2557" w:type="dxa"/>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tblLayout w:type="fixed"/>
          <w:tblCellMar>
            <w:top w:w="0" w:type="dxa"/>
            <w:left w:w="108" w:type="dxa"/>
            <w:bottom w:w="0" w:type="dxa"/>
            <w:right w:w="108" w:type="dxa"/>
          </w:tblCellMar>
        </w:tblPrEx>
        <w:trPr>
          <w:trHeight w:val="540" w:hRule="atLeast"/>
        </w:trPr>
        <w:tc>
          <w:tcPr>
            <w:tcW w:w="4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firstLine="1540" w:firstLineChars="70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230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大要案定额经费</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74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中国共产党石家庄市藁城区纪律检查委员会</w:t>
            </w:r>
          </w:p>
        </w:tc>
      </w:tr>
      <w:tr>
        <w:tblPrEx>
          <w:tblLayout w:type="fixed"/>
          <w:tblCellMar>
            <w:top w:w="0" w:type="dxa"/>
            <w:left w:w="108" w:type="dxa"/>
            <w:bottom w:w="0" w:type="dxa"/>
            <w:right w:w="108" w:type="dxa"/>
          </w:tblCellMar>
        </w:tblPrEx>
        <w:trPr>
          <w:trHeight w:val="270" w:hRule="atLeast"/>
        </w:trPr>
        <w:tc>
          <w:tcPr>
            <w:tcW w:w="45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236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12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Layout w:type="fixed"/>
          <w:tblCellMar>
            <w:top w:w="0" w:type="dxa"/>
            <w:left w:w="108" w:type="dxa"/>
            <w:bottom w:w="0" w:type="dxa"/>
            <w:right w:w="108" w:type="dxa"/>
          </w:tblCellMar>
        </w:tblPrEx>
        <w:trPr>
          <w:trHeight w:val="54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12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440" w:hanging="440" w:hangingChars="20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其中：财政资金</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220" w:hanging="220" w:hangingChars="10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2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45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357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336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tblLayout w:type="fixed"/>
          <w:tblCellMar>
            <w:top w:w="0" w:type="dxa"/>
            <w:left w:w="108" w:type="dxa"/>
            <w:bottom w:w="0" w:type="dxa"/>
            <w:right w:w="108" w:type="dxa"/>
          </w:tblCellMar>
        </w:tblPrEx>
        <w:trPr>
          <w:trHeight w:val="435"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57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为办案工作提供保障</w:t>
            </w:r>
          </w:p>
        </w:tc>
        <w:tc>
          <w:tcPr>
            <w:tcW w:w="336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已完成</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Layout w:type="fixed"/>
          <w:tblCellMar>
            <w:top w:w="0" w:type="dxa"/>
            <w:left w:w="108" w:type="dxa"/>
            <w:bottom w:w="0" w:type="dxa"/>
            <w:right w:w="108" w:type="dxa"/>
          </w:tblCellMar>
        </w:tblPrEx>
        <w:trPr>
          <w:trHeight w:val="375" w:hRule="atLeast"/>
        </w:trPr>
        <w:tc>
          <w:tcPr>
            <w:tcW w:w="45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tblLayout w:type="fixed"/>
          <w:tblCellMar>
            <w:top w:w="0" w:type="dxa"/>
            <w:left w:w="108" w:type="dxa"/>
            <w:bottom w:w="0" w:type="dxa"/>
            <w:right w:w="108" w:type="dxa"/>
          </w:tblCellMar>
        </w:tblPrEx>
        <w:trPr>
          <w:trHeight w:val="84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实际费用使用率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资金支出规范性</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完成及时率</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54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预算执行率指标（10分）</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严格按预算执行</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Layout w:type="fixed"/>
          <w:tblCellMar>
            <w:top w:w="0" w:type="dxa"/>
            <w:left w:w="108" w:type="dxa"/>
            <w:bottom w:w="0" w:type="dxa"/>
            <w:right w:w="108" w:type="dxa"/>
          </w:tblCellMar>
        </w:tblPrEx>
        <w:trPr>
          <w:trHeight w:val="34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质量水平</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60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提高业务能力和工作效率，更好的服务社会。</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54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42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公众满意度</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270" w:hRule="atLeast"/>
        </w:trPr>
        <w:tc>
          <w:tcPr>
            <w:tcW w:w="4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32"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r>
      <w:tr>
        <w:tblPrEx>
          <w:tblLayout w:type="fixed"/>
          <w:tblCellMar>
            <w:top w:w="0" w:type="dxa"/>
            <w:left w:w="108" w:type="dxa"/>
            <w:bottom w:w="0" w:type="dxa"/>
            <w:right w:w="108" w:type="dxa"/>
          </w:tblCellMar>
        </w:tblPrEx>
        <w:trPr>
          <w:trHeight w:val="1005" w:hRule="atLeast"/>
        </w:trPr>
        <w:tc>
          <w:tcPr>
            <w:tcW w:w="4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830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（主要填写项目绩效存在问题及原因分析，下一步拟采取的纠偏措施及对策建议，项目绩效目标指标设定存在的问题及修改完善措施）</w:t>
            </w:r>
          </w:p>
        </w:tc>
      </w:tr>
      <w:tr>
        <w:tblPrEx>
          <w:tblLayout w:type="fixed"/>
          <w:tblCellMar>
            <w:top w:w="0" w:type="dxa"/>
            <w:left w:w="108" w:type="dxa"/>
            <w:bottom w:w="0" w:type="dxa"/>
            <w:right w:w="108" w:type="dxa"/>
          </w:tblCellMar>
        </w:tblPrEx>
        <w:trPr>
          <w:trHeight w:val="270" w:hRule="atLeast"/>
        </w:trPr>
        <w:tc>
          <w:tcPr>
            <w:tcW w:w="457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填报人：王计敏</w:t>
            </w:r>
          </w:p>
        </w:tc>
        <w:tc>
          <w:tcPr>
            <w:tcW w:w="126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03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27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99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w:t>
            </w:r>
          </w:p>
        </w:tc>
        <w:tc>
          <w:tcPr>
            <w:tcW w:w="1183"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67098824</w:t>
            </w:r>
          </w:p>
        </w:tc>
        <w:tc>
          <w:tcPr>
            <w:tcW w:w="118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374"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bl>
    <w:p>
      <w:pPr>
        <w:keepNext/>
        <w:keepLines/>
        <w:snapToGrid w:val="0"/>
        <w:spacing w:line="580" w:lineRule="exact"/>
        <w:ind w:firstLine="640" w:firstLineChars="200"/>
        <w:outlineLvl w:val="1"/>
        <w:rPr>
          <w:rFonts w:hint="eastAsia" w:ascii="黑体" w:hAnsi="Calibri" w:eastAsia="黑体" w:cs="Times New Roman"/>
          <w:sz w:val="32"/>
          <w:szCs w:val="32"/>
        </w:rPr>
        <w:sectPr>
          <w:pgSz w:w="16838" w:h="11906" w:orient="landscape"/>
          <w:pgMar w:top="1587" w:right="2098" w:bottom="1474" w:left="1984" w:header="851" w:footer="992" w:gutter="0"/>
          <w:pgNumType w:fmt="numberInDash"/>
          <w:cols w:space="0" w:num="1"/>
          <w:rtlGutter w:val="0"/>
          <w:docGrid w:type="lines" w:linePitch="315" w:charSpace="0"/>
        </w:sectPr>
      </w:pPr>
    </w:p>
    <w:p>
      <w:pPr>
        <w:keepNext/>
        <w:keepLines/>
        <w:numPr>
          <w:numId w:val="0"/>
        </w:numPr>
        <w:snapToGrid w:val="0"/>
        <w:spacing w:line="580" w:lineRule="exact"/>
        <w:outlineLvl w:val="1"/>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 xml:space="preserve">    3.</w:t>
      </w: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w:t>
      </w:r>
    </w:p>
    <w:p>
      <w:pPr>
        <w:keepNext/>
        <w:keepLines/>
        <w:numPr>
          <w:numId w:val="0"/>
        </w:numPr>
        <w:snapToGrid w:val="0"/>
        <w:spacing w:line="580" w:lineRule="exact"/>
        <w:outlineLvl w:val="1"/>
        <w:rPr>
          <w:rFonts w:hint="eastAsia" w:ascii="黑体" w:hAnsi="Calibri" w:eastAsia="黑体" w:cs="Times New Roman"/>
          <w:sz w:val="32"/>
          <w:szCs w:val="32"/>
        </w:rPr>
      </w:pPr>
      <w:r>
        <w:rPr>
          <w:rFonts w:hint="eastAsia" w:ascii="仿宋_GB2312" w:hAnsi="仿宋_GB2312" w:eastAsia="仿宋_GB2312" w:cs="仿宋_GB2312"/>
          <w:b/>
          <w:bCs/>
          <w:sz w:val="32"/>
          <w:szCs w:val="32"/>
          <w:lang w:val="en-US" w:eastAsia="zh-CN"/>
        </w:rPr>
        <w:t xml:space="preserve">      无财政评价项目绩效评价结果。</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bookmarkStart w:id="0" w:name="_GoBack"/>
      <w:bookmarkEnd w:id="0"/>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155.78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95.92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38.43</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10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eastAsia="仿宋_GB2312" w:cs="DengXian-Regular"/>
          <w:sz w:val="32"/>
          <w:szCs w:val="32"/>
        </w:rPr>
        <w:t>比上年</w:t>
      </w:r>
      <w:r>
        <w:rPr>
          <w:rFonts w:hint="eastAsia" w:ascii="仿宋_GB2312" w:eastAsia="仿宋_GB2312" w:cs="DengXian-Regular"/>
          <w:sz w:val="32"/>
          <w:szCs w:val="32"/>
          <w:lang w:val="en-US" w:eastAsia="zh-CN"/>
        </w:rPr>
        <w:t>增减无变化</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eastAsia="仿宋_GB2312" w:cs="DengXian-Regular"/>
          <w:sz w:val="32"/>
          <w:szCs w:val="32"/>
        </w:rPr>
        <w:t>比上年</w:t>
      </w:r>
      <w:r>
        <w:rPr>
          <w:rFonts w:hint="eastAsia" w:ascii="仿宋_GB2312" w:eastAsia="仿宋_GB2312" w:cs="DengXian-Regular"/>
          <w:sz w:val="32"/>
          <w:szCs w:val="32"/>
          <w:lang w:val="en-US" w:eastAsia="zh-CN"/>
        </w:rPr>
        <w:t>增减无变化</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本部门2019年度无收支及结转结余情况，故表以空表列示。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pgSz w:w="11906" w:h="16838"/>
          <w:pgMar w:top="2098" w:right="1474" w:bottom="1984" w:left="1587" w:header="851" w:footer="992" w:gutter="0"/>
          <w:pgNumType w:fmt="numberInDash"/>
          <w:cols w:space="0" w:num="1"/>
          <w:rtlGutter w:val="0"/>
          <w:docGrid w:type="lines" w:linePitch="315"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98" w:right="1474" w:bottom="1984" w:left="1587" w:header="851" w:footer="992" w:gutter="0"/>
          <w:pgNumType w:fmt="numberInDash"/>
          <w:cols w:space="0" w:num="1"/>
          <w:rtlGutter w:val="0"/>
          <w:docGrid w:type="lines" w:linePitch="315"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98" w:right="1474" w:bottom="1984" w:left="1587" w:header="851" w:footer="992" w:gutter="0"/>
          <w:pgNumType w:fmt="numberInDash"/>
          <w:cols w:space="0" w:num="1"/>
          <w:rtlGutter w:val="0"/>
          <w:docGrid w:type="lines" w:linePitch="315"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6950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Pr>
        <w:tabs>
          <w:tab w:val="left" w:pos="886"/>
        </w:tabs>
        <w:jc w:val="left"/>
        <w:sectPr>
          <w:headerReference r:id="rId21" w:type="first"/>
          <w:pgSz w:w="11906" w:h="16838"/>
          <w:pgMar w:top="2098" w:right="1474" w:bottom="1984" w:left="1587" w:header="851" w:footer="992" w:gutter="0"/>
          <w:pgNumType w:fmt="numberInDash"/>
          <w:cols w:space="0" w:num="1"/>
          <w:rtlGutter w:val="0"/>
          <w:docGrid w:type="lines" w:linePitch="315" w:charSpace="0"/>
        </w:sectPr>
      </w:pPr>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
      <w:pPr>
        <w:tabs>
          <w:tab w:val="left" w:pos="235"/>
        </w:tabs>
        <w:jc w:val="left"/>
        <w:sectPr>
          <w:headerReference r:id="rId22" w:type="default"/>
          <w:pgSz w:w="11906" w:h="16838"/>
          <w:pgMar w:top="2098" w:right="1474" w:bottom="1984" w:left="1587" w:header="851" w:footer="992" w:gutter="0"/>
          <w:pgNumType w:fmt="numberInDash"/>
          <w:cols w:space="0" w:num="1"/>
          <w:rtlGutter w:val="0"/>
          <w:docGrid w:type="lines" w:linePitch="315" w:charSpace="0"/>
        </w:sectPr>
      </w:pPr>
      <w:r>
        <w:rPr>
          <w:sz w:val="72"/>
        </w:rPr>
        <mc:AlternateContent>
          <mc:Choice Requires="wps">
            <w:drawing>
              <wp:anchor distT="0" distB="0" distL="114300" distR="114300" simplePos="0" relativeHeight="25167052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052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tbl>
      <w:tblPr>
        <w:tblStyle w:val="6"/>
        <w:tblpPr w:leftFromText="180" w:rightFromText="180" w:vertAnchor="text" w:horzAnchor="page" w:tblpX="1263" w:tblpY="165"/>
        <w:tblOverlap w:val="never"/>
        <w:tblW w:w="9517" w:type="dxa"/>
        <w:jc w:val="center"/>
        <w:tblInd w:w="0" w:type="dxa"/>
        <w:tblLayout w:type="fixed"/>
        <w:tblCellMar>
          <w:top w:w="0" w:type="dxa"/>
          <w:left w:w="0" w:type="dxa"/>
          <w:bottom w:w="0" w:type="dxa"/>
          <w:right w:w="0" w:type="dxa"/>
        </w:tblCellMar>
      </w:tblPr>
      <w:tblGrid>
        <w:gridCol w:w="3236"/>
        <w:gridCol w:w="731"/>
        <w:gridCol w:w="852"/>
        <w:gridCol w:w="3313"/>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9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4819"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部门：中国共产党石家庄市藁城区纪律检查委员会</w:t>
            </w:r>
          </w:p>
        </w:tc>
        <w:tc>
          <w:tcPr>
            <w:tcW w:w="469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81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69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2024.45</w:t>
            </w: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2024.45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2024.45</w:t>
            </w: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2024.45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2024.45</w:t>
            </w:r>
            <w:r>
              <w:rPr>
                <w:rFonts w:hint="eastAsia" w:ascii="宋体" w:hAnsi="宋体" w:eastAsia="宋体" w:cs="宋体"/>
                <w:color w:val="000000"/>
                <w:kern w:val="0"/>
                <w:sz w:val="22"/>
                <w:lang w:bidi="ar"/>
              </w:rPr>
              <w:t>　</w:t>
            </w:r>
          </w:p>
        </w:tc>
        <w:tc>
          <w:tcPr>
            <w:tcW w:w="33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2024.45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p>
      <w:pPr>
        <w:jc w:val="left"/>
      </w:pPr>
    </w:p>
    <w:tbl>
      <w:tblPr>
        <w:tblStyle w:val="6"/>
        <w:tblW w:w="9580" w:type="dxa"/>
        <w:jc w:val="center"/>
        <w:tblInd w:w="0" w:type="dxa"/>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Layout w:type="fixed"/>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455"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中国共产党石家庄市藁城区纪律检查委员会</w:t>
            </w: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w:t>
            </w: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2"/>
                <w:lang w:bidi="ar"/>
              </w:rPr>
              <w:t>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2024.45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2024.45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纪检监察事务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2011101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1845.49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1845.49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2011104</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大案要案查处</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178.96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178.96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03"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中国共产党石家庄市藁城区纪律检查委员会</w:t>
            </w: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2024.45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1434.08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590.38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1434.08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590.38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纪检监察事务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1434.08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590.38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2011101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1845.49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1434.08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411.42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2011104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大案要案查处</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178.96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178.96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980" w:type="dxa"/>
        <w:jc w:val="center"/>
        <w:tblInd w:w="0" w:type="dxa"/>
        <w:tblLayout w:type="fixed"/>
        <w:tblCellMar>
          <w:top w:w="0" w:type="dxa"/>
          <w:left w:w="0" w:type="dxa"/>
          <w:bottom w:w="0" w:type="dxa"/>
          <w:right w:w="0" w:type="dxa"/>
        </w:tblCellMar>
      </w:tblPr>
      <w:tblGrid>
        <w:gridCol w:w="2928"/>
        <w:gridCol w:w="375"/>
        <w:gridCol w:w="806"/>
        <w:gridCol w:w="2869"/>
        <w:gridCol w:w="412"/>
        <w:gridCol w:w="882"/>
        <w:gridCol w:w="956"/>
        <w:gridCol w:w="752"/>
      </w:tblGrid>
      <w:tr>
        <w:tblPrEx>
          <w:tblLayout w:type="fixed"/>
          <w:tblCellMar>
            <w:top w:w="0" w:type="dxa"/>
            <w:left w:w="0" w:type="dxa"/>
            <w:bottom w:w="0" w:type="dxa"/>
            <w:right w:w="0" w:type="dxa"/>
          </w:tblCellMar>
        </w:tblPrEx>
        <w:trPr>
          <w:trHeight w:val="406" w:hRule="atLeast"/>
          <w:jc w:val="center"/>
        </w:trPr>
        <w:tc>
          <w:tcPr>
            <w:tcW w:w="998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9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6978"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部门：中国共产党石家庄市藁城区纪律检查委员会</w:t>
            </w:r>
          </w:p>
        </w:tc>
        <w:tc>
          <w:tcPr>
            <w:tcW w:w="4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9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55" w:hRule="atLeast"/>
          <w:jc w:val="center"/>
        </w:trPr>
        <w:tc>
          <w:tcPr>
            <w:tcW w:w="41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87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92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0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8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1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8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5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92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2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9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2024.45</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998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Ind w:w="0" w:type="dxa"/>
        <w:tblLayout w:type="fixed"/>
        <w:tblCellMar>
          <w:top w:w="0" w:type="dxa"/>
          <w:left w:w="0" w:type="dxa"/>
          <w:bottom w:w="0" w:type="dxa"/>
          <w:right w:w="0" w:type="dxa"/>
        </w:tblCellMar>
      </w:tblPr>
      <w:tblGrid>
        <w:gridCol w:w="1174"/>
        <w:gridCol w:w="67"/>
        <w:gridCol w:w="67"/>
        <w:gridCol w:w="1695"/>
        <w:gridCol w:w="2329"/>
        <w:gridCol w:w="2329"/>
        <w:gridCol w:w="2329"/>
      </w:tblGrid>
      <w:tr>
        <w:tblPrEx>
          <w:tblLayout w:type="fixed"/>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02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中国共产党石家庄市藁城区纪律检查委员会</w:t>
            </w: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2024.45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1434.08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590.38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2024.45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1434.08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590.38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纪检监察事务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2024.45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1434.08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590.38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2011101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1845.49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1434.08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411.42</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2011104</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大案要案查处</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178.96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178.96</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eastAsia="zh-CN"/>
        </w:rPr>
        <w:t>注：本表反映部门本年度一般预算财政拨款支出情况。</w:t>
      </w:r>
      <w:r>
        <w:br w:type="page"/>
      </w:r>
    </w:p>
    <w:tbl>
      <w:tblPr>
        <w:tblStyle w:val="6"/>
        <w:tblW w:w="10000" w:type="dxa"/>
        <w:jc w:val="center"/>
        <w:tblInd w:w="0" w:type="dxa"/>
        <w:tblLayout w:type="fixed"/>
        <w:tblCellMar>
          <w:top w:w="0" w:type="dxa"/>
          <w:left w:w="0" w:type="dxa"/>
          <w:bottom w:w="0" w:type="dxa"/>
          <w:right w:w="0" w:type="dxa"/>
        </w:tblCellMar>
      </w:tblPr>
      <w:tblGrid>
        <w:gridCol w:w="950"/>
        <w:gridCol w:w="1878"/>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9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95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915"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中国共产党石家庄市藁城区纪律检查委员会</w:t>
            </w: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24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12" w:hRule="exact"/>
          <w:jc w:val="center"/>
        </w:trPr>
        <w:tc>
          <w:tcPr>
            <w:tcW w:w="95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7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12" w:hRule="atLeast"/>
          <w:jc w:val="center"/>
        </w:trPr>
        <w:tc>
          <w:tcPr>
            <w:tcW w:w="95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1225.75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208.33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331.95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29.06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496.03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26.91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81.31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92.99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21.50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39.31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86.19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52.55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2.80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86.06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8.21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7.35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24.20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45.08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2.57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1225.75</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208.33</w:t>
            </w:r>
          </w:p>
        </w:tc>
      </w:tr>
    </w:tbl>
    <w:p>
      <w:r>
        <w:rPr>
          <w:rFonts w:hint="eastAsia"/>
          <w:lang w:eastAsia="zh-CN"/>
        </w:rPr>
        <w:t>注：本表反映部门本年度一般公共预算财政拨款基本支出明细情况。</w:t>
      </w:r>
      <w:r>
        <w:br w:type="page"/>
      </w: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816"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中国共产党石家庄市藁城区纪律检查委员会</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27.20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24.20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24.20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3.00</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25.62</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24.20</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24.20</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1.42</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24"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中国共产党石家庄市藁城区纪律检查委员会</w:t>
            </w: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
      <w:r>
        <w:rPr>
          <w:rFonts w:hint="eastAsia" w:ascii="楷体" w:hAnsi="楷体" w:eastAsia="楷体" w:cs="楷体"/>
          <w:sz w:val="32"/>
          <w:szCs w:val="32"/>
          <w:lang w:eastAsia="zh-CN"/>
        </w:rPr>
        <w:t>注：本部门本年度无收入、支出及结转和结余等情况，按要求空表列示。</w:t>
      </w:r>
      <w:r>
        <w:br w:type="page"/>
      </w:r>
    </w:p>
    <w:tbl>
      <w:tblPr>
        <w:tblStyle w:val="6"/>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59"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中国共产党石家庄市藁城区纪律检查委员会</w:t>
            </w: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01"/>
              </w:tabs>
              <w:jc w:val="left"/>
              <w:rPr>
                <w:rFonts w:hint="default" w:ascii="宋体" w:hAnsi="宋体" w:eastAsia="宋体" w:cs="宋体"/>
                <w:b/>
                <w:color w:val="000000"/>
                <w:sz w:val="22"/>
                <w:lang w:val="en-US" w:eastAsia="zh-CN"/>
              </w:rPr>
            </w:pPr>
            <w:r>
              <w:rPr>
                <w:rFonts w:hint="eastAsia" w:ascii="宋体" w:hAnsi="宋体" w:eastAsia="宋体" w:cs="宋体"/>
                <w:b/>
                <w:color w:val="000000"/>
                <w:sz w:val="22"/>
                <w:lang w:eastAsia="zh-CN"/>
              </w:rPr>
              <w:tab/>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
      <w:pPr>
        <w:rPr>
          <w:rFonts w:hint="eastAsia" w:ascii="楷体" w:hAnsi="楷体" w:eastAsia="楷体" w:cs="楷体"/>
          <w:sz w:val="32"/>
          <w:szCs w:val="32"/>
          <w:lang w:eastAsia="zh-CN"/>
        </w:rPr>
      </w:pPr>
      <w:r>
        <w:rPr>
          <w:rFonts w:hint="eastAsia" w:ascii="楷体" w:hAnsi="楷体" w:eastAsia="楷体" w:cs="楷体"/>
          <w:sz w:val="32"/>
          <w:szCs w:val="32"/>
          <w:lang w:eastAsia="zh-CN"/>
        </w:rPr>
        <w:t>注：本部门本年度无相关支出情况，按要求空表列示。</w:t>
      </w:r>
    </w:p>
    <w:sectPr>
      <w:headerReference r:id="rId24" w:type="first"/>
      <w:headerReference r:id="rId23" w:type="default"/>
      <w:footerReference r:id="rId25" w:type="default"/>
      <w:pgSz w:w="11906" w:h="16838"/>
      <w:pgMar w:top="2098" w:right="1474" w:bottom="1984" w:left="1587" w:header="851" w:footer="992" w:gutter="0"/>
      <w:pgNumType w:fmt="numberInDash"/>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179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179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281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281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486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486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793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793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872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872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769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769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8960"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5.25pt;width:594.8pt;mso-position-horizontal-relative:page;mso-position-vertical-relative:page;z-index:251688960;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9984"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9984;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588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588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6912"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691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974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076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462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462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360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360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43.35pt;height:37.85pt;width:594.8pt;mso-position-horizontal-relative:page;mso-position-vertical-relative:page;z-index:25167564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0"/>
  <w:bordersDoNotSurroundFooter w:val="0"/>
  <w:attachedTemplate r:id="rId1"/>
  <w:documentProtection w:enforcement="0"/>
  <w:defaultTabStop w:val="420"/>
  <w:drawingGridVerticalSpacing w:val="158"/>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34841"/>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5F06ED"/>
    <w:rsid w:val="04F974E6"/>
    <w:rsid w:val="0572162C"/>
    <w:rsid w:val="05B00A30"/>
    <w:rsid w:val="0A165EF1"/>
    <w:rsid w:val="0A3A461A"/>
    <w:rsid w:val="0B011416"/>
    <w:rsid w:val="10395123"/>
    <w:rsid w:val="11743A3C"/>
    <w:rsid w:val="16063A65"/>
    <w:rsid w:val="183D3423"/>
    <w:rsid w:val="229965FA"/>
    <w:rsid w:val="245E7D04"/>
    <w:rsid w:val="25847C3D"/>
    <w:rsid w:val="265C10D2"/>
    <w:rsid w:val="27D63171"/>
    <w:rsid w:val="29C47FD8"/>
    <w:rsid w:val="29CE6C23"/>
    <w:rsid w:val="2C0678B6"/>
    <w:rsid w:val="2CBA6A19"/>
    <w:rsid w:val="2F3102D0"/>
    <w:rsid w:val="31862028"/>
    <w:rsid w:val="31C2036A"/>
    <w:rsid w:val="31D23594"/>
    <w:rsid w:val="320D02A5"/>
    <w:rsid w:val="329E6066"/>
    <w:rsid w:val="331A3B24"/>
    <w:rsid w:val="348E566F"/>
    <w:rsid w:val="34B05519"/>
    <w:rsid w:val="366770AD"/>
    <w:rsid w:val="392D53E3"/>
    <w:rsid w:val="3A057313"/>
    <w:rsid w:val="3A226944"/>
    <w:rsid w:val="3AEE6A48"/>
    <w:rsid w:val="3C1620AA"/>
    <w:rsid w:val="3D8F080F"/>
    <w:rsid w:val="3EB72A57"/>
    <w:rsid w:val="41040F6B"/>
    <w:rsid w:val="429340CC"/>
    <w:rsid w:val="44CE1FA4"/>
    <w:rsid w:val="46DB604E"/>
    <w:rsid w:val="47FE6276"/>
    <w:rsid w:val="487F73ED"/>
    <w:rsid w:val="496D2A5B"/>
    <w:rsid w:val="4A347EAE"/>
    <w:rsid w:val="4BBC2CC7"/>
    <w:rsid w:val="4D5043BF"/>
    <w:rsid w:val="4EC83F81"/>
    <w:rsid w:val="51D7071B"/>
    <w:rsid w:val="51E70E86"/>
    <w:rsid w:val="52600405"/>
    <w:rsid w:val="529B4319"/>
    <w:rsid w:val="53CC2C27"/>
    <w:rsid w:val="56B41548"/>
    <w:rsid w:val="57682897"/>
    <w:rsid w:val="57773DD6"/>
    <w:rsid w:val="578B79AB"/>
    <w:rsid w:val="5BD0429F"/>
    <w:rsid w:val="5BD13D4B"/>
    <w:rsid w:val="5C901CD6"/>
    <w:rsid w:val="5C9B2EC2"/>
    <w:rsid w:val="5CCD3FD5"/>
    <w:rsid w:val="61135214"/>
    <w:rsid w:val="61FA5F9D"/>
    <w:rsid w:val="63DA688E"/>
    <w:rsid w:val="64CD6910"/>
    <w:rsid w:val="6789158D"/>
    <w:rsid w:val="67D81BA4"/>
    <w:rsid w:val="69C86130"/>
    <w:rsid w:val="6A203153"/>
    <w:rsid w:val="6AAF1C96"/>
    <w:rsid w:val="6CBD69F6"/>
    <w:rsid w:val="6CD85B56"/>
    <w:rsid w:val="6E077E91"/>
    <w:rsid w:val="740905A4"/>
    <w:rsid w:val="75681757"/>
    <w:rsid w:val="75A346A8"/>
    <w:rsid w:val="76D971FB"/>
    <w:rsid w:val="7955046F"/>
    <w:rsid w:val="79B9382C"/>
    <w:rsid w:val="7B043B76"/>
    <w:rsid w:val="7C041A6A"/>
    <w:rsid w:val="7E327570"/>
    <w:rsid w:val="7F07769F"/>
    <w:rsid w:val="7F1442EC"/>
    <w:rsid w:val="7F1877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2">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4" Type="http://schemas.openxmlformats.org/officeDocument/2006/relationships/fontTable" Target="fontTable.xml"/><Relationship Id="rId33" Type="http://schemas.openxmlformats.org/officeDocument/2006/relationships/customXml" Target="../customXml/item2.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png"/><Relationship Id="rId27" Type="http://schemas.openxmlformats.org/officeDocument/2006/relationships/image" Target="media/image1.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2114.65</c:v>
                </c:pt>
                <c:pt idx="1">
                  <c:v>2114.65</c:v>
                </c:pt>
              </c:numCache>
            </c:numRef>
          </c:val>
        </c:ser>
        <c:ser>
          <c:idx val="1"/>
          <c:order val="1"/>
          <c:tx>
            <c:strRef>
              <c:f>Sheet1!$C$1</c:f>
              <c:strCache>
                <c:ptCount val="1"/>
                <c:pt idx="0">
                  <c:v>2019年</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2024.45</c:v>
                </c:pt>
                <c:pt idx="1">
                  <c:v>2024.45</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49265362"/>
        <c:axId val="186135832"/>
      </c:barChart>
      <c:catAx>
        <c:axId val="4926536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6135832"/>
        <c:crosses val="autoZero"/>
        <c:auto val="1"/>
        <c:lblAlgn val="ctr"/>
        <c:lblOffset val="100"/>
        <c:noMultiLvlLbl val="0"/>
      </c:catAx>
      <c:valAx>
        <c:axId val="186135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9265362"/>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年初预算</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2103.66</c:v>
                </c:pt>
                <c:pt idx="1">
                  <c:v>2103.66</c:v>
                </c:pt>
              </c:numCache>
            </c:numRef>
          </c:val>
        </c:ser>
        <c:ser>
          <c:idx val="1"/>
          <c:order val="1"/>
          <c:tx>
            <c:strRef>
              <c:f>Sheet1!$C$1</c:f>
              <c:strCache>
                <c:ptCount val="1"/>
                <c:pt idx="0">
                  <c:v>决算</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2024.45</c:v>
                </c:pt>
                <c:pt idx="1">
                  <c:v>2024.45</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56405445"/>
        <c:axId val="325803949"/>
      </c:barChart>
      <c:catAx>
        <c:axId val="5640544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5803949"/>
        <c:crosses val="autoZero"/>
        <c:auto val="1"/>
        <c:lblAlgn val="ctr"/>
        <c:lblOffset val="100"/>
        <c:noMultiLvlLbl val="0"/>
      </c:catAx>
      <c:valAx>
        <c:axId val="32580394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405445"/>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4</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2021-06-21T08:30:49Z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0B20A5EFFA274C6E963BFE89D896A49C</vt:lpwstr>
  </property>
</Properties>
</file>