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6BD20">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2CE08330">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2CE08330">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D5D7B7">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2AD5D7B7">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56BE90B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56BE90B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404DA8">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13404DA8">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3185CDC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3185CDC8">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056DE9D6"/>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056DE9D6"/>
                  </w:txbxContent>
                </v:textbox>
              </v:rect>
            </w:pict>
          </mc:Fallback>
        </mc:AlternateContent>
      </w:r>
    </w:p>
    <w:p w14:paraId="241C411D"/>
    <w:p w14:paraId="0F8A1D85">
      <w:pPr>
        <w:jc w:val="center"/>
        <w:rPr>
          <w:rFonts w:ascii="黑体" w:hAnsi="黑体" w:eastAsia="黑体" w:cs="黑体"/>
          <w:sz w:val="56"/>
          <w:szCs w:val="72"/>
        </w:rPr>
      </w:pPr>
    </w:p>
    <w:p w14:paraId="2D1545FF">
      <w:pPr>
        <w:jc w:val="center"/>
        <w:rPr>
          <w:rFonts w:ascii="黑体" w:hAnsi="黑体" w:eastAsia="黑体" w:cs="黑体"/>
          <w:sz w:val="56"/>
          <w:szCs w:val="72"/>
        </w:rPr>
      </w:pPr>
    </w:p>
    <w:p w14:paraId="73A6B7CC">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024F7D19">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2F15591E">
      <w:pPr>
        <w:rPr>
          <w:rFonts w:ascii="黑体" w:hAnsi="黑体" w:eastAsia="黑体" w:cs="黑体"/>
          <w:sz w:val="56"/>
          <w:szCs w:val="72"/>
        </w:rPr>
      </w:pPr>
    </w:p>
    <w:p w14:paraId="105E07E0">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3F78348F">
      <w:pPr>
        <w:spacing w:line="360" w:lineRule="auto"/>
        <w:jc w:val="center"/>
        <w:rPr>
          <w:rFonts w:ascii="黑体" w:hAnsi="黑体" w:eastAsia="黑体" w:cs="黑体"/>
          <w:sz w:val="56"/>
          <w:szCs w:val="72"/>
        </w:rPr>
      </w:pPr>
    </w:p>
    <w:p w14:paraId="3C7A5BB6">
      <w:pPr>
        <w:spacing w:line="600" w:lineRule="auto"/>
        <w:jc w:val="center"/>
        <w:rPr>
          <w:rFonts w:ascii="黑体" w:hAnsi="黑体" w:eastAsia="黑体" w:cs="黑体"/>
          <w:sz w:val="56"/>
          <w:szCs w:val="72"/>
        </w:rPr>
      </w:pPr>
    </w:p>
    <w:p w14:paraId="2E60E2FE">
      <w:pPr>
        <w:spacing w:line="600" w:lineRule="auto"/>
        <w:jc w:val="center"/>
        <w:rPr>
          <w:rFonts w:ascii="黑体" w:hAnsi="黑体" w:eastAsia="黑体" w:cs="黑体"/>
          <w:sz w:val="56"/>
          <w:szCs w:val="72"/>
        </w:rPr>
      </w:pPr>
    </w:p>
    <w:p w14:paraId="2F9EB102">
      <w:pPr>
        <w:spacing w:line="600" w:lineRule="auto"/>
        <w:jc w:val="center"/>
        <w:rPr>
          <w:rFonts w:ascii="黑体" w:hAnsi="黑体" w:eastAsia="黑体" w:cs="黑体"/>
          <w:sz w:val="56"/>
          <w:szCs w:val="72"/>
        </w:rPr>
      </w:pPr>
    </w:p>
    <w:p w14:paraId="0AC09F80">
      <w:pPr>
        <w:spacing w:line="600" w:lineRule="auto"/>
        <w:jc w:val="center"/>
        <w:rPr>
          <w:rFonts w:ascii="黑体" w:hAnsi="黑体" w:eastAsia="黑体" w:cs="黑体"/>
          <w:sz w:val="56"/>
          <w:szCs w:val="72"/>
        </w:rPr>
      </w:pPr>
    </w:p>
    <w:p w14:paraId="01AD332D">
      <w:pPr>
        <w:spacing w:line="480" w:lineRule="auto"/>
        <w:jc w:val="center"/>
        <w:rPr>
          <w:rFonts w:ascii="黑体" w:hAnsi="黑体" w:eastAsia="黑体" w:cs="黑体"/>
          <w:sz w:val="56"/>
          <w:szCs w:val="72"/>
        </w:rPr>
      </w:pPr>
    </w:p>
    <w:p w14:paraId="1FC79536">
      <w:pPr>
        <w:spacing w:line="480" w:lineRule="auto"/>
        <w:jc w:val="center"/>
        <w:rPr>
          <w:rFonts w:ascii="黑体" w:hAnsi="黑体" w:eastAsia="黑体" w:cs="黑体"/>
          <w:sz w:val="56"/>
          <w:szCs w:val="72"/>
        </w:rPr>
      </w:pPr>
    </w:p>
    <w:p w14:paraId="78C18782">
      <w:pPr>
        <w:spacing w:line="480" w:lineRule="auto"/>
        <w:jc w:val="center"/>
        <w:rPr>
          <w:rFonts w:ascii="黑体" w:hAnsi="黑体" w:eastAsia="黑体" w:cs="黑体"/>
          <w:sz w:val="56"/>
          <w:szCs w:val="72"/>
        </w:rPr>
      </w:pPr>
    </w:p>
    <w:p w14:paraId="4938B709">
      <w:pPr>
        <w:snapToGrid w:val="0"/>
        <w:jc w:val="cente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851D3AA">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石家庄市藁城区人力资源和社会保障局</w:t>
      </w:r>
    </w:p>
    <w:p w14:paraId="0DF90F86">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p w14:paraId="4FB65BCC">
      <w:pPr>
        <w:widowControl/>
        <w:spacing w:line="600" w:lineRule="exact"/>
        <w:jc w:val="left"/>
        <w:rPr>
          <w:rFonts w:ascii="黑体" w:hAnsi="黑体" w:eastAsia="黑体" w:cs="黑体"/>
          <w:bCs/>
          <w:sz w:val="32"/>
          <w:szCs w:val="32"/>
          <w:highlight w:val="yellow"/>
        </w:rPr>
      </w:pPr>
    </w:p>
    <w:p w14:paraId="02D02849">
      <w:pPr>
        <w:tabs>
          <w:tab w:val="left" w:pos="2728"/>
        </w:tabs>
        <w:jc w:val="center"/>
        <w:rPr>
          <w:rFonts w:ascii="黑体" w:hAnsi="Times New Roman" w:eastAsia="黑体" w:cs="Times New Roman"/>
          <w:sz w:val="48"/>
          <w:szCs w:val="48"/>
        </w:rPr>
      </w:pPr>
    </w:p>
    <w:p w14:paraId="7C63EBD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6803A6E5">
      <w:pPr>
        <w:widowControl/>
        <w:spacing w:after="160" w:line="580" w:lineRule="exact"/>
        <w:ind w:firstLine="640" w:firstLineChars="200"/>
        <w:rPr>
          <w:rFonts w:ascii="Times New Roman" w:hAnsi="Times New Roman" w:eastAsia="黑体" w:cs="Times New Roman"/>
          <w:sz w:val="32"/>
          <w:szCs w:val="32"/>
        </w:rPr>
      </w:pPr>
    </w:p>
    <w:p w14:paraId="426C9402">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30D237F">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0181433E">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069142E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08E562C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1E9DBFE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09F5FA7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73640E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406C3D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3153249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07B88F3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6AC86D73">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3A21517">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40EAD5A3">
      <w:pPr>
        <w:widowControl/>
        <w:spacing w:after="160" w:line="580" w:lineRule="exact"/>
        <w:ind w:firstLine="640" w:firstLineChars="200"/>
        <w:rPr>
          <w:rFonts w:ascii="Times New Roman" w:hAnsi="Times New Roman" w:eastAsia="黑体" w:cs="Times New Roman"/>
          <w:sz w:val="32"/>
          <w:szCs w:val="32"/>
        </w:rPr>
      </w:pPr>
    </w:p>
    <w:p w14:paraId="429877B1">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17E1033B">
      <w:pPr>
        <w:widowControl/>
        <w:spacing w:line="580" w:lineRule="exact"/>
        <w:ind w:firstLine="640" w:firstLineChars="200"/>
        <w:rPr>
          <w:rFonts w:eastAsia="黑体"/>
          <w:sz w:val="32"/>
          <w:szCs w:val="32"/>
        </w:rPr>
      </w:pPr>
    </w:p>
    <w:p w14:paraId="45C4F16C">
      <w:pPr>
        <w:widowControl/>
        <w:spacing w:line="580" w:lineRule="exact"/>
        <w:ind w:firstLine="640" w:firstLineChars="200"/>
        <w:rPr>
          <w:rFonts w:eastAsia="黑体"/>
          <w:sz w:val="32"/>
          <w:szCs w:val="32"/>
        </w:rPr>
      </w:pPr>
    </w:p>
    <w:p w14:paraId="2EED3238">
      <w:pPr>
        <w:widowControl/>
        <w:spacing w:line="580" w:lineRule="exact"/>
        <w:ind w:firstLine="640" w:firstLineChars="200"/>
        <w:rPr>
          <w:rFonts w:eastAsia="黑体"/>
          <w:sz w:val="32"/>
          <w:szCs w:val="32"/>
        </w:rPr>
      </w:pPr>
    </w:p>
    <w:p w14:paraId="6916CFE1">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062EFBE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062EFBE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0B2974F4">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015937F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职责：</w:t>
      </w:r>
    </w:p>
    <w:p w14:paraId="6ADC508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(一)</w:t>
      </w:r>
      <w:r>
        <w:rPr>
          <w:rFonts w:ascii="Batang" w:hAnsi="Batang" w:eastAsia="Batang"/>
          <w:sz w:val="28"/>
        </w:rPr>
        <w:tab/>
      </w:r>
      <w:r>
        <w:rPr>
          <w:rFonts w:ascii="Batang" w:hAnsi="Batang" w:eastAsia="Batang"/>
          <w:sz w:val="28"/>
        </w:rPr>
        <w:t>人才队伍建设</w:t>
      </w:r>
      <w:r>
        <w:rPr>
          <w:sz w:val="28"/>
        </w:rPr>
        <w:tab/>
      </w:r>
      <w:r>
        <w:rPr>
          <w:rFonts w:ascii="Batang" w:hAnsi="Batang" w:eastAsia="Batang"/>
          <w:sz w:val="28"/>
        </w:rPr>
        <w:t>综合管理全区各类专业技术人员和专业技术职称的改革工作，负责各类专家及高层次人才选拔和培养</w:t>
      </w:r>
      <w:r>
        <w:rPr>
          <w:sz w:val="28"/>
        </w:rPr>
        <w:tab/>
      </w:r>
      <w:r>
        <w:rPr>
          <w:rFonts w:ascii="Batang" w:hAnsi="Batang" w:eastAsia="Batang"/>
          <w:sz w:val="28"/>
        </w:rPr>
        <w:t>建立健全我区各类专家及高层次人才、专业技术人才、技能人才队伍</w:t>
      </w:r>
    </w:p>
    <w:p w14:paraId="20DCEB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(二)</w:t>
      </w:r>
      <w:r>
        <w:rPr>
          <w:rFonts w:ascii="Batang" w:hAnsi="Batang" w:eastAsia="Batang"/>
          <w:sz w:val="28"/>
        </w:rPr>
        <w:tab/>
      </w:r>
      <w:r>
        <w:rPr>
          <w:rFonts w:ascii="Batang" w:hAnsi="Batang" w:eastAsia="Batang"/>
          <w:sz w:val="28"/>
        </w:rPr>
        <w:t>人事管理</w:t>
      </w:r>
      <w:r>
        <w:rPr>
          <w:sz w:val="28"/>
        </w:rPr>
        <w:tab/>
      </w:r>
      <w:r>
        <w:rPr>
          <w:rFonts w:ascii="Batang" w:hAnsi="Batang" w:eastAsia="Batang"/>
          <w:sz w:val="28"/>
        </w:rPr>
        <w:t>对区直政府系统事业单位人事工作进行综合指导、监督检查、协调服务。负责事业单位岗位设置管理。确保事业单位公开招聘公平、公正；</w:t>
      </w:r>
    </w:p>
    <w:p w14:paraId="04B6180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(三)</w:t>
      </w:r>
      <w:r>
        <w:rPr>
          <w:rFonts w:ascii="Batang" w:hAnsi="Batang" w:eastAsia="Batang"/>
          <w:sz w:val="28"/>
        </w:rPr>
        <w:tab/>
      </w:r>
      <w:r>
        <w:rPr>
          <w:rFonts w:ascii="Batang" w:hAnsi="Batang" w:eastAsia="Batang"/>
          <w:sz w:val="28"/>
        </w:rPr>
        <w:t>工资制度改革</w:t>
      </w:r>
      <w:r>
        <w:rPr>
          <w:sz w:val="28"/>
        </w:rPr>
        <w:tab/>
      </w:r>
      <w:r>
        <w:rPr>
          <w:rFonts w:ascii="Batang" w:hAnsi="Batang" w:eastAsia="Batang"/>
          <w:sz w:val="28"/>
        </w:rPr>
        <w:t>贯彻落实企事业单位人员工资收入分配政策，建立全区企事业单位人员工资正常增长和支付保障机制，负责全区政府系统科以下事业单位人员福利和离退休工作，并负责监督检查</w:t>
      </w:r>
      <w:r>
        <w:rPr>
          <w:sz w:val="28"/>
        </w:rPr>
        <w:tab/>
      </w:r>
      <w:r>
        <w:rPr>
          <w:rFonts w:ascii="Batang" w:hAnsi="Batang" w:eastAsia="Batang"/>
          <w:sz w:val="28"/>
        </w:rPr>
        <w:t>深化企事业单位工资制度改革</w:t>
      </w:r>
    </w:p>
    <w:p w14:paraId="48AF9BF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(四)</w:t>
      </w:r>
      <w:r>
        <w:rPr>
          <w:rFonts w:ascii="Batang" w:hAnsi="Batang" w:eastAsia="Batang"/>
          <w:sz w:val="28"/>
        </w:rPr>
        <w:tab/>
      </w:r>
      <w:r>
        <w:rPr>
          <w:rFonts w:ascii="Batang" w:hAnsi="Batang" w:eastAsia="Batang"/>
          <w:sz w:val="28"/>
        </w:rPr>
        <w:t>劳动关系管理</w:t>
      </w:r>
      <w:r>
        <w:rPr>
          <w:sz w:val="28"/>
        </w:rPr>
        <w:tab/>
      </w:r>
      <w:r>
        <w:rPr>
          <w:rFonts w:ascii="Batang" w:hAnsi="Batang" w:eastAsia="Batang"/>
          <w:sz w:val="28"/>
        </w:rPr>
        <w:t>综合管理全区劳动人事争议预防、协调、仲裁工作；指导企业及基层劳动人事争议调解委员会的工作；完善劳动关系协调机制，依法行使国家劳动和社会保障监督检查权，协调劳动者维权工作，依法查处重大案件</w:t>
      </w:r>
      <w:r>
        <w:rPr>
          <w:sz w:val="28"/>
        </w:rPr>
        <w:tab/>
      </w:r>
      <w:r>
        <w:rPr>
          <w:rFonts w:ascii="Batang" w:hAnsi="Batang" w:eastAsia="Batang"/>
          <w:sz w:val="28"/>
        </w:rPr>
        <w:t>加强劳动关系协调机制建设，构建和谐顺畅劳动关系</w:t>
      </w:r>
    </w:p>
    <w:p w14:paraId="62A96C8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(五)</w:t>
      </w:r>
      <w:r>
        <w:rPr>
          <w:rFonts w:ascii="Batang" w:hAnsi="Batang" w:eastAsia="Batang"/>
          <w:sz w:val="28"/>
        </w:rPr>
        <w:tab/>
      </w:r>
      <w:r>
        <w:rPr>
          <w:rFonts w:ascii="Batang" w:hAnsi="Batang" w:eastAsia="Batang"/>
          <w:sz w:val="28"/>
        </w:rPr>
        <w:t>人社政务管理</w:t>
      </w:r>
      <w:r>
        <w:rPr>
          <w:sz w:val="28"/>
        </w:rPr>
        <w:tab/>
      </w:r>
      <w:r>
        <w:rPr>
          <w:rFonts w:ascii="Batang" w:hAnsi="Batang" w:eastAsia="Batang"/>
          <w:sz w:val="28"/>
        </w:rPr>
        <w:t>综合协调局政务、事务</w:t>
      </w:r>
      <w:r>
        <w:rPr>
          <w:sz w:val="28"/>
        </w:rPr>
        <w:tab/>
      </w:r>
      <w:r>
        <w:rPr>
          <w:rFonts w:ascii="Batang" w:hAnsi="Batang" w:eastAsia="Batang"/>
          <w:sz w:val="28"/>
        </w:rPr>
        <w:t>负责全区人力资源和社会保障的宣传和舆情研究</w:t>
      </w:r>
    </w:p>
    <w:p w14:paraId="5134A81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(六)</w:t>
      </w:r>
      <w:r>
        <w:rPr>
          <w:rFonts w:ascii="Batang" w:hAnsi="Batang" w:eastAsia="Batang"/>
          <w:sz w:val="28"/>
        </w:rPr>
        <w:tab/>
      </w:r>
      <w:r>
        <w:rPr>
          <w:rFonts w:ascii="Batang" w:hAnsi="Batang" w:eastAsia="Batang"/>
          <w:sz w:val="28"/>
        </w:rPr>
        <w:t>社会保险稽核</w:t>
      </w:r>
      <w:r>
        <w:rPr>
          <w:sz w:val="28"/>
        </w:rPr>
        <w:tab/>
      </w:r>
      <w:r>
        <w:rPr>
          <w:rFonts w:ascii="Batang" w:hAnsi="Batang" w:eastAsia="Batang"/>
          <w:sz w:val="28"/>
        </w:rPr>
        <w:t>进行执法检查《社会保险稽核》，实地稽核、举报稽核、约谈稽核</w:t>
      </w:r>
      <w:r>
        <w:rPr>
          <w:sz w:val="28"/>
        </w:rPr>
        <w:tab/>
      </w:r>
      <w:r>
        <w:rPr>
          <w:rFonts w:ascii="Batang" w:hAnsi="Batang" w:eastAsia="Batang"/>
          <w:sz w:val="28"/>
        </w:rPr>
        <w:t>组织实施社会保险稽核，强化风险防控，规范经办行为</w:t>
      </w:r>
    </w:p>
    <w:p w14:paraId="3C81A49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(七)</w:t>
      </w:r>
      <w:r>
        <w:rPr>
          <w:rFonts w:ascii="Batang" w:hAnsi="Batang" w:eastAsia="Batang"/>
          <w:sz w:val="28"/>
        </w:rPr>
        <w:tab/>
      </w:r>
      <w:r>
        <w:rPr>
          <w:rFonts w:ascii="Batang" w:hAnsi="Batang" w:eastAsia="Batang"/>
          <w:sz w:val="28"/>
        </w:rPr>
        <w:t>城乡居民基本养老保险</w:t>
      </w:r>
      <w:r>
        <w:rPr>
          <w:sz w:val="28"/>
        </w:rPr>
        <w:tab/>
      </w:r>
      <w:r>
        <w:rPr>
          <w:rFonts w:ascii="Batang" w:hAnsi="Batang" w:eastAsia="Batang"/>
          <w:sz w:val="28"/>
        </w:rPr>
        <w:t>完善我区社会保障体系，统筹城乡社会发展，全面建立公平、统一、规范、可持续的城乡居民基本养老保险制度，实现老有所养的社会建设目标。</w:t>
      </w:r>
      <w:r>
        <w:rPr>
          <w:sz w:val="28"/>
        </w:rPr>
        <w:tab/>
      </w:r>
      <w:r>
        <w:rPr>
          <w:rFonts w:ascii="Batang" w:hAnsi="Batang" w:eastAsia="Batang"/>
          <w:sz w:val="28"/>
        </w:rPr>
        <w:t>按照业务流程操作业务</w:t>
      </w:r>
      <w:r>
        <w:rPr>
          <w:sz w:val="28"/>
        </w:rPr>
        <w:t>,</w:t>
      </w:r>
      <w:r>
        <w:rPr>
          <w:rFonts w:ascii="Batang" w:hAnsi="Batang" w:eastAsia="Batang"/>
          <w:sz w:val="28"/>
        </w:rPr>
        <w:t>确保基金及时到账</w:t>
      </w:r>
      <w:r>
        <w:rPr>
          <w:sz w:val="28"/>
        </w:rPr>
        <w:t>,</w:t>
      </w:r>
      <w:r>
        <w:rPr>
          <w:rFonts w:ascii="Batang" w:hAnsi="Batang" w:eastAsia="Batang"/>
          <w:sz w:val="28"/>
        </w:rPr>
        <w:t>保证基金安全运行</w:t>
      </w:r>
      <w:r>
        <w:rPr>
          <w:sz w:val="28"/>
        </w:rPr>
        <w:t>,</w:t>
      </w:r>
      <w:r>
        <w:rPr>
          <w:rFonts w:ascii="Batang" w:hAnsi="Batang" w:eastAsia="Batang"/>
          <w:sz w:val="28"/>
        </w:rPr>
        <w:t>养老金及时足额发放无拖欠。维护失地农民合法权益。</w:t>
      </w:r>
    </w:p>
    <w:p w14:paraId="53534E4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(八)</w:t>
      </w:r>
      <w:r>
        <w:rPr>
          <w:rFonts w:ascii="Batang" w:hAnsi="Batang" w:eastAsia="Batang"/>
          <w:sz w:val="28"/>
        </w:rPr>
        <w:tab/>
      </w:r>
      <w:r>
        <w:rPr>
          <w:rFonts w:ascii="Batang" w:hAnsi="Batang" w:eastAsia="Batang"/>
          <w:sz w:val="28"/>
        </w:rPr>
        <w:t>信息管理、计算机及附属设备的配置和维护，社会保障卡的管理工作</w:t>
      </w:r>
      <w:r>
        <w:rPr>
          <w:sz w:val="28"/>
        </w:rPr>
        <w:tab/>
      </w:r>
      <w:r>
        <w:rPr>
          <w:rFonts w:ascii="Batang" w:hAnsi="Batang" w:eastAsia="Batang"/>
          <w:sz w:val="28"/>
        </w:rPr>
        <w:t>负责本单位政府信息公开；单位计算机及附属设备的配置，网格系统平台的运行维护和管理。制定社会保障卡信息采集工作要求、社保卡发放流程及社保卡综合管理的工作规范。</w:t>
      </w:r>
      <w:r>
        <w:rPr>
          <w:sz w:val="28"/>
        </w:rPr>
        <w:tab/>
      </w:r>
      <w:r>
        <w:rPr>
          <w:rFonts w:ascii="Batang" w:hAnsi="Batang" w:eastAsia="Batang"/>
          <w:sz w:val="28"/>
        </w:rPr>
        <w:t>及时准确公开单位信息，保障人民群众的知情权；保证单位计算机及网络系统的正常运转，保证单位工作的正常开展。保证社保卡尽快发放到所有参保人手中。</w:t>
      </w:r>
    </w:p>
    <w:p w14:paraId="5B29E2B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(九)</w:t>
      </w:r>
      <w:r>
        <w:rPr>
          <w:rFonts w:ascii="Batang" w:hAnsi="Batang" w:eastAsia="Batang"/>
          <w:sz w:val="28"/>
        </w:rPr>
        <w:tab/>
      </w:r>
      <w:r>
        <w:rPr>
          <w:rFonts w:ascii="Batang" w:hAnsi="Batang" w:eastAsia="Batang"/>
          <w:sz w:val="28"/>
        </w:rPr>
        <w:t>档案管理和各项查询服务企业离退休人员社会化管理，资格认证与体检</w:t>
      </w:r>
      <w:r>
        <w:rPr>
          <w:sz w:val="28"/>
        </w:rPr>
        <w:tab/>
      </w:r>
      <w:r>
        <w:rPr>
          <w:rFonts w:ascii="Batang" w:hAnsi="Batang" w:eastAsia="Batang"/>
          <w:sz w:val="28"/>
        </w:rPr>
        <w:t>1、严格按照归档范围，做好文书、业务、会计、声像、科技档案的收集整理保管工作；2、严格执行保密、借阅制度，维护档案的安全；3、做好档案移交、统计、利用、维护工作。4、负责本辖区内企业退休人员社会化管理服务工作的业务指导，负责组织实施，统筹协调监督检查。</w:t>
      </w:r>
      <w:r>
        <w:rPr>
          <w:sz w:val="28"/>
        </w:rPr>
        <w:tab/>
      </w:r>
      <w:r>
        <w:rPr>
          <w:rFonts w:ascii="Batang" w:hAnsi="Batang" w:eastAsia="Batang"/>
          <w:sz w:val="28"/>
        </w:rPr>
        <w:t>严格履行档案管理职责，做到档案管理规范。防范基金风险，堵塞基金漏洞。</w:t>
      </w:r>
    </w:p>
    <w:p w14:paraId="3F91DDD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w:t>
      </w:r>
      <w:r>
        <w:rPr>
          <w:rFonts w:ascii="Batang" w:hAnsi="Batang" w:eastAsia="Batang"/>
          <w:sz w:val="28"/>
        </w:rPr>
        <w:tab/>
      </w:r>
      <w:r>
        <w:rPr>
          <w:rFonts w:ascii="Batang" w:hAnsi="Batang" w:eastAsia="Batang"/>
          <w:sz w:val="28"/>
        </w:rPr>
        <w:t>机关事业单位及在职人员参保缴费管理</w:t>
      </w:r>
      <w:r>
        <w:rPr>
          <w:sz w:val="28"/>
        </w:rPr>
        <w:tab/>
      </w:r>
      <w:r>
        <w:rPr>
          <w:rFonts w:ascii="Batang" w:hAnsi="Batang" w:eastAsia="Batang"/>
          <w:sz w:val="28"/>
        </w:rPr>
        <w:t>负责参保单位申报审核，收缴养老保险费。</w:t>
      </w:r>
      <w:r>
        <w:rPr>
          <w:sz w:val="28"/>
        </w:rPr>
        <w:tab/>
      </w:r>
      <w:r>
        <w:rPr>
          <w:rFonts w:ascii="Batang" w:hAnsi="Batang" w:eastAsia="Batang"/>
          <w:sz w:val="28"/>
        </w:rPr>
        <w:t>保证参保率、收缴率，做到应保尽保、应收尽收。</w:t>
      </w:r>
    </w:p>
    <w:p w14:paraId="0DD6AFC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(十一)</w:t>
      </w:r>
      <w:r>
        <w:rPr>
          <w:rFonts w:ascii="Batang" w:hAnsi="Batang" w:eastAsia="Batang"/>
          <w:sz w:val="28"/>
        </w:rPr>
        <w:tab/>
      </w:r>
      <w:r>
        <w:rPr>
          <w:rFonts w:ascii="Batang" w:hAnsi="Batang" w:eastAsia="Batang"/>
          <w:sz w:val="28"/>
        </w:rPr>
        <w:t>企业养老管理</w:t>
      </w:r>
      <w:r>
        <w:rPr>
          <w:sz w:val="28"/>
        </w:rPr>
        <w:tab/>
      </w:r>
      <w:r>
        <w:rPr>
          <w:rFonts w:ascii="Batang" w:hAnsi="Batang" w:eastAsia="Batang"/>
          <w:sz w:val="28"/>
        </w:rPr>
        <w:t>努力扩大养老保险覆盖面，审核企业养老保险费申报核定，扩大灵活人员和个体参保面，负责参保职工养老保险费个人账户的管理，负责养老保险关系的转移，负责退休人员待遇审核，负责离退人员待遇发放（抗战前期参加工作企业离休人员及遗属供养人员待遇支付等业务)</w:t>
      </w:r>
      <w:r>
        <w:rPr>
          <w:rFonts w:ascii="Batang" w:hAnsi="Batang" w:eastAsia="Batang"/>
          <w:sz w:val="28"/>
        </w:rPr>
        <w:tab/>
      </w:r>
      <w:r>
        <w:rPr>
          <w:rFonts w:ascii="Batang" w:hAnsi="Batang" w:eastAsia="Batang"/>
          <w:sz w:val="28"/>
        </w:rPr>
        <w:t>为新参保单位和个人办理参保手续。督促企业实事求是的申报养老保险费，为个体工商户和灵活就业人员办理参保手续，核对在职职工的个人账户，促进参保人员跨省和省内人员就业流动，退休人员档案审核，待遇核准，发放离退休人员待遇</w:t>
      </w:r>
    </w:p>
    <w:p w14:paraId="0B2C0C5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(十二)</w:t>
      </w:r>
      <w:r>
        <w:rPr>
          <w:rFonts w:ascii="Batang" w:hAnsi="Batang" w:eastAsia="Batang"/>
          <w:sz w:val="28"/>
        </w:rPr>
        <w:tab/>
      </w:r>
      <w:r>
        <w:rPr>
          <w:rFonts w:ascii="Batang" w:hAnsi="Batang" w:eastAsia="Batang"/>
          <w:sz w:val="28"/>
        </w:rPr>
        <w:t>工伤保险费征缴及待遇发放</w:t>
      </w:r>
      <w:r>
        <w:rPr>
          <w:sz w:val="28"/>
        </w:rPr>
        <w:tab/>
      </w:r>
      <w:r>
        <w:rPr>
          <w:rFonts w:ascii="Batang" w:hAnsi="Batang" w:eastAsia="Batang"/>
          <w:sz w:val="28"/>
        </w:rPr>
        <w:t>本区行政区域内的企业、事业单位、社会团体、民办非企业单位会计师事务所等组织和有雇工的个体工商户参保、缴费；经社保行政部门认（鉴）定后的工伤待遇发放</w:t>
      </w:r>
      <w:r>
        <w:rPr>
          <w:sz w:val="28"/>
        </w:rPr>
        <w:tab/>
      </w:r>
      <w:r>
        <w:rPr>
          <w:rFonts w:ascii="Batang" w:hAnsi="Batang" w:eastAsia="Batang"/>
          <w:sz w:val="28"/>
        </w:rPr>
        <w:t>提高工伤保险参保率，确保工伤保险待遇落实到位</w:t>
      </w:r>
    </w:p>
    <w:p w14:paraId="1C8F8AE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(十三)</w:t>
      </w:r>
      <w:r>
        <w:rPr>
          <w:rFonts w:ascii="Batang" w:hAnsi="Batang" w:eastAsia="Batang"/>
          <w:sz w:val="28"/>
        </w:rPr>
        <w:tab/>
      </w:r>
      <w:r>
        <w:rPr>
          <w:rFonts w:ascii="Batang" w:hAnsi="Batang" w:eastAsia="Batang"/>
          <w:sz w:val="28"/>
        </w:rPr>
        <w:t>就业再就业扶持政策落实</w:t>
      </w:r>
      <w:r>
        <w:rPr>
          <w:sz w:val="28"/>
        </w:rPr>
        <w:tab/>
      </w:r>
      <w:r>
        <w:rPr>
          <w:rFonts w:ascii="Batang" w:hAnsi="Batang" w:eastAsia="Batang"/>
          <w:sz w:val="28"/>
        </w:rPr>
        <w:t>贯彻落实就业再就业扶持政策政策，制定本区就业规划</w:t>
      </w:r>
      <w:r>
        <w:rPr>
          <w:sz w:val="28"/>
        </w:rPr>
        <w:tab/>
      </w:r>
      <w:r>
        <w:rPr>
          <w:rFonts w:ascii="Batang" w:hAnsi="Batang" w:eastAsia="Batang"/>
          <w:sz w:val="28"/>
        </w:rPr>
        <w:t>据石财社[2012]16号，依法依规用好就业专项资金，落实就业创业优惠政策</w:t>
      </w:r>
    </w:p>
    <w:p w14:paraId="4F16211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(十四)</w:t>
      </w:r>
      <w:r>
        <w:rPr>
          <w:rFonts w:ascii="Batang" w:hAnsi="Batang" w:eastAsia="Batang"/>
          <w:sz w:val="28"/>
        </w:rPr>
        <w:tab/>
      </w:r>
      <w:r>
        <w:rPr>
          <w:rFonts w:ascii="Batang" w:hAnsi="Batang" w:eastAsia="Batang"/>
          <w:sz w:val="28"/>
        </w:rPr>
        <w:t>创业扶持政策落实</w:t>
      </w:r>
      <w:r>
        <w:rPr>
          <w:sz w:val="28"/>
        </w:rPr>
        <w:tab/>
      </w:r>
      <w:r>
        <w:rPr>
          <w:rFonts w:ascii="Batang" w:hAnsi="Batang" w:eastAsia="Batang"/>
          <w:sz w:val="28"/>
        </w:rPr>
        <w:t>贯彻落实创业扶持政策，鼓励创业促进就业</w:t>
      </w:r>
      <w:r>
        <w:rPr>
          <w:sz w:val="28"/>
        </w:rPr>
        <w:tab/>
      </w:r>
      <w:r>
        <w:rPr>
          <w:rFonts w:ascii="Batang" w:hAnsi="Batang" w:eastAsia="Batang"/>
          <w:sz w:val="28"/>
        </w:rPr>
        <w:t>据石政办发【2014】9号和石人社字【2014】65号，依法依规用好创业扶持资金，落实创业扶持政策</w:t>
      </w:r>
    </w:p>
    <w:p w14:paraId="6ED3C48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(十无)</w:t>
      </w:r>
      <w:r>
        <w:rPr>
          <w:rFonts w:ascii="Batang" w:hAnsi="Batang" w:eastAsia="Batang"/>
          <w:sz w:val="28"/>
        </w:rPr>
        <w:tab/>
      </w:r>
      <w:r>
        <w:rPr>
          <w:rFonts w:ascii="Batang" w:hAnsi="Batang" w:eastAsia="Batang"/>
          <w:sz w:val="28"/>
        </w:rPr>
        <w:t>小额担保贷款</w:t>
      </w:r>
      <w:r>
        <w:rPr>
          <w:sz w:val="28"/>
        </w:rPr>
        <w:tab/>
      </w:r>
      <w:r>
        <w:rPr>
          <w:rFonts w:ascii="Batang" w:hAnsi="Batang" w:eastAsia="Batang"/>
          <w:sz w:val="28"/>
        </w:rPr>
        <w:t>落实小额担保贷款工作</w:t>
      </w:r>
      <w:r>
        <w:rPr>
          <w:sz w:val="28"/>
        </w:rPr>
        <w:tab/>
      </w:r>
      <w:r>
        <w:rPr>
          <w:rFonts w:ascii="Batang" w:hAnsi="Batang" w:eastAsia="Batang"/>
          <w:sz w:val="28"/>
        </w:rPr>
        <w:t>据财金【2013】84号，做好小额担保贷款工作</w:t>
      </w:r>
    </w:p>
    <w:p w14:paraId="134DF9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(十六)</w:t>
      </w:r>
      <w:r>
        <w:rPr>
          <w:rFonts w:ascii="Batang" w:hAnsi="Batang" w:eastAsia="Batang"/>
          <w:sz w:val="28"/>
        </w:rPr>
        <w:tab/>
      </w:r>
      <w:r>
        <w:rPr>
          <w:rFonts w:ascii="Batang" w:hAnsi="Batang" w:eastAsia="Batang"/>
          <w:sz w:val="28"/>
        </w:rPr>
        <w:t>就业服务体系建设</w:t>
      </w:r>
      <w:r>
        <w:rPr>
          <w:sz w:val="28"/>
        </w:rPr>
        <w:tab/>
      </w:r>
      <w:r>
        <w:rPr>
          <w:rFonts w:ascii="Batang" w:hAnsi="Batang" w:eastAsia="Batang"/>
          <w:sz w:val="28"/>
        </w:rPr>
        <w:t>培育和完善人力资源市场，规范人力资源市场活动，开展就业服务，落实城乡劳动者平等就业制度，积极促进就业</w:t>
      </w:r>
      <w:r>
        <w:rPr>
          <w:sz w:val="28"/>
        </w:rPr>
        <w:tab/>
      </w:r>
      <w:r>
        <w:rPr>
          <w:rFonts w:ascii="Batang" w:hAnsi="Batang" w:eastAsia="Batang"/>
          <w:sz w:val="28"/>
        </w:rPr>
        <w:t>促进失业人员再就业，控制城镇登记失业率，转移农村劳动力，保持就业形势的基本稳定</w:t>
      </w:r>
    </w:p>
    <w:p w14:paraId="07A3658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(十七)</w:t>
      </w:r>
      <w:r>
        <w:rPr>
          <w:rFonts w:ascii="Batang" w:hAnsi="Batang" w:eastAsia="Batang"/>
          <w:sz w:val="28"/>
        </w:rPr>
        <w:tab/>
      </w:r>
      <w:r>
        <w:rPr>
          <w:rFonts w:ascii="Batang" w:hAnsi="Batang" w:eastAsia="Batang"/>
          <w:sz w:val="28"/>
        </w:rPr>
        <w:t>失业保险管理</w:t>
      </w:r>
      <w:r>
        <w:rPr>
          <w:sz w:val="28"/>
        </w:rPr>
        <w:tab/>
      </w:r>
      <w:r>
        <w:rPr>
          <w:rFonts w:ascii="Batang" w:hAnsi="Batang" w:eastAsia="Batang"/>
          <w:sz w:val="28"/>
        </w:rPr>
        <w:t>失业保险金申报、审核。失业人员失业保险待遇核定发放，做好失业动态监测工作</w:t>
      </w:r>
      <w:r>
        <w:rPr>
          <w:sz w:val="28"/>
        </w:rPr>
        <w:tab/>
      </w:r>
      <w:r>
        <w:rPr>
          <w:rFonts w:ascii="Batang" w:hAnsi="Batang" w:eastAsia="Batang"/>
          <w:sz w:val="28"/>
        </w:rPr>
        <w:t>及时足额落实失业保险待遇；完成失业动态监测。</w:t>
      </w:r>
    </w:p>
    <w:p w14:paraId="7F1009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(十八)</w:t>
      </w:r>
      <w:r>
        <w:rPr>
          <w:rFonts w:ascii="Batang" w:hAnsi="Batang" w:eastAsia="Batang"/>
          <w:sz w:val="28"/>
        </w:rPr>
        <w:tab/>
      </w:r>
      <w:r>
        <w:rPr>
          <w:rFonts w:ascii="Batang" w:hAnsi="Batang" w:eastAsia="Batang"/>
          <w:sz w:val="28"/>
        </w:rPr>
        <w:t>劳动技校政务管理</w:t>
      </w:r>
      <w:r>
        <w:rPr>
          <w:sz w:val="28"/>
        </w:rPr>
        <w:tab/>
      </w:r>
      <w:r>
        <w:rPr>
          <w:rFonts w:ascii="Batang" w:hAnsi="Batang" w:eastAsia="Batang"/>
          <w:sz w:val="28"/>
        </w:rPr>
        <w:t>协调各科室政务、事务</w:t>
      </w:r>
      <w:r>
        <w:rPr>
          <w:sz w:val="28"/>
        </w:rPr>
        <w:tab/>
      </w:r>
      <w:r>
        <w:rPr>
          <w:rFonts w:ascii="Batang" w:hAnsi="Batang" w:eastAsia="Batang"/>
          <w:sz w:val="28"/>
        </w:rPr>
        <w:t>负责本单位后勤保障、党务党建、调研等综合性工作</w:t>
      </w:r>
    </w:p>
    <w:p w14:paraId="578992C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(十九)</w:t>
      </w:r>
      <w:r>
        <w:rPr>
          <w:rFonts w:ascii="Batang" w:hAnsi="Batang" w:eastAsia="Batang"/>
          <w:sz w:val="28"/>
        </w:rPr>
        <w:tab/>
      </w:r>
      <w:r>
        <w:rPr>
          <w:rFonts w:ascii="Batang" w:hAnsi="Batang" w:eastAsia="Batang"/>
          <w:sz w:val="28"/>
        </w:rPr>
        <w:t>政策宣传，组织推动</w:t>
      </w:r>
      <w:r>
        <w:rPr>
          <w:sz w:val="28"/>
        </w:rPr>
        <w:tab/>
      </w:r>
      <w:r>
        <w:rPr>
          <w:rFonts w:ascii="Batang" w:hAnsi="Batang" w:eastAsia="Batang"/>
          <w:sz w:val="28"/>
        </w:rPr>
        <w:t>贯彻执行国家的职业教育方针，落实上级人社部门有关职业教育的各项政策，完善技能人才培养体系</w:t>
      </w:r>
      <w:r>
        <w:rPr>
          <w:sz w:val="28"/>
        </w:rPr>
        <w:tab/>
      </w:r>
      <w:r>
        <w:rPr>
          <w:rFonts w:ascii="Batang" w:hAnsi="Batang" w:eastAsia="Batang"/>
          <w:sz w:val="28"/>
        </w:rPr>
        <w:t>加大宣传力度，使国家政策深入人心</w:t>
      </w:r>
    </w:p>
    <w:p w14:paraId="705C54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(二十)</w:t>
      </w:r>
      <w:r>
        <w:rPr>
          <w:rFonts w:ascii="Batang" w:hAnsi="Batang" w:eastAsia="Batang"/>
          <w:sz w:val="28"/>
        </w:rPr>
        <w:tab/>
      </w:r>
      <w:r>
        <w:rPr>
          <w:rFonts w:ascii="Batang" w:hAnsi="Batang" w:eastAsia="Batang"/>
          <w:sz w:val="28"/>
        </w:rPr>
        <w:t>全日制教育</w:t>
      </w:r>
      <w:r>
        <w:rPr>
          <w:sz w:val="28"/>
        </w:rPr>
        <w:tab/>
      </w:r>
      <w:r>
        <w:rPr>
          <w:rFonts w:ascii="Batang" w:hAnsi="Batang" w:eastAsia="Batang"/>
          <w:sz w:val="28"/>
        </w:rPr>
        <w:t>主要承担通过学制教育培养中级技能人才任务</w:t>
      </w:r>
      <w:r>
        <w:rPr>
          <w:sz w:val="28"/>
        </w:rPr>
        <w:tab/>
      </w:r>
      <w:r>
        <w:rPr>
          <w:rFonts w:ascii="Batang" w:hAnsi="Batang" w:eastAsia="Batang"/>
          <w:sz w:val="28"/>
        </w:rPr>
        <w:t>根据劳动力市场，确定专业设置、学制、招生人数</w:t>
      </w:r>
    </w:p>
    <w:p w14:paraId="2168506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(二十一)</w:t>
      </w:r>
      <w:r>
        <w:rPr>
          <w:rFonts w:ascii="Batang" w:hAnsi="Batang" w:eastAsia="Batang"/>
          <w:sz w:val="28"/>
        </w:rPr>
        <w:tab/>
      </w:r>
      <w:r>
        <w:rPr>
          <w:rFonts w:ascii="Batang" w:hAnsi="Batang" w:eastAsia="Batang"/>
          <w:sz w:val="28"/>
        </w:rPr>
        <w:t>社会培训</w:t>
      </w:r>
      <w:r>
        <w:rPr>
          <w:sz w:val="28"/>
        </w:rPr>
        <w:tab/>
      </w:r>
      <w:r>
        <w:rPr>
          <w:rFonts w:ascii="Batang" w:hAnsi="Batang" w:eastAsia="Batang"/>
          <w:sz w:val="28"/>
        </w:rPr>
        <w:t>进一步加大社会职业培训力度，提高培训质量</w:t>
      </w:r>
      <w:r>
        <w:rPr>
          <w:sz w:val="28"/>
        </w:rPr>
        <w:tab/>
      </w:r>
      <w:r>
        <w:rPr>
          <w:rFonts w:ascii="Batang" w:hAnsi="Batang" w:eastAsia="Batang"/>
          <w:sz w:val="28"/>
        </w:rPr>
        <w:t>采取自主培训、订单培训、岗前培训、劳动预备制培训等形式开展就业技能培训和创业培训</w:t>
      </w:r>
    </w:p>
    <w:p w14:paraId="34B0891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(二十二)职业技能鉴定</w:t>
      </w:r>
      <w:r>
        <w:rPr>
          <w:sz w:val="28"/>
        </w:rPr>
        <w:tab/>
      </w:r>
      <w:r>
        <w:rPr>
          <w:rFonts w:ascii="Batang" w:hAnsi="Batang" w:eastAsia="Batang"/>
          <w:sz w:val="28"/>
        </w:rPr>
        <w:t>根据国家政策，受理职业技能鉴定申请，对申报者进行资格审查，组织合格申报人员按规定时间和方式进行考核考评，并负责向鉴定合格者发放职业资格证书</w:t>
      </w:r>
      <w:r>
        <w:rPr>
          <w:sz w:val="28"/>
        </w:rPr>
        <w:tab/>
      </w:r>
      <w:r>
        <w:rPr>
          <w:rFonts w:ascii="Batang" w:hAnsi="Batang" w:eastAsia="Batang"/>
          <w:sz w:val="28"/>
        </w:rPr>
        <w:t>加大宣传力度，使国家政策深入人心，让申报者充分了解国家相关政策和职业资格国家准入制度</w:t>
      </w:r>
    </w:p>
    <w:p w14:paraId="3F4C874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ascii="Batang" w:hAnsi="Batang" w:eastAsia="Batang"/>
          <w:sz w:val="28"/>
        </w:rPr>
        <w:t>(二十三)职业能力建设</w:t>
      </w:r>
      <w:r>
        <w:rPr>
          <w:sz w:val="28"/>
        </w:rPr>
        <w:tab/>
      </w:r>
      <w:r>
        <w:rPr>
          <w:rFonts w:ascii="Batang" w:hAnsi="Batang" w:eastAsia="Batang"/>
          <w:sz w:val="28"/>
        </w:rPr>
        <w:t>统筹建立职业培训制度，落实职业技能鉴定政策，按国家和市政府要求推动职业能力建设，开展职业培训能力建设相关工作</w:t>
      </w:r>
      <w:r>
        <w:rPr>
          <w:sz w:val="28"/>
        </w:rPr>
        <w:tab/>
      </w:r>
      <w:r>
        <w:rPr>
          <w:rFonts w:ascii="Batang" w:hAnsi="Batang" w:eastAsia="Batang"/>
          <w:sz w:val="28"/>
        </w:rPr>
        <w:t>建立符合条件的定点培训机构，完善培训点的设施、设备和师资力量，保证按质按量完成培训工作</w:t>
      </w:r>
    </w:p>
    <w:p w14:paraId="27488213">
      <w:pPr>
        <w:pStyle w:val="12"/>
        <w:widowControl/>
        <w:rPr>
          <w:sz w:val="28"/>
        </w:rPr>
      </w:pPr>
    </w:p>
    <w:p w14:paraId="19BC3C9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72B11EC3">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4</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1039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50B249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4767BA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2E5D08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EF6363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D88C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1408F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54C1DD54">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石家庄市藁城区人力资源和社会保障局</w:t>
            </w:r>
          </w:p>
        </w:tc>
        <w:tc>
          <w:tcPr>
            <w:tcW w:w="2445" w:type="dxa"/>
          </w:tcPr>
          <w:p w14:paraId="4013BAC9">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0846D091">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14:paraId="6A3FD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ABE9DA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14:paraId="22C6E674">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石家庄市藁城区社会保险中心</w:t>
            </w:r>
          </w:p>
        </w:tc>
        <w:tc>
          <w:tcPr>
            <w:tcW w:w="2445" w:type="dxa"/>
          </w:tcPr>
          <w:p w14:paraId="09106234">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14:paraId="5D23072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7007E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F82A4E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14:paraId="1AF3B23C">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石家庄市藁城区就业服务中心</w:t>
            </w:r>
          </w:p>
        </w:tc>
        <w:tc>
          <w:tcPr>
            <w:tcW w:w="2445" w:type="dxa"/>
          </w:tcPr>
          <w:p w14:paraId="157E33F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tcPr>
          <w:p w14:paraId="319C424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4B06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6D2830A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val="en-US" w:eastAsia="zh-CN"/>
              </w:rPr>
              <w:t>4</w:t>
            </w:r>
          </w:p>
        </w:tc>
        <w:tc>
          <w:tcPr>
            <w:tcW w:w="3485" w:type="dxa"/>
            <w:tcBorders>
              <w:bottom w:val="single" w:color="auto" w:sz="4" w:space="0"/>
            </w:tcBorders>
          </w:tcPr>
          <w:p w14:paraId="7588BF26">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石家庄市藁城区劳动技工学校</w:t>
            </w:r>
          </w:p>
        </w:tc>
        <w:tc>
          <w:tcPr>
            <w:tcW w:w="2445" w:type="dxa"/>
            <w:tcBorders>
              <w:bottom w:val="single" w:color="auto" w:sz="4" w:space="0"/>
            </w:tcBorders>
          </w:tcPr>
          <w:p w14:paraId="2C00CBB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tcBorders>
              <w:bottom w:val="single" w:color="auto" w:sz="4" w:space="0"/>
            </w:tcBorders>
          </w:tcPr>
          <w:p w14:paraId="14CBFE4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14:paraId="1B256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55A79C74">
            <w:pPr>
              <w:spacing w:line="560" w:lineRule="exact"/>
              <w:ind w:firstLine="560" w:firstLineChars="200"/>
              <w:jc w:val="left"/>
              <w:rPr>
                <w:rFonts w:ascii="仿宋_GB2312" w:hAnsi="Calibri" w:eastAsia="仿宋_GB2312" w:cs="ArialUnicodeMS"/>
                <w:kern w:val="0"/>
                <w:sz w:val="28"/>
                <w:szCs w:val="28"/>
              </w:rPr>
            </w:pPr>
          </w:p>
        </w:tc>
      </w:tr>
    </w:tbl>
    <w:p w14:paraId="2AEEA7C3">
      <w:pPr>
        <w:widowControl/>
        <w:spacing w:after="160" w:line="580" w:lineRule="exact"/>
        <w:ind w:firstLine="640" w:firstLineChars="200"/>
        <w:rPr>
          <w:rFonts w:ascii="Times New Roman" w:hAnsi="Times New Roman" w:eastAsia="黑体" w:cs="Times New Roman"/>
          <w:sz w:val="32"/>
          <w:szCs w:val="32"/>
        </w:rPr>
      </w:pPr>
    </w:p>
    <w:p w14:paraId="6254C347">
      <w:pPr>
        <w:widowControl/>
        <w:spacing w:after="160" w:line="580" w:lineRule="exact"/>
        <w:ind w:firstLine="640" w:firstLineChars="200"/>
        <w:rPr>
          <w:rFonts w:ascii="Times New Roman" w:hAnsi="Times New Roman" w:eastAsia="黑体" w:cs="Times New Roman"/>
          <w:sz w:val="32"/>
          <w:szCs w:val="32"/>
        </w:rPr>
      </w:pPr>
    </w:p>
    <w:p w14:paraId="77A9C42E">
      <w:pPr>
        <w:widowControl/>
        <w:spacing w:after="160" w:line="580" w:lineRule="exact"/>
        <w:ind w:firstLine="640" w:firstLineChars="200"/>
        <w:rPr>
          <w:rFonts w:ascii="Times New Roman" w:hAnsi="Times New Roman" w:eastAsia="黑体" w:cs="Times New Roman"/>
          <w:sz w:val="32"/>
          <w:szCs w:val="32"/>
        </w:rPr>
      </w:pPr>
    </w:p>
    <w:p w14:paraId="48D926CC">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34AA1CD4">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395DB48A">
      <w:pPr>
        <w:jc w:val="center"/>
        <w:rPr>
          <w:rFonts w:ascii="黑体" w:hAnsi="黑体" w:eastAsia="黑体" w:cs="黑体"/>
          <w:sz w:val="56"/>
          <w:szCs w:val="72"/>
        </w:rPr>
      </w:pPr>
    </w:p>
    <w:p w14:paraId="766BA4ED">
      <w:pPr>
        <w:jc w:val="center"/>
        <w:rPr>
          <w:rFonts w:ascii="黑体" w:hAnsi="黑体" w:eastAsia="黑体" w:cs="黑体"/>
          <w:sz w:val="56"/>
          <w:szCs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6E74B2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75FAC0A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7D0E2B3">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793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56E74B2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75FAC0A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7D0E2B3">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4A70619C">
      <w:pPr>
        <w:jc w:val="center"/>
        <w:rPr>
          <w:rFonts w:ascii="黑体" w:hAnsi="黑体" w:eastAsia="黑体" w:cs="黑体"/>
          <w:sz w:val="56"/>
          <w:szCs w:val="72"/>
        </w:rPr>
      </w:pPr>
    </w:p>
    <w:p w14:paraId="69A5E036">
      <w:pPr>
        <w:jc w:val="center"/>
        <w:rPr>
          <w:rFonts w:ascii="黑体" w:hAnsi="黑体" w:eastAsia="黑体" w:cs="黑体"/>
          <w:sz w:val="56"/>
          <w:szCs w:val="72"/>
        </w:rPr>
      </w:pPr>
    </w:p>
    <w:p w14:paraId="5514A31C">
      <w:pPr>
        <w:jc w:val="center"/>
        <w:rPr>
          <w:rFonts w:ascii="黑体" w:hAnsi="黑体" w:eastAsia="黑体" w:cs="黑体"/>
          <w:sz w:val="56"/>
          <w:szCs w:val="72"/>
        </w:rPr>
      </w:pPr>
    </w:p>
    <w:p w14:paraId="47E4EC8B">
      <w:pPr>
        <w:jc w:val="center"/>
        <w:rPr>
          <w:rFonts w:ascii="黑体" w:hAnsi="黑体" w:eastAsia="黑体" w:cs="黑体"/>
          <w:sz w:val="56"/>
          <w:szCs w:val="72"/>
        </w:rPr>
      </w:pPr>
    </w:p>
    <w:p w14:paraId="577FD5C7">
      <w:pPr>
        <w:jc w:val="center"/>
        <w:rPr>
          <w:rFonts w:ascii="黑体" w:hAnsi="黑体" w:eastAsia="黑体" w:cs="黑体"/>
          <w:sz w:val="56"/>
          <w:szCs w:val="72"/>
        </w:rPr>
      </w:pPr>
    </w:p>
    <w:p w14:paraId="09DA821C">
      <w:pPr>
        <w:jc w:val="center"/>
        <w:rPr>
          <w:rFonts w:ascii="黑体" w:hAnsi="黑体" w:eastAsia="黑体" w:cs="黑体"/>
          <w:sz w:val="56"/>
          <w:szCs w:val="72"/>
        </w:rPr>
      </w:pPr>
    </w:p>
    <w:p w14:paraId="4419AA2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E67969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49073.9</w:t>
      </w:r>
      <w:r>
        <w:rPr>
          <w:rFonts w:hint="eastAsia" w:ascii="仿宋_GB2312" w:hAnsi="Times New Roman" w:eastAsia="仿宋_GB2312" w:cs="DengXian-Regular"/>
          <w:sz w:val="32"/>
          <w:szCs w:val="32"/>
        </w:rPr>
        <w:t>万元。与2018年度决算相比，</w:t>
      </w:r>
      <w:r>
        <w:rPr>
          <w:rFonts w:hint="eastAsia" w:ascii="仿宋_GB2312" w:hAnsi="Times New Roman" w:eastAsia="仿宋_GB2312" w:cs="DengXian-Regular"/>
          <w:sz w:val="32"/>
          <w:szCs w:val="32"/>
          <w:lang w:eastAsia="zh-CN"/>
        </w:rPr>
        <w:t>收入增加了</w:t>
      </w:r>
      <w:r>
        <w:rPr>
          <w:rFonts w:hint="eastAsia" w:ascii="仿宋_GB2312" w:hAnsi="Times New Roman" w:eastAsia="仿宋_GB2312" w:cs="DengXian-Regular"/>
          <w:sz w:val="32"/>
          <w:szCs w:val="32"/>
          <w:lang w:val="en-US" w:eastAsia="zh-CN"/>
        </w:rPr>
        <w:t>2871.82万元，</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支出增加了2931.66万元</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11.9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14:paraId="3676A9A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45FFAFF0">
      <w:pPr>
        <w:keepNext/>
        <w:keepLines/>
        <w:snapToGrid w:val="0"/>
        <w:spacing w:line="580" w:lineRule="exact"/>
        <w:ind w:firstLine="640" w:firstLineChars="200"/>
        <w:outlineLvl w:val="1"/>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6309C24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5199A05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92032" behindDoc="0" locked="0" layoutInCell="1" allowOverlap="1">
            <wp:simplePos x="0" y="0"/>
            <wp:positionH relativeFrom="column">
              <wp:posOffset>1409700</wp:posOffset>
            </wp:positionH>
            <wp:positionV relativeFrom="paragraph">
              <wp:posOffset>1083310</wp:posOffset>
            </wp:positionV>
            <wp:extent cx="3147695" cy="2086610"/>
            <wp:effectExtent l="5080" t="4445" r="9525" b="2349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2091.99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21970.5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91.5</w:t>
      </w:r>
      <w:r>
        <w:rPr>
          <w:rFonts w:hint="eastAsia" w:ascii="仿宋_GB2312" w:hAnsi="Times New Roman" w:eastAsia="仿宋_GB2312" w:cs="DengXian-Regular"/>
          <w:sz w:val="32"/>
          <w:szCs w:val="32"/>
        </w:rPr>
        <w:t>%；。</w:t>
      </w:r>
    </w:p>
    <w:p w14:paraId="1D52A1D4">
      <w:pPr>
        <w:adjustRightInd w:val="0"/>
        <w:snapToGrid w:val="0"/>
        <w:spacing w:line="580" w:lineRule="exact"/>
        <w:ind w:firstLine="640" w:firstLineChars="200"/>
        <w:rPr>
          <w:rFonts w:hint="eastAsia" w:ascii="仿宋_GB2312" w:hAnsi="Times New Roman" w:eastAsia="仿宋_GB2312" w:cs="DengXian-Regular"/>
          <w:sz w:val="32"/>
          <w:szCs w:val="32"/>
        </w:rPr>
      </w:pPr>
    </w:p>
    <w:p w14:paraId="55A8E269">
      <w:pPr>
        <w:adjustRightInd w:val="0"/>
        <w:snapToGrid w:val="0"/>
        <w:spacing w:line="580" w:lineRule="exact"/>
        <w:ind w:firstLine="1920" w:firstLineChars="600"/>
        <w:rPr>
          <w:rFonts w:ascii="仿宋_GB2312" w:hAnsi="Times New Roman" w:eastAsia="仿宋_GB2312" w:cs="DengXian-Regular"/>
          <w:sz w:val="32"/>
          <w:szCs w:val="32"/>
        </w:rPr>
      </w:pPr>
    </w:p>
    <w:p w14:paraId="135117BE">
      <w:pPr>
        <w:adjustRightInd w:val="0"/>
        <w:snapToGrid w:val="0"/>
        <w:spacing w:line="580" w:lineRule="exact"/>
        <w:ind w:firstLine="1920" w:firstLineChars="600"/>
        <w:rPr>
          <w:rFonts w:ascii="仿宋_GB2312" w:hAnsi="Times New Roman" w:eastAsia="仿宋_GB2312" w:cs="DengXian-Regular"/>
          <w:sz w:val="32"/>
          <w:szCs w:val="32"/>
        </w:rPr>
      </w:pPr>
    </w:p>
    <w:p w14:paraId="0D368949">
      <w:pPr>
        <w:adjustRightInd w:val="0"/>
        <w:snapToGrid w:val="0"/>
        <w:spacing w:line="580" w:lineRule="exact"/>
        <w:ind w:firstLine="1920" w:firstLineChars="600"/>
        <w:rPr>
          <w:rFonts w:ascii="仿宋_GB2312" w:hAnsi="Times New Roman" w:eastAsia="仿宋_GB2312" w:cs="DengXian-Regular"/>
          <w:sz w:val="32"/>
          <w:szCs w:val="32"/>
        </w:rPr>
      </w:pPr>
    </w:p>
    <w:p w14:paraId="189DAC6E">
      <w:pPr>
        <w:keepNext/>
        <w:keepLines/>
        <w:snapToGrid w:val="0"/>
        <w:spacing w:line="580" w:lineRule="exact"/>
        <w:ind w:firstLine="643" w:firstLineChars="200"/>
        <w:outlineLvl w:val="1"/>
        <w:rPr>
          <w:rFonts w:ascii="黑体" w:hAnsi="Calibri" w:eastAsia="黑体" w:cs="Times New Roman"/>
          <w:b/>
          <w:bCs/>
          <w:sz w:val="32"/>
          <w:szCs w:val="32"/>
        </w:rPr>
      </w:pPr>
    </w:p>
    <w:p w14:paraId="6E79F621">
      <w:pPr>
        <w:keepNext/>
        <w:keepLines/>
        <w:snapToGrid w:val="0"/>
        <w:spacing w:line="580" w:lineRule="exact"/>
        <w:ind w:firstLine="643" w:firstLineChars="200"/>
        <w:outlineLvl w:val="1"/>
        <w:rPr>
          <w:rFonts w:ascii="黑体" w:hAnsi="Calibri" w:eastAsia="黑体" w:cs="Times New Roman"/>
          <w:b/>
          <w:bCs/>
          <w:sz w:val="32"/>
          <w:szCs w:val="32"/>
        </w:rPr>
      </w:pPr>
    </w:p>
    <w:p w14:paraId="18EBB24D">
      <w:pPr>
        <w:keepNext/>
        <w:keepLines/>
        <w:snapToGrid w:val="0"/>
        <w:spacing w:line="580" w:lineRule="exact"/>
        <w:ind w:firstLine="643" w:firstLineChars="200"/>
        <w:outlineLvl w:val="1"/>
        <w:rPr>
          <w:rFonts w:ascii="黑体" w:hAnsi="Calibri" w:eastAsia="黑体" w:cs="Times New Roman"/>
          <w:b/>
          <w:bCs/>
          <w:sz w:val="32"/>
          <w:szCs w:val="32"/>
        </w:rPr>
      </w:pPr>
    </w:p>
    <w:p w14:paraId="3656C01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63670C4F">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4E2EB35E">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2871.82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11.7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人员增加，日常公用增加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2931.66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11.9</w:t>
      </w:r>
      <w:r>
        <w:rPr>
          <w:rFonts w:hint="eastAsia" w:ascii="仿宋_GB2312" w:hAnsi="Times New Roman" w:eastAsia="仿宋_GB2312" w:cs="DengXian-Regular"/>
          <w:sz w:val="32"/>
          <w:szCs w:val="32"/>
        </w:rPr>
        <w:t>%，主要是</w:t>
      </w:r>
      <w:bookmarkStart w:id="0" w:name="_GoBack"/>
      <w:bookmarkEnd w:id="0"/>
      <w:r>
        <w:rPr>
          <w:rFonts w:hint="eastAsia" w:ascii="仿宋_GB2312" w:hAnsi="Times New Roman" w:eastAsia="仿宋_GB2312" w:cs="DengXian-Regular"/>
          <w:sz w:val="32"/>
          <w:szCs w:val="32"/>
          <w:lang w:eastAsia="zh-CN"/>
        </w:rPr>
        <w:t>人员增加，日常公用支出增加；退休人员增加，养老支出增加</w:t>
      </w:r>
      <w:r>
        <w:rPr>
          <w:rFonts w:hint="eastAsia" w:ascii="仿宋_GB2312" w:hAnsi="Times New Roman" w:eastAsia="仿宋_GB2312" w:cs="DengXian-Regular"/>
          <w:sz w:val="32"/>
          <w:szCs w:val="32"/>
        </w:rPr>
        <w:t>。</w:t>
      </w:r>
    </w:p>
    <w:p w14:paraId="10CE5933">
      <w:pPr>
        <w:adjustRightInd w:val="0"/>
        <w:snapToGrid w:val="0"/>
        <w:spacing w:line="580" w:lineRule="exact"/>
        <w:ind w:firstLine="640" w:firstLineChars="200"/>
        <w:rPr>
          <w:rFonts w:hint="eastAsia" w:ascii="仿宋_GB2312" w:hAnsi="Times New Roman" w:eastAsia="仿宋_GB2312" w:cs="DengXian-Regular"/>
          <w:sz w:val="32"/>
          <w:szCs w:val="32"/>
        </w:rPr>
      </w:pPr>
    </w:p>
    <w:p w14:paraId="3C814703">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93056" behindDoc="0" locked="0" layoutInCell="1" allowOverlap="1">
            <wp:simplePos x="0" y="0"/>
            <wp:positionH relativeFrom="column">
              <wp:posOffset>725170</wp:posOffset>
            </wp:positionH>
            <wp:positionV relativeFrom="paragraph">
              <wp:posOffset>-195580</wp:posOffset>
            </wp:positionV>
            <wp:extent cx="4065905" cy="3020060"/>
            <wp:effectExtent l="4445" t="4445" r="6350" b="23495"/>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49D5A427">
      <w:pPr>
        <w:adjustRightInd w:val="0"/>
        <w:snapToGrid w:val="0"/>
        <w:spacing w:line="580" w:lineRule="exact"/>
        <w:ind w:firstLine="640" w:firstLineChars="200"/>
        <w:rPr>
          <w:rFonts w:hint="eastAsia" w:ascii="仿宋_GB2312" w:hAnsi="Times New Roman" w:eastAsia="仿宋_GB2312" w:cs="DengXian-Regular"/>
          <w:sz w:val="32"/>
          <w:szCs w:val="32"/>
        </w:rPr>
      </w:pPr>
    </w:p>
    <w:p w14:paraId="61E86645">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665EAFF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61</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15560.22</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区财政局减少了部分预算数</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61</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15560.22</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减少开支，厉行节约</w:t>
      </w:r>
      <w:r>
        <w:rPr>
          <w:rFonts w:hint="eastAsia" w:ascii="仿宋_GB2312" w:hAnsi="Times New Roman" w:eastAsia="仿宋_GB2312" w:cs="DengXian-Regular"/>
          <w:sz w:val="32"/>
          <w:szCs w:val="32"/>
        </w:rPr>
        <w:t>。</w:t>
      </w:r>
    </w:p>
    <w:p w14:paraId="298510FC">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780415</wp:posOffset>
            </wp:positionH>
            <wp:positionV relativeFrom="paragraph">
              <wp:posOffset>977265</wp:posOffset>
            </wp:positionV>
            <wp:extent cx="3642360" cy="2926715"/>
            <wp:effectExtent l="4445" t="4445" r="10795" b="2159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206BD9A4">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3FB45117">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83BFEC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41271B8">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53FE3A5">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26EB3E0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3257F290">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7940A63">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30D62C5C">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1B80F56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24536.95</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736.04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7252.69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29.55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文化旅游体育与传媒支出</w:t>
      </w:r>
      <w:r>
        <w:rPr>
          <w:rFonts w:hint="eastAsia" w:ascii="仿宋_GB2312" w:hAnsi="Times New Roman" w:eastAsia="仿宋_GB2312" w:cs="DengXian-Regular"/>
          <w:sz w:val="32"/>
          <w:szCs w:val="32"/>
          <w:lang w:val="en-US" w:eastAsia="zh-CN"/>
        </w:rPr>
        <w:t>217万元，占0.8%；</w:t>
      </w:r>
      <w:r>
        <w:rPr>
          <w:rFonts w:hint="eastAsia" w:ascii="仿宋_GB2312" w:hAnsi="Times New Roman" w:eastAsia="仿宋_GB2312" w:cs="DengXian-Regular"/>
          <w:sz w:val="32"/>
          <w:szCs w:val="32"/>
          <w:lang w:eastAsia="zh-CN"/>
        </w:rPr>
        <w:t>社会保障和就业</w:t>
      </w:r>
      <w:r>
        <w:rPr>
          <w:rFonts w:hint="eastAsia" w:ascii="仿宋_GB2312" w:hAnsi="Times New Roman" w:eastAsia="仿宋_GB2312" w:cs="DengXian-Regular"/>
          <w:sz w:val="32"/>
          <w:szCs w:val="32"/>
        </w:rPr>
        <w:t xml:space="preserve">支出15,690.19万元，占 </w:t>
      </w:r>
      <w:r>
        <w:rPr>
          <w:rFonts w:hint="eastAsia" w:ascii="仿宋_GB2312" w:hAnsi="Times New Roman" w:eastAsia="仿宋_GB2312" w:cs="DengXian-Regular"/>
          <w:sz w:val="32"/>
          <w:szCs w:val="32"/>
          <w:lang w:val="en-US" w:eastAsia="zh-CN"/>
        </w:rPr>
        <w:t>63.95</w:t>
      </w:r>
      <w:r>
        <w:rPr>
          <w:rFonts w:hint="eastAsia" w:ascii="仿宋_GB2312" w:hAnsi="Times New Roman" w:eastAsia="仿宋_GB2312" w:cs="DengXian-Regular"/>
          <w:sz w:val="32"/>
          <w:szCs w:val="32"/>
        </w:rPr>
        <w:t>%；</w:t>
      </w:r>
      <w:r>
        <w:rPr>
          <w:rFonts w:hint="eastAsia" w:ascii="楷体_GB2312" w:hAnsi="Times New Roman" w:eastAsia="楷体_GB2312" w:cs="DengXian-Bold"/>
          <w:b/>
          <w:bCs/>
          <w:sz w:val="32"/>
          <w:szCs w:val="32"/>
          <w:lang w:eastAsia="zh-CN"/>
        </w:rPr>
        <w:drawing>
          <wp:anchor distT="0" distB="0" distL="114300" distR="114300" simplePos="0" relativeHeight="251695104" behindDoc="0" locked="0" layoutInCell="1" allowOverlap="1">
            <wp:simplePos x="0" y="0"/>
            <wp:positionH relativeFrom="column">
              <wp:posOffset>1123315</wp:posOffset>
            </wp:positionH>
            <wp:positionV relativeFrom="paragraph">
              <wp:posOffset>494665</wp:posOffset>
            </wp:positionV>
            <wp:extent cx="3909060" cy="4902200"/>
            <wp:effectExtent l="4445" t="4445" r="10795" b="8255"/>
            <wp:wrapSquare wrapText="bothSides"/>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农林水支出</w:t>
      </w:r>
      <w:r>
        <w:rPr>
          <w:rFonts w:hint="eastAsia" w:ascii="仿宋_GB2312" w:hAnsi="Times New Roman" w:eastAsia="仿宋_GB2312" w:cs="DengXian-Regular"/>
          <w:sz w:val="32"/>
          <w:szCs w:val="32"/>
          <w:lang w:val="en-US" w:eastAsia="zh-CN"/>
        </w:rPr>
        <w:t>59.57万元，占0.24%</w:t>
      </w:r>
      <w:r>
        <w:rPr>
          <w:rFonts w:hint="eastAsia" w:ascii="仿宋_GB2312" w:hAnsi="Times New Roman" w:eastAsia="仿宋_GB2312" w:cs="DengXian-Regular"/>
          <w:sz w:val="32"/>
          <w:szCs w:val="32"/>
        </w:rPr>
        <w:t>。</w:t>
      </w:r>
    </w:p>
    <w:p w14:paraId="03674743">
      <w:pPr>
        <w:adjustRightInd w:val="0"/>
        <w:snapToGrid w:val="0"/>
        <w:spacing w:line="580" w:lineRule="exact"/>
        <w:ind w:firstLine="640" w:firstLineChars="200"/>
        <w:rPr>
          <w:rFonts w:hint="eastAsia" w:ascii="仿宋_GB2312" w:hAnsi="Times New Roman" w:eastAsia="仿宋_GB2312" w:cs="DengXian-Regular"/>
          <w:sz w:val="32"/>
          <w:szCs w:val="32"/>
        </w:rPr>
      </w:pPr>
    </w:p>
    <w:p w14:paraId="1862D62C">
      <w:pPr>
        <w:adjustRightInd w:val="0"/>
        <w:snapToGrid w:val="0"/>
        <w:spacing w:line="580" w:lineRule="exact"/>
        <w:ind w:firstLine="640" w:firstLineChars="200"/>
        <w:rPr>
          <w:rFonts w:hint="eastAsia" w:ascii="仿宋_GB2312" w:hAnsi="Times New Roman" w:eastAsia="仿宋_GB2312" w:cs="DengXian-Regular"/>
          <w:sz w:val="32"/>
          <w:szCs w:val="32"/>
        </w:rPr>
      </w:pPr>
    </w:p>
    <w:p w14:paraId="3154787D">
      <w:pPr>
        <w:adjustRightInd w:val="0"/>
        <w:snapToGrid w:val="0"/>
        <w:spacing w:line="580" w:lineRule="exact"/>
        <w:ind w:firstLine="640" w:firstLineChars="200"/>
        <w:rPr>
          <w:rFonts w:hint="eastAsia" w:ascii="仿宋_GB2312" w:hAnsi="Times New Roman" w:eastAsia="仿宋_GB2312" w:cs="DengXian-Regular"/>
          <w:sz w:val="32"/>
          <w:szCs w:val="32"/>
        </w:rPr>
      </w:pPr>
    </w:p>
    <w:p w14:paraId="75FA11DF">
      <w:pPr>
        <w:adjustRightInd w:val="0"/>
        <w:snapToGrid w:val="0"/>
        <w:spacing w:line="580" w:lineRule="exact"/>
        <w:ind w:firstLine="640" w:firstLineChars="200"/>
        <w:rPr>
          <w:rFonts w:hint="eastAsia" w:ascii="仿宋_GB2312" w:hAnsi="Times New Roman" w:eastAsia="仿宋_GB2312" w:cs="DengXian-Regular"/>
          <w:sz w:val="32"/>
          <w:szCs w:val="32"/>
        </w:rPr>
      </w:pPr>
    </w:p>
    <w:p w14:paraId="00422B17">
      <w:pPr>
        <w:adjustRightInd w:val="0"/>
        <w:snapToGrid w:val="0"/>
        <w:spacing w:line="580" w:lineRule="exact"/>
        <w:ind w:firstLine="640" w:firstLineChars="200"/>
        <w:rPr>
          <w:rFonts w:hint="eastAsia" w:ascii="仿宋_GB2312" w:hAnsi="Times New Roman" w:eastAsia="仿宋_GB2312" w:cs="DengXian-Regular"/>
          <w:sz w:val="32"/>
          <w:szCs w:val="32"/>
        </w:rPr>
      </w:pPr>
    </w:p>
    <w:p w14:paraId="3EEBFED2">
      <w:pPr>
        <w:adjustRightInd w:val="0"/>
        <w:snapToGrid w:val="0"/>
        <w:spacing w:line="580" w:lineRule="exact"/>
        <w:ind w:firstLine="640" w:firstLineChars="200"/>
        <w:rPr>
          <w:rFonts w:hint="eastAsia" w:ascii="仿宋_GB2312" w:hAnsi="Times New Roman" w:eastAsia="仿宋_GB2312" w:cs="DengXian-Regular"/>
          <w:sz w:val="32"/>
          <w:szCs w:val="32"/>
        </w:rPr>
      </w:pPr>
    </w:p>
    <w:p w14:paraId="6B684E23">
      <w:pPr>
        <w:adjustRightInd w:val="0"/>
        <w:snapToGrid w:val="0"/>
        <w:spacing w:line="580" w:lineRule="exact"/>
        <w:ind w:firstLine="640" w:firstLineChars="200"/>
        <w:rPr>
          <w:rFonts w:hint="eastAsia" w:ascii="仿宋_GB2312" w:hAnsi="Times New Roman" w:eastAsia="仿宋_GB2312" w:cs="DengXian-Regular"/>
          <w:sz w:val="32"/>
          <w:szCs w:val="32"/>
        </w:rPr>
      </w:pPr>
    </w:p>
    <w:p w14:paraId="23CBD43C">
      <w:pPr>
        <w:adjustRightInd w:val="0"/>
        <w:snapToGrid w:val="0"/>
        <w:spacing w:line="580" w:lineRule="exact"/>
        <w:ind w:firstLine="640" w:firstLineChars="200"/>
        <w:rPr>
          <w:rFonts w:hint="eastAsia" w:ascii="仿宋_GB2312" w:hAnsi="Times New Roman" w:eastAsia="仿宋_GB2312" w:cs="DengXian-Regular"/>
          <w:sz w:val="32"/>
          <w:szCs w:val="32"/>
        </w:rPr>
      </w:pPr>
    </w:p>
    <w:p w14:paraId="78F8E57D">
      <w:pPr>
        <w:adjustRightInd w:val="0"/>
        <w:snapToGrid w:val="0"/>
        <w:spacing w:line="580" w:lineRule="exact"/>
        <w:ind w:left="420" w:leftChars="200"/>
        <w:rPr>
          <w:rFonts w:hint="eastAsia" w:ascii="楷体_GB2312" w:hAnsi="Times New Roman" w:eastAsia="楷体_GB2312" w:cs="DengXian-Bold"/>
          <w:b/>
          <w:bCs/>
          <w:sz w:val="32"/>
          <w:szCs w:val="32"/>
        </w:rPr>
      </w:pPr>
    </w:p>
    <w:p w14:paraId="3106E1B5">
      <w:pPr>
        <w:adjustRightInd w:val="0"/>
        <w:snapToGrid w:val="0"/>
        <w:spacing w:line="580" w:lineRule="exact"/>
        <w:ind w:left="420" w:leftChars="200"/>
        <w:rPr>
          <w:rFonts w:hint="eastAsia" w:ascii="楷体_GB2312" w:hAnsi="Times New Roman" w:eastAsia="楷体_GB2312" w:cs="DengXian-Bold"/>
          <w:b/>
          <w:bCs/>
          <w:sz w:val="32"/>
          <w:szCs w:val="32"/>
        </w:rPr>
      </w:pPr>
    </w:p>
    <w:p w14:paraId="7064C060">
      <w:pPr>
        <w:adjustRightInd w:val="0"/>
        <w:snapToGrid w:val="0"/>
        <w:spacing w:line="580" w:lineRule="exact"/>
        <w:ind w:left="420" w:leftChars="200"/>
        <w:rPr>
          <w:rFonts w:hint="eastAsia" w:ascii="楷体_GB2312" w:hAnsi="Times New Roman" w:eastAsia="楷体_GB2312" w:cs="DengXian-Bold"/>
          <w:b/>
          <w:bCs/>
          <w:sz w:val="32"/>
          <w:szCs w:val="32"/>
        </w:rPr>
      </w:pPr>
    </w:p>
    <w:p w14:paraId="4DEDDD9B">
      <w:pPr>
        <w:adjustRightInd w:val="0"/>
        <w:snapToGrid w:val="0"/>
        <w:spacing w:line="580" w:lineRule="exact"/>
        <w:ind w:left="420" w:leftChars="200"/>
        <w:rPr>
          <w:rFonts w:hint="eastAsia" w:ascii="楷体_GB2312" w:hAnsi="Times New Roman" w:eastAsia="楷体_GB2312" w:cs="DengXian-Bold"/>
          <w:b/>
          <w:bCs/>
          <w:sz w:val="32"/>
          <w:szCs w:val="32"/>
        </w:rPr>
      </w:pPr>
    </w:p>
    <w:p w14:paraId="2F2761DE">
      <w:pPr>
        <w:adjustRightInd w:val="0"/>
        <w:snapToGrid w:val="0"/>
        <w:spacing w:line="580" w:lineRule="exact"/>
        <w:ind w:left="420" w:leftChars="200"/>
        <w:rPr>
          <w:rFonts w:hint="eastAsia" w:ascii="楷体_GB2312" w:hAnsi="Times New Roman" w:eastAsia="楷体_GB2312" w:cs="DengXian-Bold"/>
          <w:b/>
          <w:bCs/>
          <w:sz w:val="32"/>
          <w:szCs w:val="32"/>
        </w:rPr>
      </w:pPr>
    </w:p>
    <w:p w14:paraId="31DB0142">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654B432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2091.99</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1963.39</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128.6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432689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6B32FAF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2.31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52.5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2.09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47.5</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从严控制“三公”经费开支，全年实际支出比预算有所节约。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4.77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公车减少，厉行节俭，控制成本</w:t>
      </w:r>
      <w:r>
        <w:rPr>
          <w:rFonts w:hint="eastAsia" w:ascii="仿宋_GB2312" w:hAnsi="Times New Roman" w:eastAsia="仿宋_GB2312" w:cs="DengXian-Regular"/>
          <w:sz w:val="32"/>
          <w:szCs w:val="32"/>
        </w:rPr>
        <w:t>。具体情况如下：</w:t>
      </w:r>
    </w:p>
    <w:p w14:paraId="43B3F018">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因公出国（境）团组；较上年增加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因公出国（境）团组</w:t>
      </w:r>
      <w:r>
        <w:rPr>
          <w:rFonts w:hint="eastAsia" w:ascii="仿宋_GB2312" w:hAnsi="Times New Roman" w:eastAsia="仿宋_GB2312" w:cs="DengXian-Regular"/>
          <w:sz w:val="32"/>
          <w:szCs w:val="32"/>
          <w:lang w:val="en-US" w:eastAsia="zh-CN"/>
        </w:rPr>
        <w:t>经费支出</w:t>
      </w:r>
      <w:r>
        <w:rPr>
          <w:rFonts w:hint="eastAsia" w:ascii="仿宋_GB2312" w:hAnsi="Times New Roman" w:eastAsia="仿宋_GB2312" w:cs="DengXian-Regular"/>
          <w:sz w:val="32"/>
          <w:szCs w:val="32"/>
        </w:rPr>
        <w:t>。</w:t>
      </w:r>
    </w:p>
    <w:p w14:paraId="72B641DF">
      <w:pPr>
        <w:adjustRightInd w:val="0"/>
        <w:snapToGrid w:val="0"/>
        <w:spacing w:line="580" w:lineRule="exact"/>
        <w:ind w:firstLine="640" w:firstLineChars="200"/>
        <w:rPr>
          <w:rFonts w:ascii="仿宋_GB2312" w:hAnsi="Times New Roman" w:eastAsia="仿宋_GB2312" w:cs="DengXian-Regular"/>
          <w:sz w:val="32"/>
          <w:szCs w:val="32"/>
        </w:rPr>
      </w:pPr>
    </w:p>
    <w:p w14:paraId="0FF54AEF">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2.31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2.09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公车减少，厉行节俭，控制成本</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4.77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公车减少，厉行节俭，控制成本</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770F9CBB">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未发生公务用车购置</w:t>
      </w:r>
      <w:r>
        <w:rPr>
          <w:rFonts w:hint="eastAsia" w:ascii="仿宋_GB2312" w:hAnsi="Times New Roman" w:eastAsia="仿宋_GB2312" w:cs="DengXian-Regular"/>
          <w:sz w:val="32"/>
          <w:szCs w:val="32"/>
          <w:lang w:val="en-US" w:eastAsia="zh-CN"/>
        </w:rPr>
        <w:t>经费支出</w:t>
      </w:r>
      <w:r>
        <w:rPr>
          <w:rFonts w:hint="eastAsia" w:ascii="仿宋_GB2312" w:hAnsi="Times New Roman" w:eastAsia="仿宋_GB2312" w:cs="DengXian-Regular"/>
          <w:sz w:val="32"/>
          <w:szCs w:val="32"/>
        </w:rPr>
        <w:t>。</w:t>
      </w:r>
    </w:p>
    <w:p w14:paraId="3B34A8B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2.09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公车减少</w:t>
      </w:r>
      <w:r>
        <w:rPr>
          <w:rFonts w:hint="eastAsia" w:ascii="仿宋_GB2312" w:hAnsi="Times New Roman" w:eastAsia="仿宋_GB2312" w:cs="DengXian-Regular"/>
          <w:sz w:val="32"/>
          <w:szCs w:val="32"/>
          <w:lang w:val="en-US" w:eastAsia="zh-CN"/>
        </w:rPr>
        <w:t>4辆</w:t>
      </w:r>
      <w:r>
        <w:rPr>
          <w:rFonts w:hint="eastAsia" w:ascii="仿宋_GB2312" w:hAnsi="Times New Roman" w:eastAsia="仿宋_GB2312" w:cs="DengXian-Regular"/>
          <w:sz w:val="32"/>
          <w:szCs w:val="32"/>
          <w:lang w:eastAsia="zh-CN"/>
        </w:rPr>
        <w:t>，支出减少</w:t>
      </w:r>
      <w:r>
        <w:rPr>
          <w:rFonts w:hint="eastAsia" w:ascii="仿宋_GB2312" w:hAnsi="Times New Roman" w:eastAsia="仿宋_GB2312" w:cs="DengXian-Regular"/>
          <w:sz w:val="32"/>
          <w:szCs w:val="32"/>
          <w:lang w:val="en-US" w:eastAsia="zh-CN"/>
        </w:rPr>
        <w:t>4.77万元</w:t>
      </w:r>
      <w:r>
        <w:rPr>
          <w:rFonts w:hint="eastAsia" w:ascii="仿宋_GB2312" w:hAnsi="Times New Roman" w:eastAsia="仿宋_GB2312" w:cs="DengXian-Regular"/>
          <w:sz w:val="32"/>
          <w:szCs w:val="32"/>
        </w:rPr>
        <w:t>。</w:t>
      </w:r>
    </w:p>
    <w:p w14:paraId="228AF46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公务接待</w:t>
      </w:r>
      <w:r>
        <w:rPr>
          <w:rFonts w:hint="eastAsia" w:ascii="仿宋_GB2312" w:hAnsi="Times New Roman" w:eastAsia="仿宋_GB2312" w:cs="DengXian-Regular"/>
          <w:sz w:val="32"/>
          <w:szCs w:val="32"/>
          <w:lang w:val="en-US" w:eastAsia="zh-CN"/>
        </w:rPr>
        <w:t>费用支出</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公务接待</w:t>
      </w:r>
      <w:r>
        <w:rPr>
          <w:rFonts w:hint="eastAsia" w:ascii="仿宋_GB2312" w:hAnsi="Times New Roman" w:eastAsia="仿宋_GB2312" w:cs="DengXian-Regular"/>
          <w:sz w:val="32"/>
          <w:szCs w:val="32"/>
          <w:lang w:val="en-US" w:eastAsia="zh-CN"/>
        </w:rPr>
        <w:t>费用支出</w:t>
      </w:r>
      <w:r>
        <w:rPr>
          <w:rFonts w:hint="eastAsia" w:ascii="仿宋_GB2312" w:hAnsi="Times New Roman" w:eastAsia="仿宋_GB2312" w:cs="DengXian-Regular"/>
          <w:sz w:val="32"/>
          <w:szCs w:val="32"/>
        </w:rPr>
        <w:t>。</w:t>
      </w:r>
    </w:p>
    <w:p w14:paraId="70217301">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A00E451">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66C05B98">
      <w:pPr>
        <w:adjustRightInd w:val="0"/>
        <w:snapToGrid w:val="0"/>
        <w:spacing w:line="580" w:lineRule="exact"/>
        <w:ind w:left="420" w:leftChars="200" w:firstLine="320" w:firstLineChars="100"/>
        <w:rPr>
          <w:rFonts w:hint="eastAsia" w:ascii="仿宋_GB2312" w:eastAsia="仿宋_GB2312"/>
          <w:sz w:val="32"/>
          <w:szCs w:val="32"/>
          <w:lang w:eastAsia="zh-CN"/>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val="en-US" w:eastAsia="zh-CN"/>
        </w:rPr>
        <w:t>困难补助</w:t>
      </w:r>
      <w:r>
        <w:rPr>
          <w:rFonts w:hint="eastAsia" w:ascii="仿宋_GB2312" w:eastAsia="仿宋_GB2312"/>
          <w:sz w:val="32"/>
          <w:szCs w:val="32"/>
        </w:rPr>
        <w:t>项目实施了绩效评价，</w:t>
      </w:r>
      <w:r>
        <w:rPr>
          <w:rFonts w:hint="eastAsia" w:ascii="仿宋_GB2312" w:eastAsia="仿宋_GB2312"/>
          <w:sz w:val="32"/>
          <w:szCs w:val="32"/>
          <w:lang w:eastAsia="zh-CN"/>
        </w:rPr>
        <w:t>从评价结果来看，为优秀。</w:t>
      </w:r>
    </w:p>
    <w:p w14:paraId="7CA0BB90">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4E6996CD">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困难补助</w:t>
      </w:r>
      <w:r>
        <w:rPr>
          <w:rFonts w:hint="eastAsia" w:ascii="仿宋_GB2312" w:hAnsi="仿宋_GB2312" w:eastAsia="仿宋_GB2312" w:cs="仿宋_GB2312"/>
          <w:sz w:val="32"/>
          <w:szCs w:val="32"/>
        </w:rPr>
        <w:t>项目绩效自评结果。</w:t>
      </w:r>
    </w:p>
    <w:p w14:paraId="60B70B9E">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困难补助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困难补助</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w:t>
      </w:r>
    </w:p>
    <w:p w14:paraId="07CF5DAE">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预算数为</w:t>
      </w:r>
      <w:r>
        <w:rPr>
          <w:rFonts w:hint="eastAsia" w:ascii="仿宋_GB2312" w:hAnsi="仿宋_GB2312" w:eastAsia="仿宋_GB2312" w:cs="仿宋_GB2312"/>
          <w:sz w:val="32"/>
          <w:szCs w:val="32"/>
          <w:lang w:val="en-US" w:eastAsia="zh-CN"/>
        </w:rPr>
        <w:t>110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针对各单位申报的困难职工，将资金拨付到各单位，由各单位负责发放</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尽可能扩大受益困难人群</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eastAsia="zh-CN"/>
        </w:rPr>
        <w:t>部分单位发放流程缓慢</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部分单位申报不及时</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提前安排布置，强调工作进度</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加强督导，督促各单位及时发放到个人</w:t>
      </w:r>
      <w:r>
        <w:rPr>
          <w:rFonts w:hint="eastAsia" w:ascii="仿宋_GB2312" w:hAnsi="仿宋_GB2312" w:eastAsia="仿宋_GB2312" w:cs="仿宋_GB2312"/>
          <w:sz w:val="32"/>
          <w:szCs w:val="32"/>
        </w:rPr>
        <w:t>。</w:t>
      </w:r>
    </w:p>
    <w:p w14:paraId="2F471410">
      <w:pPr>
        <w:numPr>
          <w:ilvl w:val="0"/>
          <w:numId w:val="3"/>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财政评价</w:t>
      </w:r>
      <w:r>
        <w:rPr>
          <w:rFonts w:hint="eastAsia" w:ascii="仿宋_GB2312" w:hAnsi="仿宋_GB2312" w:eastAsia="仿宋_GB2312" w:cs="仿宋_GB2312"/>
          <w:b/>
          <w:bCs/>
          <w:sz w:val="32"/>
          <w:szCs w:val="32"/>
        </w:rPr>
        <w:t>项目绩效评</w:t>
      </w:r>
      <w:r>
        <w:rPr>
          <w:rFonts w:hint="eastAsia" w:ascii="仿宋_GB2312" w:hAnsi="仿宋_GB2312" w:eastAsia="仿宋_GB2312" w:cs="仿宋_GB2312"/>
          <w:b/>
          <w:bCs/>
          <w:sz w:val="32"/>
          <w:szCs w:val="32"/>
          <w:lang w:eastAsia="zh-CN"/>
        </w:rPr>
        <w:t>价</w:t>
      </w:r>
      <w:r>
        <w:rPr>
          <w:rFonts w:hint="eastAsia" w:ascii="仿宋_GB2312" w:hAnsi="仿宋_GB2312" w:eastAsia="仿宋_GB2312" w:cs="仿宋_GB2312"/>
          <w:b/>
          <w:bCs/>
          <w:sz w:val="32"/>
          <w:szCs w:val="32"/>
        </w:rPr>
        <w:t>结果。</w:t>
      </w:r>
    </w:p>
    <w:p w14:paraId="3186A882">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w:t>
      </w:r>
    </w:p>
    <w:p w14:paraId="0FE2AB8E">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W w:w="9260" w:type="dxa"/>
        <w:tblInd w:w="93" w:type="dxa"/>
        <w:tblLayout w:type="fixed"/>
        <w:tblCellMar>
          <w:top w:w="0" w:type="dxa"/>
          <w:left w:w="108" w:type="dxa"/>
          <w:bottom w:w="0" w:type="dxa"/>
          <w:right w:w="108" w:type="dxa"/>
        </w:tblCellMar>
      </w:tblPr>
      <w:tblGrid>
        <w:gridCol w:w="1297"/>
        <w:gridCol w:w="1210"/>
        <w:gridCol w:w="812"/>
        <w:gridCol w:w="1306"/>
        <w:gridCol w:w="1047"/>
        <w:gridCol w:w="1282"/>
        <w:gridCol w:w="1039"/>
        <w:gridCol w:w="1267"/>
      </w:tblGrid>
      <w:tr w14:paraId="054BED1E">
        <w:tblPrEx>
          <w:tblCellMar>
            <w:top w:w="0" w:type="dxa"/>
            <w:left w:w="108" w:type="dxa"/>
            <w:bottom w:w="0" w:type="dxa"/>
            <w:right w:w="108" w:type="dxa"/>
          </w:tblCellMar>
        </w:tblPrEx>
        <w:trPr>
          <w:trHeight w:val="312" w:hRule="atLeast"/>
        </w:trPr>
        <w:tc>
          <w:tcPr>
            <w:tcW w:w="9260" w:type="dxa"/>
            <w:gridSpan w:val="8"/>
            <w:vMerge w:val="restart"/>
            <w:tcBorders>
              <w:top w:val="nil"/>
              <w:left w:val="nil"/>
              <w:bottom w:val="nil"/>
              <w:right w:val="nil"/>
            </w:tcBorders>
            <w:noWrap/>
            <w:vAlign w:val="center"/>
          </w:tcPr>
          <w:p w14:paraId="1462ECE9">
            <w:pPr>
              <w:jc w:val="center"/>
              <w:rPr>
                <w:rFonts w:ascii="宋体" w:cs="宋体"/>
                <w:b/>
                <w:bCs/>
                <w:color w:val="000000"/>
                <w:sz w:val="36"/>
                <w:szCs w:val="36"/>
              </w:rPr>
            </w:pPr>
            <w:r>
              <w:rPr>
                <w:rFonts w:hint="eastAsia" w:ascii="宋体" w:hAnsi="宋体" w:cs="宋体"/>
                <w:b/>
                <w:bCs/>
                <w:color w:val="000000"/>
                <w:sz w:val="36"/>
                <w:szCs w:val="36"/>
              </w:rPr>
              <w:t>区级部门预算项目绩效自评表</w:t>
            </w:r>
          </w:p>
        </w:tc>
      </w:tr>
      <w:tr w14:paraId="4AD333C9">
        <w:tblPrEx>
          <w:tblCellMar>
            <w:top w:w="0" w:type="dxa"/>
            <w:left w:w="108" w:type="dxa"/>
            <w:bottom w:w="0" w:type="dxa"/>
            <w:right w:w="108" w:type="dxa"/>
          </w:tblCellMar>
        </w:tblPrEx>
        <w:trPr>
          <w:trHeight w:val="312" w:hRule="atLeast"/>
        </w:trPr>
        <w:tc>
          <w:tcPr>
            <w:tcW w:w="9260" w:type="dxa"/>
            <w:gridSpan w:val="8"/>
            <w:vMerge w:val="continue"/>
            <w:tcBorders>
              <w:top w:val="nil"/>
              <w:left w:val="nil"/>
              <w:bottom w:val="nil"/>
              <w:right w:val="nil"/>
            </w:tcBorders>
            <w:vAlign w:val="center"/>
          </w:tcPr>
          <w:p w14:paraId="1525C33D">
            <w:pPr>
              <w:rPr>
                <w:rFonts w:ascii="宋体" w:cs="宋体"/>
                <w:b/>
                <w:bCs/>
                <w:color w:val="000000"/>
                <w:sz w:val="36"/>
                <w:szCs w:val="36"/>
              </w:rPr>
            </w:pPr>
          </w:p>
        </w:tc>
      </w:tr>
      <w:tr w14:paraId="3D99A1B0">
        <w:tblPrEx>
          <w:tblCellMar>
            <w:top w:w="0" w:type="dxa"/>
            <w:left w:w="108" w:type="dxa"/>
            <w:bottom w:w="0" w:type="dxa"/>
            <w:right w:w="108" w:type="dxa"/>
          </w:tblCellMar>
        </w:tblPrEx>
        <w:trPr>
          <w:trHeight w:val="111" w:hRule="atLeast"/>
        </w:trPr>
        <w:tc>
          <w:tcPr>
            <w:tcW w:w="9260" w:type="dxa"/>
            <w:gridSpan w:val="8"/>
            <w:tcBorders>
              <w:top w:val="nil"/>
              <w:left w:val="nil"/>
              <w:bottom w:val="nil"/>
              <w:right w:val="nil"/>
            </w:tcBorders>
            <w:noWrap/>
            <w:vAlign w:val="center"/>
          </w:tcPr>
          <w:p w14:paraId="42D5CC70">
            <w:pPr>
              <w:jc w:val="center"/>
              <w:rPr>
                <w:rFonts w:ascii="宋体" w:cs="宋体"/>
                <w:color w:val="000000"/>
                <w:sz w:val="22"/>
              </w:rPr>
            </w:pPr>
            <w:r>
              <w:rPr>
                <w:rFonts w:hint="eastAsia" w:ascii="宋体" w:hAnsi="宋体" w:cs="宋体"/>
                <w:color w:val="000000"/>
                <w:sz w:val="22"/>
              </w:rPr>
              <w:t>（</w:t>
            </w:r>
            <w:r>
              <w:rPr>
                <w:rFonts w:ascii="Times New Roman" w:hAnsi="Times New Roman"/>
                <w:color w:val="000000"/>
                <w:sz w:val="22"/>
              </w:rPr>
              <w:t xml:space="preserve">  2019 </w:t>
            </w:r>
            <w:r>
              <w:rPr>
                <w:rFonts w:hint="eastAsia" w:ascii="宋体" w:hAnsi="宋体" w:cs="宋体"/>
                <w:color w:val="000000"/>
                <w:sz w:val="22"/>
              </w:rPr>
              <w:t>年度）</w:t>
            </w:r>
          </w:p>
        </w:tc>
      </w:tr>
      <w:tr w14:paraId="300CA062">
        <w:tblPrEx>
          <w:tblCellMar>
            <w:top w:w="0" w:type="dxa"/>
            <w:left w:w="108" w:type="dxa"/>
            <w:bottom w:w="0" w:type="dxa"/>
            <w:right w:w="108" w:type="dxa"/>
          </w:tblCellMar>
        </w:tblPrEx>
        <w:trPr>
          <w:trHeight w:val="111" w:hRule="atLeast"/>
        </w:trPr>
        <w:tc>
          <w:tcPr>
            <w:tcW w:w="1297" w:type="dxa"/>
            <w:tcBorders>
              <w:top w:val="nil"/>
              <w:left w:val="nil"/>
              <w:bottom w:val="nil"/>
              <w:right w:val="nil"/>
            </w:tcBorders>
            <w:noWrap/>
            <w:vAlign w:val="center"/>
          </w:tcPr>
          <w:p w14:paraId="0A1E6069">
            <w:pPr>
              <w:rPr>
                <w:rFonts w:ascii="宋体" w:cs="宋体"/>
                <w:color w:val="000000"/>
                <w:sz w:val="22"/>
              </w:rPr>
            </w:pPr>
            <w:r>
              <w:rPr>
                <w:rFonts w:hint="eastAsia" w:ascii="宋体" w:hAnsi="宋体" w:cs="宋体"/>
                <w:color w:val="000000"/>
                <w:sz w:val="22"/>
              </w:rPr>
              <w:t>填报单位：</w:t>
            </w:r>
          </w:p>
        </w:tc>
        <w:tc>
          <w:tcPr>
            <w:tcW w:w="2022" w:type="dxa"/>
            <w:gridSpan w:val="2"/>
            <w:tcBorders>
              <w:top w:val="nil"/>
              <w:left w:val="nil"/>
              <w:bottom w:val="nil"/>
              <w:right w:val="nil"/>
            </w:tcBorders>
            <w:noWrap/>
            <w:vAlign w:val="center"/>
          </w:tcPr>
          <w:p w14:paraId="6A9AB5DE">
            <w:pPr>
              <w:rPr>
                <w:rFonts w:hint="default" w:ascii="宋体" w:eastAsia="宋体" w:cs="宋体"/>
                <w:color w:val="000000"/>
                <w:sz w:val="22"/>
                <w:lang w:val="en-US" w:eastAsia="zh-CN"/>
              </w:rPr>
            </w:pPr>
            <w:r>
              <w:rPr>
                <w:rFonts w:hint="eastAsia" w:ascii="宋体" w:cs="宋体"/>
                <w:color w:val="000000"/>
                <w:sz w:val="22"/>
                <w:lang w:val="en-US" w:eastAsia="zh-CN"/>
              </w:rPr>
              <w:t>区人社局</w:t>
            </w:r>
          </w:p>
        </w:tc>
        <w:tc>
          <w:tcPr>
            <w:tcW w:w="1306" w:type="dxa"/>
            <w:tcBorders>
              <w:top w:val="nil"/>
              <w:left w:val="nil"/>
              <w:bottom w:val="nil"/>
              <w:right w:val="nil"/>
            </w:tcBorders>
            <w:noWrap/>
            <w:vAlign w:val="center"/>
          </w:tcPr>
          <w:p w14:paraId="7DFF4F47">
            <w:pPr>
              <w:rPr>
                <w:rFonts w:ascii="宋体" w:cs="宋体"/>
                <w:color w:val="000000"/>
                <w:sz w:val="22"/>
              </w:rPr>
            </w:pPr>
          </w:p>
        </w:tc>
        <w:tc>
          <w:tcPr>
            <w:tcW w:w="1047" w:type="dxa"/>
            <w:tcBorders>
              <w:top w:val="nil"/>
              <w:left w:val="nil"/>
              <w:bottom w:val="nil"/>
              <w:right w:val="nil"/>
            </w:tcBorders>
            <w:noWrap/>
            <w:vAlign w:val="center"/>
          </w:tcPr>
          <w:p w14:paraId="7B3502B5">
            <w:pPr>
              <w:rPr>
                <w:rFonts w:ascii="宋体" w:cs="宋体"/>
                <w:color w:val="000000"/>
                <w:sz w:val="22"/>
              </w:rPr>
            </w:pPr>
          </w:p>
        </w:tc>
        <w:tc>
          <w:tcPr>
            <w:tcW w:w="1282" w:type="dxa"/>
            <w:tcBorders>
              <w:top w:val="nil"/>
              <w:left w:val="nil"/>
              <w:bottom w:val="nil"/>
              <w:right w:val="nil"/>
            </w:tcBorders>
            <w:noWrap/>
            <w:vAlign w:val="center"/>
          </w:tcPr>
          <w:p w14:paraId="7A7033DB">
            <w:pPr>
              <w:rPr>
                <w:rFonts w:ascii="宋体" w:cs="宋体"/>
                <w:color w:val="000000"/>
                <w:sz w:val="22"/>
              </w:rPr>
            </w:pPr>
          </w:p>
        </w:tc>
        <w:tc>
          <w:tcPr>
            <w:tcW w:w="2306" w:type="dxa"/>
            <w:gridSpan w:val="2"/>
            <w:tcBorders>
              <w:top w:val="nil"/>
              <w:left w:val="nil"/>
              <w:bottom w:val="single" w:color="auto" w:sz="4" w:space="0"/>
              <w:right w:val="nil"/>
            </w:tcBorders>
            <w:noWrap/>
            <w:vAlign w:val="center"/>
          </w:tcPr>
          <w:p w14:paraId="7EAC4C60">
            <w:pPr>
              <w:jc w:val="right"/>
              <w:rPr>
                <w:rFonts w:ascii="宋体" w:cs="宋体"/>
                <w:color w:val="000000"/>
                <w:sz w:val="22"/>
              </w:rPr>
            </w:pPr>
            <w:r>
              <w:rPr>
                <w:rFonts w:hint="eastAsia" w:ascii="宋体" w:hAnsi="宋体" w:cs="宋体"/>
                <w:color w:val="000000"/>
                <w:sz w:val="22"/>
              </w:rPr>
              <w:t>单位金额：万元</w:t>
            </w:r>
          </w:p>
        </w:tc>
      </w:tr>
      <w:tr w14:paraId="266B3AC5">
        <w:tblPrEx>
          <w:tblCellMar>
            <w:top w:w="0" w:type="dxa"/>
            <w:left w:w="108" w:type="dxa"/>
            <w:bottom w:w="0" w:type="dxa"/>
            <w:right w:w="108" w:type="dxa"/>
          </w:tblCellMar>
        </w:tblPrEx>
        <w:trPr>
          <w:trHeight w:val="321" w:hRule="atLeast"/>
        </w:trPr>
        <w:tc>
          <w:tcPr>
            <w:tcW w:w="1297" w:type="dxa"/>
            <w:tcBorders>
              <w:top w:val="single" w:color="auto" w:sz="4" w:space="0"/>
              <w:left w:val="single" w:color="auto" w:sz="4" w:space="0"/>
              <w:bottom w:val="single" w:color="auto" w:sz="4" w:space="0"/>
              <w:right w:val="single" w:color="auto" w:sz="4" w:space="0"/>
            </w:tcBorders>
            <w:noWrap/>
            <w:vAlign w:val="center"/>
          </w:tcPr>
          <w:p w14:paraId="37886978">
            <w:pPr>
              <w:rPr>
                <w:rFonts w:ascii="宋体" w:cs="宋体"/>
                <w:color w:val="000000"/>
                <w:sz w:val="22"/>
              </w:rPr>
            </w:pPr>
            <w:r>
              <w:rPr>
                <w:rFonts w:hint="eastAsia" w:ascii="宋体" w:hAnsi="宋体" w:cs="宋体"/>
                <w:color w:val="000000"/>
                <w:sz w:val="22"/>
              </w:rPr>
              <w:t>一、基本情况</w:t>
            </w:r>
          </w:p>
        </w:tc>
        <w:tc>
          <w:tcPr>
            <w:tcW w:w="3328" w:type="dxa"/>
            <w:gridSpan w:val="3"/>
            <w:tcBorders>
              <w:top w:val="single" w:color="auto" w:sz="4" w:space="0"/>
              <w:left w:val="nil"/>
              <w:bottom w:val="single" w:color="auto" w:sz="4" w:space="0"/>
              <w:right w:val="single" w:color="000000" w:sz="4" w:space="0"/>
            </w:tcBorders>
            <w:noWrap/>
            <w:vAlign w:val="center"/>
          </w:tcPr>
          <w:p w14:paraId="577DFAFC">
            <w:pPr>
              <w:rPr>
                <w:rFonts w:ascii="宋体" w:cs="宋体"/>
                <w:color w:val="000000"/>
                <w:sz w:val="22"/>
              </w:rPr>
            </w:pPr>
            <w:r>
              <w:rPr>
                <w:rFonts w:hint="eastAsia" w:ascii="宋体" w:hAnsi="宋体" w:cs="宋体"/>
                <w:color w:val="000000"/>
                <w:sz w:val="22"/>
                <w:lang w:val="en-US" w:eastAsia="zh-CN"/>
              </w:rPr>
              <w:t>困难职工补助</w:t>
            </w:r>
          </w:p>
        </w:tc>
        <w:tc>
          <w:tcPr>
            <w:tcW w:w="1047" w:type="dxa"/>
            <w:tcBorders>
              <w:top w:val="single" w:color="auto" w:sz="4" w:space="0"/>
              <w:left w:val="nil"/>
              <w:bottom w:val="single" w:color="auto" w:sz="4" w:space="0"/>
              <w:right w:val="single" w:color="auto" w:sz="4" w:space="0"/>
            </w:tcBorders>
            <w:vAlign w:val="center"/>
          </w:tcPr>
          <w:p w14:paraId="4F37532A">
            <w:pPr>
              <w:rPr>
                <w:rFonts w:ascii="宋体" w:cs="宋体"/>
                <w:color w:val="000000"/>
                <w:sz w:val="22"/>
              </w:rPr>
            </w:pPr>
            <w:r>
              <w:rPr>
                <w:rFonts w:hint="eastAsia" w:ascii="宋体" w:hAnsi="宋体" w:cs="宋体"/>
                <w:color w:val="000000"/>
                <w:sz w:val="22"/>
              </w:rPr>
              <w:t>实施（主管单位）</w:t>
            </w:r>
          </w:p>
        </w:tc>
        <w:tc>
          <w:tcPr>
            <w:tcW w:w="3588" w:type="dxa"/>
            <w:gridSpan w:val="3"/>
            <w:tcBorders>
              <w:top w:val="single" w:color="auto" w:sz="4" w:space="0"/>
              <w:left w:val="nil"/>
              <w:bottom w:val="single" w:color="auto" w:sz="4" w:space="0"/>
              <w:right w:val="single" w:color="auto" w:sz="4" w:space="0"/>
            </w:tcBorders>
            <w:noWrap/>
            <w:vAlign w:val="center"/>
          </w:tcPr>
          <w:p w14:paraId="35842ED8">
            <w:pPr>
              <w:jc w:val="center"/>
              <w:rPr>
                <w:rFonts w:hint="eastAsia" w:ascii="宋体" w:eastAsia="宋体" w:cs="宋体"/>
                <w:color w:val="000000"/>
                <w:sz w:val="22"/>
                <w:lang w:eastAsia="zh-CN"/>
              </w:rPr>
            </w:pPr>
            <w:r>
              <w:rPr>
                <w:rFonts w:hint="eastAsia" w:ascii="宋体" w:hAnsi="宋体" w:cs="宋体"/>
                <w:color w:val="000000"/>
                <w:sz w:val="22"/>
                <w:lang w:val="en-US" w:eastAsia="zh-CN"/>
              </w:rPr>
              <w:t>人社局</w:t>
            </w:r>
          </w:p>
        </w:tc>
      </w:tr>
      <w:tr w14:paraId="4057567E">
        <w:tblPrEx>
          <w:tblCellMar>
            <w:top w:w="0" w:type="dxa"/>
            <w:left w:w="108" w:type="dxa"/>
            <w:bottom w:w="0" w:type="dxa"/>
            <w:right w:w="108" w:type="dxa"/>
          </w:tblCellMar>
        </w:tblPrEx>
        <w:trPr>
          <w:trHeight w:val="321" w:hRule="atLeast"/>
        </w:trPr>
        <w:tc>
          <w:tcPr>
            <w:tcW w:w="1297" w:type="dxa"/>
            <w:vMerge w:val="restart"/>
            <w:tcBorders>
              <w:top w:val="nil"/>
              <w:left w:val="single" w:color="auto" w:sz="4" w:space="0"/>
              <w:bottom w:val="single" w:color="auto" w:sz="4" w:space="0"/>
              <w:right w:val="single" w:color="auto" w:sz="4" w:space="0"/>
            </w:tcBorders>
            <w:vAlign w:val="center"/>
          </w:tcPr>
          <w:p w14:paraId="2D03ECD6">
            <w:pPr>
              <w:jc w:val="center"/>
              <w:rPr>
                <w:rFonts w:ascii="宋体" w:cs="宋体"/>
                <w:color w:val="000000"/>
                <w:sz w:val="22"/>
              </w:rPr>
            </w:pPr>
            <w:r>
              <w:rPr>
                <w:rFonts w:hint="eastAsia" w:ascii="宋体" w:hAnsi="宋体" w:cs="宋体"/>
                <w:color w:val="000000"/>
                <w:sz w:val="22"/>
              </w:rPr>
              <w:t>二、预算执行</w:t>
            </w:r>
            <w:r>
              <w:rPr>
                <w:rFonts w:ascii="Times New Roman" w:hAnsi="Times New Roman"/>
                <w:color w:val="000000"/>
                <w:sz w:val="22"/>
              </w:rPr>
              <w:br w:type="textWrapping"/>
            </w:r>
            <w:r>
              <w:rPr>
                <w:rFonts w:hint="eastAsia" w:ascii="宋体" w:hAnsi="宋体" w:cs="宋体"/>
                <w:color w:val="000000"/>
                <w:sz w:val="22"/>
              </w:rPr>
              <w:t>情况</w:t>
            </w:r>
          </w:p>
        </w:tc>
        <w:tc>
          <w:tcPr>
            <w:tcW w:w="2022" w:type="dxa"/>
            <w:gridSpan w:val="2"/>
            <w:tcBorders>
              <w:top w:val="single" w:color="auto" w:sz="4" w:space="0"/>
              <w:left w:val="nil"/>
              <w:bottom w:val="single" w:color="auto" w:sz="4" w:space="0"/>
              <w:right w:val="single" w:color="000000" w:sz="4" w:space="0"/>
            </w:tcBorders>
            <w:noWrap/>
            <w:vAlign w:val="center"/>
          </w:tcPr>
          <w:p w14:paraId="411BF6AE">
            <w:pPr>
              <w:jc w:val="center"/>
              <w:rPr>
                <w:rFonts w:ascii="宋体" w:cs="宋体"/>
                <w:color w:val="000000"/>
                <w:sz w:val="22"/>
              </w:rPr>
            </w:pPr>
            <w:r>
              <w:rPr>
                <w:rFonts w:hint="eastAsia" w:ascii="宋体" w:hAnsi="宋体" w:cs="宋体"/>
                <w:color w:val="000000"/>
                <w:sz w:val="22"/>
              </w:rPr>
              <w:t>预算安排情况（调整后）</w:t>
            </w:r>
          </w:p>
        </w:tc>
        <w:tc>
          <w:tcPr>
            <w:tcW w:w="2353" w:type="dxa"/>
            <w:gridSpan w:val="2"/>
            <w:tcBorders>
              <w:top w:val="single" w:color="auto" w:sz="4" w:space="0"/>
              <w:left w:val="nil"/>
              <w:bottom w:val="single" w:color="auto" w:sz="4" w:space="0"/>
              <w:right w:val="single" w:color="auto" w:sz="4" w:space="0"/>
            </w:tcBorders>
            <w:noWrap/>
            <w:vAlign w:val="center"/>
          </w:tcPr>
          <w:p w14:paraId="12F93E6C">
            <w:pPr>
              <w:jc w:val="center"/>
              <w:rPr>
                <w:rFonts w:ascii="宋体" w:cs="宋体"/>
                <w:color w:val="000000"/>
                <w:sz w:val="22"/>
              </w:rPr>
            </w:pPr>
            <w:r>
              <w:rPr>
                <w:rFonts w:hint="eastAsia" w:ascii="宋体" w:hAnsi="宋体" w:cs="宋体"/>
                <w:color w:val="000000"/>
                <w:sz w:val="22"/>
              </w:rPr>
              <w:t>资金到位情况</w:t>
            </w:r>
          </w:p>
        </w:tc>
        <w:tc>
          <w:tcPr>
            <w:tcW w:w="2321" w:type="dxa"/>
            <w:gridSpan w:val="2"/>
            <w:tcBorders>
              <w:top w:val="single" w:color="auto" w:sz="4" w:space="0"/>
              <w:left w:val="nil"/>
              <w:bottom w:val="single" w:color="auto" w:sz="4" w:space="0"/>
              <w:right w:val="single" w:color="auto" w:sz="4" w:space="0"/>
            </w:tcBorders>
            <w:noWrap/>
            <w:vAlign w:val="center"/>
          </w:tcPr>
          <w:p w14:paraId="62300386">
            <w:pPr>
              <w:jc w:val="center"/>
              <w:rPr>
                <w:rFonts w:ascii="宋体" w:cs="宋体"/>
                <w:color w:val="000000"/>
                <w:sz w:val="22"/>
              </w:rPr>
            </w:pPr>
            <w:r>
              <w:rPr>
                <w:rFonts w:hint="eastAsia" w:ascii="宋体" w:hAnsi="宋体" w:cs="宋体"/>
                <w:color w:val="000000"/>
                <w:sz w:val="22"/>
              </w:rPr>
              <w:t>资金执行情况</w:t>
            </w:r>
          </w:p>
        </w:tc>
        <w:tc>
          <w:tcPr>
            <w:tcW w:w="1267" w:type="dxa"/>
            <w:tcBorders>
              <w:top w:val="nil"/>
              <w:left w:val="nil"/>
              <w:bottom w:val="single" w:color="auto" w:sz="4" w:space="0"/>
              <w:right w:val="single" w:color="auto" w:sz="4" w:space="0"/>
            </w:tcBorders>
            <w:noWrap/>
            <w:vAlign w:val="center"/>
          </w:tcPr>
          <w:p w14:paraId="4273827D">
            <w:pPr>
              <w:rPr>
                <w:rFonts w:ascii="宋体" w:cs="宋体"/>
                <w:color w:val="000000"/>
                <w:sz w:val="22"/>
              </w:rPr>
            </w:pPr>
            <w:r>
              <w:rPr>
                <w:rFonts w:hint="eastAsia" w:ascii="宋体" w:hAnsi="宋体" w:cs="宋体"/>
                <w:color w:val="000000"/>
                <w:sz w:val="22"/>
              </w:rPr>
              <w:t>预算执行进度</w:t>
            </w:r>
          </w:p>
        </w:tc>
      </w:tr>
      <w:tr w14:paraId="62462CF5">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auto" w:sz="4" w:space="0"/>
              <w:right w:val="single" w:color="auto" w:sz="4" w:space="0"/>
            </w:tcBorders>
            <w:vAlign w:val="center"/>
          </w:tcPr>
          <w:p w14:paraId="7F6399D3">
            <w:pPr>
              <w:rPr>
                <w:rFonts w:ascii="宋体" w:cs="宋体"/>
                <w:color w:val="000000"/>
                <w:sz w:val="22"/>
              </w:rPr>
            </w:pPr>
          </w:p>
        </w:tc>
        <w:tc>
          <w:tcPr>
            <w:tcW w:w="1210" w:type="dxa"/>
            <w:tcBorders>
              <w:top w:val="nil"/>
              <w:left w:val="nil"/>
              <w:bottom w:val="single" w:color="auto" w:sz="4" w:space="0"/>
              <w:right w:val="single" w:color="auto" w:sz="4" w:space="0"/>
            </w:tcBorders>
            <w:noWrap/>
            <w:vAlign w:val="center"/>
          </w:tcPr>
          <w:p w14:paraId="48B40300">
            <w:pPr>
              <w:rPr>
                <w:rFonts w:ascii="宋体" w:cs="宋体"/>
                <w:color w:val="000000"/>
                <w:sz w:val="22"/>
              </w:rPr>
            </w:pPr>
            <w:r>
              <w:rPr>
                <w:rFonts w:hint="eastAsia" w:ascii="宋体" w:hAnsi="宋体" w:cs="宋体"/>
                <w:color w:val="000000"/>
                <w:sz w:val="22"/>
              </w:rPr>
              <w:t>预算数：</w:t>
            </w:r>
          </w:p>
        </w:tc>
        <w:tc>
          <w:tcPr>
            <w:tcW w:w="812" w:type="dxa"/>
            <w:tcBorders>
              <w:top w:val="nil"/>
              <w:left w:val="nil"/>
              <w:bottom w:val="single" w:color="auto" w:sz="4" w:space="0"/>
              <w:right w:val="single" w:color="auto" w:sz="4" w:space="0"/>
            </w:tcBorders>
            <w:noWrap/>
            <w:vAlign w:val="center"/>
          </w:tcPr>
          <w:p w14:paraId="5C9AFC37">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306" w:type="dxa"/>
            <w:tcBorders>
              <w:top w:val="nil"/>
              <w:left w:val="nil"/>
              <w:bottom w:val="single" w:color="auto" w:sz="4" w:space="0"/>
              <w:right w:val="single" w:color="auto" w:sz="4" w:space="0"/>
            </w:tcBorders>
            <w:noWrap/>
            <w:vAlign w:val="center"/>
          </w:tcPr>
          <w:p w14:paraId="384AEC73">
            <w:pPr>
              <w:rPr>
                <w:rFonts w:ascii="宋体" w:cs="宋体"/>
                <w:color w:val="000000"/>
                <w:sz w:val="22"/>
              </w:rPr>
            </w:pPr>
            <w:r>
              <w:rPr>
                <w:rFonts w:hint="eastAsia" w:ascii="宋体" w:hAnsi="宋体" w:cs="宋体"/>
                <w:color w:val="000000"/>
                <w:sz w:val="22"/>
              </w:rPr>
              <w:t>到位数：</w:t>
            </w:r>
          </w:p>
        </w:tc>
        <w:tc>
          <w:tcPr>
            <w:tcW w:w="1047" w:type="dxa"/>
            <w:tcBorders>
              <w:top w:val="nil"/>
              <w:left w:val="nil"/>
              <w:bottom w:val="single" w:color="auto" w:sz="4" w:space="0"/>
              <w:right w:val="single" w:color="auto" w:sz="4" w:space="0"/>
            </w:tcBorders>
            <w:noWrap/>
            <w:vAlign w:val="center"/>
          </w:tcPr>
          <w:p w14:paraId="5513A18F">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282" w:type="dxa"/>
            <w:tcBorders>
              <w:top w:val="nil"/>
              <w:left w:val="nil"/>
              <w:bottom w:val="single" w:color="auto" w:sz="4" w:space="0"/>
              <w:right w:val="single" w:color="auto" w:sz="4" w:space="0"/>
            </w:tcBorders>
            <w:noWrap/>
            <w:vAlign w:val="center"/>
          </w:tcPr>
          <w:p w14:paraId="333DE889">
            <w:pPr>
              <w:rPr>
                <w:rFonts w:ascii="宋体" w:cs="宋体"/>
                <w:color w:val="000000"/>
                <w:sz w:val="22"/>
              </w:rPr>
            </w:pPr>
            <w:r>
              <w:rPr>
                <w:rFonts w:hint="eastAsia" w:ascii="宋体" w:hAnsi="宋体" w:cs="宋体"/>
                <w:color w:val="000000"/>
                <w:sz w:val="22"/>
              </w:rPr>
              <w:t>执行数：</w:t>
            </w:r>
          </w:p>
        </w:tc>
        <w:tc>
          <w:tcPr>
            <w:tcW w:w="1039" w:type="dxa"/>
            <w:tcBorders>
              <w:top w:val="nil"/>
              <w:left w:val="nil"/>
              <w:bottom w:val="single" w:color="auto" w:sz="4" w:space="0"/>
              <w:right w:val="single" w:color="auto" w:sz="4" w:space="0"/>
            </w:tcBorders>
            <w:noWrap/>
            <w:vAlign w:val="center"/>
          </w:tcPr>
          <w:p w14:paraId="22278532">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267" w:type="dxa"/>
            <w:vMerge w:val="restart"/>
            <w:tcBorders>
              <w:top w:val="nil"/>
              <w:left w:val="single" w:color="auto" w:sz="4" w:space="0"/>
              <w:bottom w:val="single" w:color="auto" w:sz="4" w:space="0"/>
              <w:right w:val="single" w:color="auto" w:sz="4" w:space="0"/>
            </w:tcBorders>
            <w:vAlign w:val="center"/>
          </w:tcPr>
          <w:p w14:paraId="3724ADAB">
            <w:pPr>
              <w:jc w:val="center"/>
              <w:rPr>
                <w:rFonts w:ascii="宋体" w:cs="宋体"/>
                <w:color w:val="000000"/>
                <w:sz w:val="22"/>
              </w:rPr>
            </w:pPr>
            <w:r>
              <w:rPr>
                <w:rFonts w:eastAsia="Times New Roman"/>
                <w:color w:val="000000"/>
                <w:sz w:val="22"/>
              </w:rPr>
              <w:t>100%</w:t>
            </w:r>
          </w:p>
        </w:tc>
      </w:tr>
      <w:tr w14:paraId="6E8EC93C">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auto" w:sz="4" w:space="0"/>
              <w:right w:val="single" w:color="auto" w:sz="4" w:space="0"/>
            </w:tcBorders>
            <w:vAlign w:val="center"/>
          </w:tcPr>
          <w:p w14:paraId="02A73E93">
            <w:pPr>
              <w:rPr>
                <w:rFonts w:ascii="宋体" w:cs="宋体"/>
                <w:color w:val="000000"/>
                <w:sz w:val="22"/>
              </w:rPr>
            </w:pPr>
          </w:p>
        </w:tc>
        <w:tc>
          <w:tcPr>
            <w:tcW w:w="1210" w:type="dxa"/>
            <w:tcBorders>
              <w:top w:val="nil"/>
              <w:left w:val="nil"/>
              <w:bottom w:val="single" w:color="auto" w:sz="4" w:space="0"/>
              <w:right w:val="single" w:color="auto" w:sz="4" w:space="0"/>
            </w:tcBorders>
            <w:vAlign w:val="center"/>
          </w:tcPr>
          <w:p w14:paraId="653AD1F2">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812" w:type="dxa"/>
            <w:tcBorders>
              <w:top w:val="nil"/>
              <w:left w:val="nil"/>
              <w:bottom w:val="single" w:color="auto" w:sz="4" w:space="0"/>
              <w:right w:val="single" w:color="auto" w:sz="4" w:space="0"/>
            </w:tcBorders>
            <w:noWrap/>
            <w:vAlign w:val="center"/>
          </w:tcPr>
          <w:p w14:paraId="6145391C">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306" w:type="dxa"/>
            <w:tcBorders>
              <w:top w:val="nil"/>
              <w:left w:val="nil"/>
              <w:bottom w:val="single" w:color="auto" w:sz="4" w:space="0"/>
              <w:right w:val="single" w:color="auto" w:sz="4" w:space="0"/>
            </w:tcBorders>
            <w:vAlign w:val="center"/>
          </w:tcPr>
          <w:p w14:paraId="7F3507D9">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1047" w:type="dxa"/>
            <w:tcBorders>
              <w:top w:val="nil"/>
              <w:left w:val="nil"/>
              <w:bottom w:val="single" w:color="auto" w:sz="4" w:space="0"/>
              <w:right w:val="single" w:color="auto" w:sz="4" w:space="0"/>
            </w:tcBorders>
            <w:noWrap/>
            <w:vAlign w:val="center"/>
          </w:tcPr>
          <w:p w14:paraId="4E4B5152">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282" w:type="dxa"/>
            <w:tcBorders>
              <w:top w:val="nil"/>
              <w:left w:val="nil"/>
              <w:bottom w:val="single" w:color="auto" w:sz="4" w:space="0"/>
              <w:right w:val="single" w:color="auto" w:sz="4" w:space="0"/>
            </w:tcBorders>
            <w:vAlign w:val="center"/>
          </w:tcPr>
          <w:p w14:paraId="1DDF0CE3">
            <w:pPr>
              <w:rPr>
                <w:rFonts w:ascii="宋体" w:cs="宋体"/>
                <w:color w:val="000000"/>
                <w:sz w:val="22"/>
              </w:rPr>
            </w:pPr>
            <w:r>
              <w:rPr>
                <w:rFonts w:hint="eastAsia" w:ascii="宋体" w:hAnsi="宋体" w:cs="宋体"/>
                <w:color w:val="000000"/>
                <w:sz w:val="22"/>
              </w:rPr>
              <w:t>其中：财政</w:t>
            </w:r>
            <w:r>
              <w:rPr>
                <w:rFonts w:ascii="Times New Roman" w:hAnsi="Times New Roman"/>
                <w:color w:val="000000"/>
                <w:sz w:val="22"/>
              </w:rPr>
              <w:br w:type="textWrapping"/>
            </w:r>
            <w:r>
              <w:rPr>
                <w:rFonts w:ascii="Times New Roman" w:hAnsi="Times New Roman"/>
                <w:color w:val="000000"/>
                <w:sz w:val="22"/>
              </w:rPr>
              <w:t xml:space="preserve">     </w:t>
            </w:r>
            <w:r>
              <w:rPr>
                <w:rFonts w:hint="eastAsia" w:ascii="宋体" w:hAnsi="宋体" w:cs="宋体"/>
                <w:color w:val="000000"/>
                <w:sz w:val="22"/>
              </w:rPr>
              <w:t>资金</w:t>
            </w:r>
          </w:p>
        </w:tc>
        <w:tc>
          <w:tcPr>
            <w:tcW w:w="1039" w:type="dxa"/>
            <w:tcBorders>
              <w:top w:val="nil"/>
              <w:left w:val="nil"/>
              <w:bottom w:val="single" w:color="auto" w:sz="4" w:space="0"/>
              <w:right w:val="single" w:color="auto" w:sz="4" w:space="0"/>
            </w:tcBorders>
            <w:noWrap/>
            <w:vAlign w:val="center"/>
          </w:tcPr>
          <w:p w14:paraId="0AA0FDD2">
            <w:pPr>
              <w:jc w:val="right"/>
              <w:rPr>
                <w:rFonts w:hint="default" w:ascii="宋体" w:eastAsia="宋体" w:cs="宋体"/>
                <w:color w:val="000000"/>
                <w:sz w:val="22"/>
                <w:lang w:val="en-US" w:eastAsia="zh-CN"/>
              </w:rPr>
            </w:pPr>
            <w:r>
              <w:rPr>
                <w:rFonts w:hint="eastAsia"/>
                <w:color w:val="000000"/>
                <w:sz w:val="22"/>
                <w:lang w:val="en-US" w:eastAsia="zh-CN"/>
              </w:rPr>
              <w:t>110</w:t>
            </w:r>
          </w:p>
        </w:tc>
        <w:tc>
          <w:tcPr>
            <w:tcW w:w="1267" w:type="dxa"/>
            <w:vMerge w:val="continue"/>
            <w:tcBorders>
              <w:top w:val="nil"/>
              <w:left w:val="single" w:color="auto" w:sz="4" w:space="0"/>
              <w:bottom w:val="single" w:color="auto" w:sz="4" w:space="0"/>
              <w:right w:val="single" w:color="auto" w:sz="4" w:space="0"/>
            </w:tcBorders>
            <w:vAlign w:val="center"/>
          </w:tcPr>
          <w:p w14:paraId="1ADA183C">
            <w:pPr>
              <w:rPr>
                <w:rFonts w:ascii="宋体" w:cs="宋体"/>
                <w:color w:val="000000"/>
                <w:sz w:val="22"/>
              </w:rPr>
            </w:pPr>
          </w:p>
        </w:tc>
      </w:tr>
      <w:tr w14:paraId="3628140B">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auto" w:sz="4" w:space="0"/>
              <w:right w:val="single" w:color="auto" w:sz="4" w:space="0"/>
            </w:tcBorders>
            <w:vAlign w:val="center"/>
          </w:tcPr>
          <w:p w14:paraId="7E3526FA">
            <w:pPr>
              <w:rPr>
                <w:rFonts w:ascii="宋体" w:cs="宋体"/>
                <w:color w:val="000000"/>
                <w:sz w:val="22"/>
              </w:rPr>
            </w:pPr>
          </w:p>
        </w:tc>
        <w:tc>
          <w:tcPr>
            <w:tcW w:w="1210" w:type="dxa"/>
            <w:tcBorders>
              <w:top w:val="nil"/>
              <w:left w:val="nil"/>
              <w:bottom w:val="single" w:color="auto" w:sz="4" w:space="0"/>
              <w:right w:val="single" w:color="auto" w:sz="4" w:space="0"/>
            </w:tcBorders>
            <w:noWrap/>
            <w:vAlign w:val="center"/>
          </w:tcPr>
          <w:p w14:paraId="258BA108">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812" w:type="dxa"/>
            <w:tcBorders>
              <w:top w:val="nil"/>
              <w:left w:val="nil"/>
              <w:bottom w:val="single" w:color="auto" w:sz="4" w:space="0"/>
              <w:right w:val="single" w:color="auto" w:sz="4" w:space="0"/>
            </w:tcBorders>
            <w:noWrap/>
            <w:vAlign w:val="center"/>
          </w:tcPr>
          <w:p w14:paraId="20D38537">
            <w:pPr>
              <w:rPr>
                <w:rFonts w:ascii="宋体" w:cs="宋体"/>
                <w:color w:val="000000"/>
                <w:sz w:val="22"/>
              </w:rPr>
            </w:pPr>
            <w:r>
              <w:rPr>
                <w:rFonts w:hint="eastAsia" w:ascii="宋体" w:hAnsi="宋体" w:cs="宋体"/>
                <w:color w:val="000000"/>
                <w:sz w:val="22"/>
              </w:rPr>
              <w:t>　</w:t>
            </w:r>
          </w:p>
        </w:tc>
        <w:tc>
          <w:tcPr>
            <w:tcW w:w="1306" w:type="dxa"/>
            <w:tcBorders>
              <w:top w:val="nil"/>
              <w:left w:val="nil"/>
              <w:bottom w:val="single" w:color="auto" w:sz="4" w:space="0"/>
              <w:right w:val="single" w:color="auto" w:sz="4" w:space="0"/>
            </w:tcBorders>
            <w:noWrap/>
            <w:vAlign w:val="center"/>
          </w:tcPr>
          <w:p w14:paraId="36931F47">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1047" w:type="dxa"/>
            <w:tcBorders>
              <w:top w:val="nil"/>
              <w:left w:val="nil"/>
              <w:bottom w:val="single" w:color="auto" w:sz="4" w:space="0"/>
              <w:right w:val="single" w:color="auto" w:sz="4" w:space="0"/>
            </w:tcBorders>
            <w:noWrap/>
            <w:vAlign w:val="center"/>
          </w:tcPr>
          <w:p w14:paraId="3FBCFB87">
            <w:pPr>
              <w:rPr>
                <w:rFonts w:ascii="宋体" w:cs="宋体"/>
                <w:color w:val="000000"/>
                <w:sz w:val="22"/>
              </w:rPr>
            </w:pPr>
            <w:r>
              <w:rPr>
                <w:rFonts w:hint="eastAsia" w:ascii="宋体" w:hAnsi="宋体" w:cs="宋体"/>
                <w:color w:val="000000"/>
                <w:sz w:val="22"/>
              </w:rPr>
              <w:t>　</w:t>
            </w:r>
          </w:p>
        </w:tc>
        <w:tc>
          <w:tcPr>
            <w:tcW w:w="1282" w:type="dxa"/>
            <w:tcBorders>
              <w:top w:val="nil"/>
              <w:left w:val="nil"/>
              <w:bottom w:val="single" w:color="auto" w:sz="4" w:space="0"/>
              <w:right w:val="single" w:color="auto" w:sz="4" w:space="0"/>
            </w:tcBorders>
            <w:noWrap/>
            <w:vAlign w:val="center"/>
          </w:tcPr>
          <w:p w14:paraId="07CC24AD">
            <w:pPr>
              <w:rPr>
                <w:rFonts w:ascii="宋体" w:cs="宋体"/>
                <w:color w:val="000000"/>
                <w:sz w:val="22"/>
              </w:rPr>
            </w:pPr>
            <w:r>
              <w:rPr>
                <w:rFonts w:eastAsia="Times New Roman"/>
                <w:color w:val="000000"/>
                <w:sz w:val="22"/>
              </w:rPr>
              <w:t xml:space="preserve">     </w:t>
            </w:r>
            <w:r>
              <w:rPr>
                <w:rFonts w:hint="eastAsia" w:ascii="宋体" w:hAnsi="宋体" w:cs="宋体"/>
                <w:color w:val="000000"/>
                <w:sz w:val="22"/>
              </w:rPr>
              <w:t>其他</w:t>
            </w:r>
          </w:p>
        </w:tc>
        <w:tc>
          <w:tcPr>
            <w:tcW w:w="1039" w:type="dxa"/>
            <w:tcBorders>
              <w:top w:val="nil"/>
              <w:left w:val="nil"/>
              <w:bottom w:val="single" w:color="auto" w:sz="4" w:space="0"/>
              <w:right w:val="single" w:color="auto" w:sz="4" w:space="0"/>
            </w:tcBorders>
            <w:noWrap/>
            <w:vAlign w:val="center"/>
          </w:tcPr>
          <w:p w14:paraId="39607B20">
            <w:pPr>
              <w:rPr>
                <w:rFonts w:ascii="宋体" w:cs="宋体"/>
                <w:color w:val="000000"/>
                <w:sz w:val="22"/>
              </w:rPr>
            </w:pPr>
            <w:r>
              <w:rPr>
                <w:rFonts w:hint="eastAsia" w:ascii="宋体" w:hAnsi="宋体" w:cs="宋体"/>
                <w:color w:val="000000"/>
                <w:sz w:val="22"/>
              </w:rPr>
              <w:t>　</w:t>
            </w:r>
          </w:p>
        </w:tc>
        <w:tc>
          <w:tcPr>
            <w:tcW w:w="1267" w:type="dxa"/>
            <w:vMerge w:val="continue"/>
            <w:tcBorders>
              <w:top w:val="nil"/>
              <w:left w:val="single" w:color="auto" w:sz="4" w:space="0"/>
              <w:bottom w:val="single" w:color="auto" w:sz="4" w:space="0"/>
              <w:right w:val="single" w:color="auto" w:sz="4" w:space="0"/>
            </w:tcBorders>
            <w:vAlign w:val="center"/>
          </w:tcPr>
          <w:p w14:paraId="29E87A94">
            <w:pPr>
              <w:rPr>
                <w:rFonts w:ascii="宋体" w:cs="宋体"/>
                <w:color w:val="000000"/>
                <w:sz w:val="22"/>
              </w:rPr>
            </w:pPr>
          </w:p>
        </w:tc>
      </w:tr>
      <w:tr w14:paraId="0BC07994">
        <w:tblPrEx>
          <w:tblCellMar>
            <w:top w:w="0" w:type="dxa"/>
            <w:left w:w="108" w:type="dxa"/>
            <w:bottom w:w="0" w:type="dxa"/>
            <w:right w:w="108" w:type="dxa"/>
          </w:tblCellMar>
        </w:tblPrEx>
        <w:trPr>
          <w:trHeight w:val="321" w:hRule="atLeast"/>
        </w:trPr>
        <w:tc>
          <w:tcPr>
            <w:tcW w:w="1297" w:type="dxa"/>
            <w:vMerge w:val="restart"/>
            <w:tcBorders>
              <w:top w:val="nil"/>
              <w:left w:val="single" w:color="auto" w:sz="4" w:space="0"/>
              <w:bottom w:val="single" w:color="auto" w:sz="4" w:space="0"/>
              <w:right w:val="single" w:color="auto" w:sz="4" w:space="0"/>
            </w:tcBorders>
            <w:vAlign w:val="center"/>
          </w:tcPr>
          <w:p w14:paraId="7E825DB4">
            <w:pPr>
              <w:jc w:val="center"/>
              <w:rPr>
                <w:rFonts w:ascii="宋体" w:cs="宋体"/>
                <w:color w:val="000000"/>
                <w:sz w:val="22"/>
              </w:rPr>
            </w:pPr>
            <w:r>
              <w:rPr>
                <w:rFonts w:hint="eastAsia" w:ascii="宋体" w:hAnsi="宋体" w:cs="宋体"/>
                <w:color w:val="000000"/>
                <w:sz w:val="22"/>
              </w:rPr>
              <w:t>三、目标完成</w:t>
            </w:r>
            <w:r>
              <w:rPr>
                <w:rFonts w:ascii="Times New Roman" w:hAnsi="Times New Roman"/>
                <w:color w:val="000000"/>
                <w:sz w:val="22"/>
              </w:rPr>
              <w:br w:type="textWrapping"/>
            </w:r>
            <w:r>
              <w:rPr>
                <w:rFonts w:hint="eastAsia" w:ascii="宋体" w:hAnsi="宋体" w:cs="宋体"/>
                <w:color w:val="000000"/>
                <w:sz w:val="22"/>
              </w:rPr>
              <w:t>情况</w:t>
            </w:r>
          </w:p>
        </w:tc>
        <w:tc>
          <w:tcPr>
            <w:tcW w:w="3328" w:type="dxa"/>
            <w:gridSpan w:val="3"/>
            <w:tcBorders>
              <w:top w:val="single" w:color="auto" w:sz="4" w:space="0"/>
              <w:left w:val="nil"/>
              <w:bottom w:val="single" w:color="auto" w:sz="4" w:space="0"/>
              <w:right w:val="single" w:color="auto" w:sz="4" w:space="0"/>
            </w:tcBorders>
            <w:noWrap/>
            <w:vAlign w:val="center"/>
          </w:tcPr>
          <w:p w14:paraId="24F73EAD">
            <w:pPr>
              <w:jc w:val="center"/>
              <w:rPr>
                <w:rFonts w:ascii="宋体" w:cs="宋体"/>
                <w:color w:val="000000"/>
                <w:sz w:val="22"/>
              </w:rPr>
            </w:pPr>
            <w:r>
              <w:rPr>
                <w:rFonts w:hint="eastAsia" w:ascii="宋体" w:hAnsi="宋体" w:cs="宋体"/>
                <w:color w:val="000000"/>
                <w:sz w:val="22"/>
              </w:rPr>
              <w:t>年度预算目标</w:t>
            </w:r>
          </w:p>
        </w:tc>
        <w:tc>
          <w:tcPr>
            <w:tcW w:w="3368" w:type="dxa"/>
            <w:gridSpan w:val="3"/>
            <w:tcBorders>
              <w:top w:val="single" w:color="auto" w:sz="4" w:space="0"/>
              <w:left w:val="nil"/>
              <w:bottom w:val="single" w:color="auto" w:sz="4" w:space="0"/>
              <w:right w:val="single" w:color="auto" w:sz="4" w:space="0"/>
            </w:tcBorders>
            <w:noWrap/>
            <w:vAlign w:val="center"/>
          </w:tcPr>
          <w:p w14:paraId="691CA060">
            <w:pPr>
              <w:jc w:val="center"/>
              <w:rPr>
                <w:rFonts w:ascii="宋体" w:cs="宋体"/>
                <w:color w:val="000000"/>
                <w:sz w:val="22"/>
              </w:rPr>
            </w:pPr>
            <w:r>
              <w:rPr>
                <w:rFonts w:hint="eastAsia" w:ascii="宋体" w:hAnsi="宋体" w:cs="宋体"/>
                <w:color w:val="000000"/>
                <w:sz w:val="22"/>
              </w:rPr>
              <w:t>具体完成情况</w:t>
            </w:r>
          </w:p>
        </w:tc>
        <w:tc>
          <w:tcPr>
            <w:tcW w:w="1267" w:type="dxa"/>
            <w:tcBorders>
              <w:top w:val="nil"/>
              <w:left w:val="nil"/>
              <w:bottom w:val="single" w:color="auto" w:sz="4" w:space="0"/>
              <w:right w:val="single" w:color="auto" w:sz="4" w:space="0"/>
            </w:tcBorders>
            <w:noWrap/>
            <w:vAlign w:val="center"/>
          </w:tcPr>
          <w:p w14:paraId="2B34265C">
            <w:pPr>
              <w:rPr>
                <w:rFonts w:ascii="宋体" w:cs="宋体"/>
                <w:color w:val="000000"/>
                <w:sz w:val="22"/>
              </w:rPr>
            </w:pPr>
            <w:r>
              <w:rPr>
                <w:rFonts w:hint="eastAsia" w:ascii="宋体" w:hAnsi="宋体" w:cs="宋体"/>
                <w:color w:val="000000"/>
                <w:sz w:val="22"/>
              </w:rPr>
              <w:t>总体完成率</w:t>
            </w:r>
          </w:p>
        </w:tc>
      </w:tr>
      <w:tr w14:paraId="144606AF">
        <w:tblPrEx>
          <w:tblCellMar>
            <w:top w:w="0" w:type="dxa"/>
            <w:left w:w="108" w:type="dxa"/>
            <w:bottom w:w="0" w:type="dxa"/>
            <w:right w:w="108" w:type="dxa"/>
          </w:tblCellMar>
        </w:tblPrEx>
        <w:trPr>
          <w:trHeight w:val="334" w:hRule="atLeast"/>
        </w:trPr>
        <w:tc>
          <w:tcPr>
            <w:tcW w:w="1297" w:type="dxa"/>
            <w:vMerge w:val="continue"/>
            <w:tcBorders>
              <w:top w:val="nil"/>
              <w:left w:val="single" w:color="auto" w:sz="4" w:space="0"/>
              <w:bottom w:val="single" w:color="auto" w:sz="4" w:space="0"/>
              <w:right w:val="single" w:color="auto" w:sz="4" w:space="0"/>
            </w:tcBorders>
            <w:vAlign w:val="center"/>
          </w:tcPr>
          <w:p w14:paraId="3961E08B">
            <w:pPr>
              <w:rPr>
                <w:rFonts w:ascii="宋体" w:cs="宋体"/>
                <w:color w:val="000000"/>
                <w:sz w:val="22"/>
              </w:rPr>
            </w:pPr>
          </w:p>
        </w:tc>
        <w:tc>
          <w:tcPr>
            <w:tcW w:w="3328" w:type="dxa"/>
            <w:gridSpan w:val="3"/>
            <w:tcBorders>
              <w:top w:val="single" w:color="auto" w:sz="4" w:space="0"/>
              <w:left w:val="nil"/>
              <w:bottom w:val="single" w:color="auto" w:sz="4" w:space="0"/>
              <w:right w:val="single" w:color="auto" w:sz="4" w:space="0"/>
            </w:tcBorders>
          </w:tcPr>
          <w:p w14:paraId="5CD15ECF">
            <w:pPr>
              <w:rPr>
                <w:rFonts w:hint="eastAsia" w:ascii="宋体" w:eastAsia="宋体" w:cs="宋体"/>
                <w:color w:val="000000"/>
                <w:sz w:val="22"/>
                <w:highlight w:val="yellow"/>
                <w:lang w:eastAsia="zh-CN"/>
              </w:rPr>
            </w:pPr>
            <w:r>
              <w:rPr>
                <w:rFonts w:hint="eastAsia" w:ascii="宋体" w:hAnsi="宋体" w:cs="宋体"/>
                <w:color w:val="000000"/>
                <w:sz w:val="22"/>
                <w:highlight w:val="none"/>
              </w:rPr>
              <w:t>核实各单位和乡镇上报人员数量，确保补助尽可能多的覆盖</w:t>
            </w:r>
            <w:r>
              <w:rPr>
                <w:rFonts w:hint="eastAsia" w:ascii="宋体" w:hAnsi="宋体" w:cs="宋体"/>
                <w:color w:val="000000"/>
                <w:sz w:val="22"/>
                <w:highlight w:val="none"/>
                <w:lang w:eastAsia="zh-CN"/>
              </w:rPr>
              <w:t>，提高受益对象的满意度。</w:t>
            </w:r>
          </w:p>
        </w:tc>
        <w:tc>
          <w:tcPr>
            <w:tcW w:w="3368" w:type="dxa"/>
            <w:gridSpan w:val="3"/>
            <w:tcBorders>
              <w:top w:val="single" w:color="auto" w:sz="4" w:space="0"/>
              <w:left w:val="nil"/>
              <w:bottom w:val="single" w:color="auto" w:sz="4" w:space="0"/>
              <w:right w:val="single" w:color="000000" w:sz="4" w:space="0"/>
            </w:tcBorders>
            <w:vAlign w:val="center"/>
          </w:tcPr>
          <w:p w14:paraId="0522D9D4">
            <w:pPr>
              <w:jc w:val="center"/>
              <w:rPr>
                <w:rFonts w:ascii="宋体" w:cs="宋体"/>
                <w:color w:val="000000"/>
                <w:sz w:val="22"/>
                <w:highlight w:val="yellow"/>
              </w:rPr>
            </w:pPr>
            <w:r>
              <w:rPr>
                <w:rFonts w:hint="eastAsia" w:ascii="宋体" w:hAnsi="宋体" w:cs="宋体"/>
                <w:color w:val="000000"/>
                <w:sz w:val="22"/>
                <w:highlight w:val="none"/>
              </w:rPr>
              <w:t>工作开展顺利，达到预期目标</w:t>
            </w:r>
          </w:p>
        </w:tc>
        <w:tc>
          <w:tcPr>
            <w:tcW w:w="1267" w:type="dxa"/>
            <w:tcBorders>
              <w:top w:val="nil"/>
              <w:left w:val="nil"/>
              <w:bottom w:val="single" w:color="auto" w:sz="4" w:space="0"/>
              <w:right w:val="single" w:color="auto" w:sz="4" w:space="0"/>
            </w:tcBorders>
            <w:noWrap/>
            <w:vAlign w:val="center"/>
          </w:tcPr>
          <w:p w14:paraId="1D5DA332">
            <w:pPr>
              <w:jc w:val="center"/>
              <w:rPr>
                <w:rFonts w:ascii="宋体" w:cs="宋体"/>
                <w:color w:val="000000"/>
                <w:sz w:val="22"/>
                <w:highlight w:val="yellow"/>
              </w:rPr>
            </w:pPr>
            <w:r>
              <w:rPr>
                <w:rFonts w:eastAsia="Times New Roman"/>
                <w:color w:val="000000"/>
                <w:sz w:val="22"/>
                <w:highlight w:val="none"/>
              </w:rPr>
              <w:t>100%</w:t>
            </w:r>
          </w:p>
        </w:tc>
      </w:tr>
      <w:tr w14:paraId="7CCA4FD6">
        <w:tblPrEx>
          <w:tblCellMar>
            <w:top w:w="0" w:type="dxa"/>
            <w:left w:w="108" w:type="dxa"/>
            <w:bottom w:w="0" w:type="dxa"/>
            <w:right w:w="108" w:type="dxa"/>
          </w:tblCellMar>
        </w:tblPrEx>
        <w:trPr>
          <w:trHeight w:val="321" w:hRule="atLeast"/>
        </w:trPr>
        <w:tc>
          <w:tcPr>
            <w:tcW w:w="1297" w:type="dxa"/>
            <w:vMerge w:val="restart"/>
            <w:tcBorders>
              <w:top w:val="nil"/>
              <w:left w:val="single" w:color="auto" w:sz="4" w:space="0"/>
              <w:bottom w:val="single" w:color="000000" w:sz="4" w:space="0"/>
              <w:right w:val="single" w:color="auto" w:sz="4" w:space="0"/>
            </w:tcBorders>
            <w:vAlign w:val="center"/>
          </w:tcPr>
          <w:p w14:paraId="2CF9A02B">
            <w:pPr>
              <w:jc w:val="center"/>
              <w:rPr>
                <w:rFonts w:ascii="宋体" w:cs="宋体"/>
                <w:color w:val="000000"/>
                <w:sz w:val="22"/>
              </w:rPr>
            </w:pPr>
            <w:r>
              <w:rPr>
                <w:rFonts w:hint="eastAsia" w:ascii="宋体" w:hAnsi="宋体" w:cs="宋体"/>
                <w:color w:val="000000"/>
                <w:sz w:val="22"/>
              </w:rPr>
              <w:t>四、年度绩效指标完成情况</w:t>
            </w:r>
          </w:p>
        </w:tc>
        <w:tc>
          <w:tcPr>
            <w:tcW w:w="1210" w:type="dxa"/>
            <w:tcBorders>
              <w:top w:val="nil"/>
              <w:left w:val="nil"/>
              <w:bottom w:val="single" w:color="auto" w:sz="4" w:space="0"/>
              <w:right w:val="single" w:color="auto" w:sz="4" w:space="0"/>
            </w:tcBorders>
            <w:noWrap/>
            <w:vAlign w:val="center"/>
          </w:tcPr>
          <w:p w14:paraId="29D1C97C">
            <w:pPr>
              <w:jc w:val="center"/>
              <w:rPr>
                <w:rFonts w:ascii="宋体" w:cs="宋体"/>
                <w:color w:val="000000"/>
                <w:sz w:val="22"/>
                <w:highlight w:val="none"/>
              </w:rPr>
            </w:pPr>
            <w:r>
              <w:rPr>
                <w:rFonts w:hint="eastAsia" w:ascii="宋体" w:hAnsi="宋体" w:cs="宋体"/>
                <w:color w:val="000000"/>
                <w:sz w:val="22"/>
                <w:highlight w:val="none"/>
              </w:rPr>
              <w:t>一级指标</w:t>
            </w:r>
          </w:p>
        </w:tc>
        <w:tc>
          <w:tcPr>
            <w:tcW w:w="812" w:type="dxa"/>
            <w:tcBorders>
              <w:top w:val="nil"/>
              <w:left w:val="nil"/>
              <w:bottom w:val="single" w:color="auto" w:sz="4" w:space="0"/>
              <w:right w:val="single" w:color="auto" w:sz="4" w:space="0"/>
            </w:tcBorders>
            <w:noWrap/>
            <w:vAlign w:val="center"/>
          </w:tcPr>
          <w:p w14:paraId="66CB7784">
            <w:pPr>
              <w:jc w:val="center"/>
              <w:rPr>
                <w:rFonts w:ascii="宋体" w:cs="宋体"/>
                <w:color w:val="000000"/>
                <w:sz w:val="22"/>
                <w:highlight w:val="none"/>
              </w:rPr>
            </w:pPr>
            <w:r>
              <w:rPr>
                <w:rFonts w:hint="eastAsia" w:ascii="宋体" w:hAnsi="宋体" w:cs="宋体"/>
                <w:color w:val="000000"/>
                <w:sz w:val="22"/>
                <w:highlight w:val="none"/>
              </w:rPr>
              <w:t>二级指标</w:t>
            </w:r>
          </w:p>
        </w:tc>
        <w:tc>
          <w:tcPr>
            <w:tcW w:w="2353" w:type="dxa"/>
            <w:gridSpan w:val="2"/>
            <w:tcBorders>
              <w:top w:val="single" w:color="auto" w:sz="4" w:space="0"/>
              <w:left w:val="nil"/>
              <w:bottom w:val="single" w:color="auto" w:sz="4" w:space="0"/>
              <w:right w:val="single" w:color="auto" w:sz="4" w:space="0"/>
            </w:tcBorders>
            <w:noWrap/>
            <w:vAlign w:val="center"/>
          </w:tcPr>
          <w:p w14:paraId="600EA2A3">
            <w:pPr>
              <w:jc w:val="center"/>
              <w:rPr>
                <w:rFonts w:ascii="宋体" w:cs="宋体"/>
                <w:color w:val="000000"/>
                <w:sz w:val="22"/>
                <w:highlight w:val="none"/>
              </w:rPr>
            </w:pPr>
            <w:r>
              <w:rPr>
                <w:rFonts w:hint="eastAsia" w:ascii="宋体" w:hAnsi="宋体" w:cs="宋体"/>
                <w:color w:val="000000"/>
                <w:sz w:val="22"/>
                <w:highlight w:val="none"/>
              </w:rPr>
              <w:t>三级指标</w:t>
            </w:r>
          </w:p>
        </w:tc>
        <w:tc>
          <w:tcPr>
            <w:tcW w:w="1282" w:type="dxa"/>
            <w:tcBorders>
              <w:top w:val="nil"/>
              <w:left w:val="nil"/>
              <w:bottom w:val="single" w:color="auto" w:sz="4" w:space="0"/>
              <w:right w:val="single" w:color="auto" w:sz="4" w:space="0"/>
            </w:tcBorders>
            <w:noWrap/>
            <w:vAlign w:val="center"/>
          </w:tcPr>
          <w:p w14:paraId="21616143">
            <w:pPr>
              <w:jc w:val="center"/>
              <w:rPr>
                <w:rFonts w:ascii="宋体" w:cs="宋体"/>
                <w:color w:val="000000"/>
                <w:sz w:val="22"/>
                <w:highlight w:val="none"/>
              </w:rPr>
            </w:pPr>
            <w:r>
              <w:rPr>
                <w:rFonts w:hint="eastAsia" w:ascii="宋体" w:hAnsi="宋体" w:cs="宋体"/>
                <w:color w:val="000000"/>
                <w:sz w:val="22"/>
                <w:highlight w:val="none"/>
              </w:rPr>
              <w:t>预期指标值</w:t>
            </w:r>
          </w:p>
        </w:tc>
        <w:tc>
          <w:tcPr>
            <w:tcW w:w="1039" w:type="dxa"/>
            <w:tcBorders>
              <w:top w:val="nil"/>
              <w:left w:val="nil"/>
              <w:bottom w:val="single" w:color="auto" w:sz="4" w:space="0"/>
              <w:right w:val="single" w:color="auto" w:sz="4" w:space="0"/>
            </w:tcBorders>
            <w:noWrap/>
            <w:vAlign w:val="center"/>
          </w:tcPr>
          <w:p w14:paraId="152404AE">
            <w:pPr>
              <w:jc w:val="center"/>
              <w:rPr>
                <w:rFonts w:ascii="宋体" w:cs="宋体"/>
                <w:color w:val="000000"/>
                <w:sz w:val="22"/>
                <w:highlight w:val="none"/>
              </w:rPr>
            </w:pPr>
            <w:r>
              <w:rPr>
                <w:rFonts w:hint="eastAsia" w:ascii="宋体" w:hAnsi="宋体" w:cs="宋体"/>
                <w:color w:val="000000"/>
                <w:sz w:val="22"/>
                <w:highlight w:val="none"/>
              </w:rPr>
              <w:t>实际完成值</w:t>
            </w:r>
          </w:p>
        </w:tc>
        <w:tc>
          <w:tcPr>
            <w:tcW w:w="1267" w:type="dxa"/>
            <w:tcBorders>
              <w:top w:val="nil"/>
              <w:left w:val="nil"/>
              <w:bottom w:val="single" w:color="auto" w:sz="4" w:space="0"/>
              <w:right w:val="single" w:color="auto" w:sz="4" w:space="0"/>
            </w:tcBorders>
            <w:noWrap/>
            <w:vAlign w:val="center"/>
          </w:tcPr>
          <w:p w14:paraId="59D03BBC">
            <w:pPr>
              <w:jc w:val="center"/>
              <w:rPr>
                <w:rFonts w:ascii="宋体" w:cs="宋体"/>
                <w:color w:val="000000"/>
                <w:sz w:val="22"/>
                <w:highlight w:val="none"/>
              </w:rPr>
            </w:pPr>
            <w:r>
              <w:rPr>
                <w:rFonts w:hint="eastAsia" w:ascii="宋体" w:hAnsi="宋体" w:cs="宋体"/>
                <w:color w:val="000000"/>
                <w:sz w:val="22"/>
                <w:highlight w:val="none"/>
              </w:rPr>
              <w:t>自评得分</w:t>
            </w:r>
          </w:p>
        </w:tc>
      </w:tr>
      <w:tr w14:paraId="0D0FB7D3">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000000" w:sz="4" w:space="0"/>
              <w:right w:val="single" w:color="auto" w:sz="4" w:space="0"/>
            </w:tcBorders>
            <w:vAlign w:val="center"/>
          </w:tcPr>
          <w:p w14:paraId="7CDEE862">
            <w:pPr>
              <w:rPr>
                <w:rFonts w:ascii="宋体" w:cs="宋体"/>
                <w:color w:val="000000"/>
                <w:sz w:val="22"/>
              </w:rPr>
            </w:pPr>
          </w:p>
        </w:tc>
        <w:tc>
          <w:tcPr>
            <w:tcW w:w="1210" w:type="dxa"/>
            <w:vMerge w:val="restart"/>
            <w:tcBorders>
              <w:top w:val="nil"/>
              <w:left w:val="single" w:color="auto" w:sz="4" w:space="0"/>
              <w:bottom w:val="single" w:color="auto" w:sz="4" w:space="0"/>
              <w:right w:val="single" w:color="auto" w:sz="4" w:space="0"/>
            </w:tcBorders>
            <w:vAlign w:val="center"/>
          </w:tcPr>
          <w:p w14:paraId="624B8D1F">
            <w:pPr>
              <w:jc w:val="center"/>
              <w:rPr>
                <w:rFonts w:ascii="宋体" w:cs="宋体"/>
                <w:color w:val="000000"/>
                <w:sz w:val="22"/>
                <w:highlight w:val="none"/>
              </w:rPr>
            </w:pPr>
            <w:r>
              <w:rPr>
                <w:rFonts w:hint="eastAsia" w:ascii="宋体" w:hAnsi="宋体" w:cs="宋体"/>
                <w:color w:val="000000"/>
                <w:sz w:val="22"/>
                <w:highlight w:val="none"/>
              </w:rPr>
              <w:t>产出指标</w:t>
            </w:r>
            <w:r>
              <w:rPr>
                <w:rFonts w:ascii="Times New Roman" w:hAnsi="Times New Roman"/>
                <w:color w:val="000000"/>
                <w:sz w:val="22"/>
                <w:highlight w:val="none"/>
              </w:rPr>
              <w:br w:type="textWrapping"/>
            </w:r>
            <w:r>
              <w:rPr>
                <w:rFonts w:hint="eastAsia" w:ascii="宋体" w:hAnsi="宋体" w:cs="宋体"/>
                <w:color w:val="000000"/>
                <w:sz w:val="22"/>
                <w:highlight w:val="none"/>
              </w:rPr>
              <w:t>（</w:t>
            </w:r>
            <w:r>
              <w:rPr>
                <w:rFonts w:ascii="Times New Roman" w:hAnsi="Times New Roman"/>
                <w:color w:val="000000"/>
                <w:sz w:val="22"/>
                <w:highlight w:val="none"/>
              </w:rPr>
              <w:t>40</w:t>
            </w:r>
            <w:r>
              <w:rPr>
                <w:rFonts w:hint="eastAsia" w:ascii="宋体" w:hAnsi="宋体" w:cs="宋体"/>
                <w:color w:val="000000"/>
                <w:sz w:val="22"/>
                <w:highlight w:val="none"/>
              </w:rPr>
              <w:t>分）</w:t>
            </w:r>
          </w:p>
        </w:tc>
        <w:tc>
          <w:tcPr>
            <w:tcW w:w="812" w:type="dxa"/>
            <w:tcBorders>
              <w:top w:val="nil"/>
              <w:left w:val="nil"/>
              <w:bottom w:val="single" w:color="auto" w:sz="4" w:space="0"/>
              <w:right w:val="single" w:color="auto" w:sz="4" w:space="0"/>
            </w:tcBorders>
            <w:noWrap/>
            <w:vAlign w:val="center"/>
          </w:tcPr>
          <w:p w14:paraId="3CC319A9">
            <w:pPr>
              <w:jc w:val="center"/>
              <w:rPr>
                <w:rFonts w:ascii="宋体" w:cs="宋体"/>
                <w:color w:val="000000"/>
                <w:sz w:val="22"/>
                <w:highlight w:val="none"/>
              </w:rPr>
            </w:pPr>
            <w:r>
              <w:rPr>
                <w:rFonts w:hint="eastAsia" w:ascii="宋体" w:hAnsi="宋体" w:cs="宋体"/>
                <w:color w:val="000000"/>
                <w:sz w:val="22"/>
                <w:highlight w:val="none"/>
              </w:rPr>
              <w:t>数量指标</w:t>
            </w:r>
          </w:p>
        </w:tc>
        <w:tc>
          <w:tcPr>
            <w:tcW w:w="2353" w:type="dxa"/>
            <w:gridSpan w:val="2"/>
            <w:tcBorders>
              <w:top w:val="single" w:color="auto" w:sz="4" w:space="0"/>
              <w:left w:val="nil"/>
              <w:bottom w:val="single" w:color="auto" w:sz="4" w:space="0"/>
              <w:right w:val="single" w:color="auto" w:sz="4" w:space="0"/>
            </w:tcBorders>
            <w:vAlign w:val="center"/>
          </w:tcPr>
          <w:p w14:paraId="618EC958">
            <w:pPr>
              <w:rPr>
                <w:rFonts w:ascii="宋体" w:cs="宋体"/>
                <w:color w:val="000000"/>
                <w:sz w:val="22"/>
                <w:highlight w:val="yellow"/>
              </w:rPr>
            </w:pPr>
            <w:r>
              <w:rPr>
                <w:rFonts w:hint="eastAsia" w:ascii="宋体" w:hAnsi="宋体" w:cs="宋体"/>
                <w:color w:val="000000"/>
                <w:sz w:val="22"/>
                <w:highlight w:val="none"/>
              </w:rPr>
              <w:t>补助覆盖率(%)</w:t>
            </w:r>
          </w:p>
        </w:tc>
        <w:tc>
          <w:tcPr>
            <w:tcW w:w="1282" w:type="dxa"/>
            <w:tcBorders>
              <w:top w:val="nil"/>
              <w:left w:val="nil"/>
              <w:bottom w:val="single" w:color="auto" w:sz="4" w:space="0"/>
              <w:right w:val="single" w:color="auto" w:sz="4" w:space="0"/>
            </w:tcBorders>
            <w:vAlign w:val="center"/>
          </w:tcPr>
          <w:p w14:paraId="4E44F6A7">
            <w:pPr>
              <w:jc w:val="center"/>
              <w:rPr>
                <w:rFonts w:ascii="宋体" w:cs="宋体"/>
                <w:color w:val="000000"/>
                <w:sz w:val="22"/>
                <w:highlight w:val="none"/>
              </w:rPr>
            </w:pPr>
            <w:r>
              <w:rPr>
                <w:rFonts w:eastAsia="Times New Roman"/>
                <w:color w:val="000000"/>
                <w:sz w:val="22"/>
                <w:highlight w:val="none"/>
              </w:rPr>
              <w:t>100%</w:t>
            </w:r>
          </w:p>
        </w:tc>
        <w:tc>
          <w:tcPr>
            <w:tcW w:w="1039" w:type="dxa"/>
            <w:tcBorders>
              <w:top w:val="nil"/>
              <w:left w:val="nil"/>
              <w:bottom w:val="single" w:color="auto" w:sz="4" w:space="0"/>
              <w:right w:val="single" w:color="auto" w:sz="4" w:space="0"/>
            </w:tcBorders>
            <w:vAlign w:val="center"/>
          </w:tcPr>
          <w:p w14:paraId="3772B36C">
            <w:pPr>
              <w:jc w:val="center"/>
              <w:rPr>
                <w:rFonts w:ascii="宋体" w:cs="宋体"/>
                <w:color w:val="000000"/>
                <w:sz w:val="22"/>
                <w:highlight w:val="none"/>
              </w:rPr>
            </w:pPr>
            <w:r>
              <w:rPr>
                <w:rFonts w:eastAsia="Times New Roman"/>
                <w:color w:val="000000"/>
                <w:sz w:val="22"/>
                <w:highlight w:val="none"/>
              </w:rPr>
              <w:t>100%</w:t>
            </w:r>
          </w:p>
        </w:tc>
        <w:tc>
          <w:tcPr>
            <w:tcW w:w="1267" w:type="dxa"/>
            <w:tcBorders>
              <w:top w:val="nil"/>
              <w:left w:val="nil"/>
              <w:bottom w:val="single" w:color="auto" w:sz="4" w:space="0"/>
              <w:right w:val="single" w:color="auto" w:sz="4" w:space="0"/>
            </w:tcBorders>
            <w:noWrap/>
            <w:vAlign w:val="center"/>
          </w:tcPr>
          <w:p w14:paraId="6902705E">
            <w:pPr>
              <w:jc w:val="center"/>
              <w:rPr>
                <w:rFonts w:hint="default" w:ascii="宋体" w:eastAsia="宋体" w:cs="宋体"/>
                <w:color w:val="000000"/>
                <w:sz w:val="22"/>
                <w:highlight w:val="none"/>
                <w:lang w:val="en-US" w:eastAsia="zh-CN"/>
              </w:rPr>
            </w:pPr>
            <w:r>
              <w:rPr>
                <w:rFonts w:hint="eastAsia"/>
                <w:color w:val="000000"/>
                <w:sz w:val="22"/>
                <w:highlight w:val="none"/>
                <w:lang w:val="en-US" w:eastAsia="zh-CN"/>
              </w:rPr>
              <w:t>22</w:t>
            </w:r>
          </w:p>
        </w:tc>
      </w:tr>
      <w:tr w14:paraId="61754889">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000000" w:sz="4" w:space="0"/>
              <w:right w:val="single" w:color="auto" w:sz="4" w:space="0"/>
            </w:tcBorders>
            <w:vAlign w:val="center"/>
          </w:tcPr>
          <w:p w14:paraId="4A88DC16">
            <w:pPr>
              <w:rPr>
                <w:rFonts w:ascii="宋体" w:cs="宋体"/>
                <w:color w:val="000000"/>
                <w:sz w:val="22"/>
              </w:rPr>
            </w:pPr>
          </w:p>
        </w:tc>
        <w:tc>
          <w:tcPr>
            <w:tcW w:w="1210" w:type="dxa"/>
            <w:vMerge w:val="continue"/>
            <w:tcBorders>
              <w:top w:val="nil"/>
              <w:left w:val="single" w:color="auto" w:sz="4" w:space="0"/>
              <w:bottom w:val="single" w:color="auto" w:sz="4" w:space="0"/>
              <w:right w:val="single" w:color="auto" w:sz="4" w:space="0"/>
            </w:tcBorders>
            <w:vAlign w:val="center"/>
          </w:tcPr>
          <w:p w14:paraId="612AF0F7">
            <w:pPr>
              <w:rPr>
                <w:rFonts w:ascii="宋体" w:cs="宋体"/>
                <w:color w:val="000000"/>
                <w:sz w:val="22"/>
                <w:highlight w:val="none"/>
              </w:rPr>
            </w:pPr>
          </w:p>
        </w:tc>
        <w:tc>
          <w:tcPr>
            <w:tcW w:w="812" w:type="dxa"/>
            <w:tcBorders>
              <w:top w:val="nil"/>
              <w:left w:val="nil"/>
              <w:bottom w:val="single" w:color="auto" w:sz="4" w:space="0"/>
              <w:right w:val="single" w:color="auto" w:sz="4" w:space="0"/>
            </w:tcBorders>
            <w:noWrap/>
            <w:vAlign w:val="center"/>
          </w:tcPr>
          <w:p w14:paraId="31040278">
            <w:pPr>
              <w:jc w:val="center"/>
              <w:rPr>
                <w:rFonts w:ascii="宋体" w:cs="宋体"/>
                <w:color w:val="000000"/>
                <w:sz w:val="22"/>
                <w:highlight w:val="none"/>
              </w:rPr>
            </w:pPr>
            <w:r>
              <w:rPr>
                <w:rFonts w:hint="eastAsia" w:ascii="宋体" w:hAnsi="宋体" w:cs="宋体"/>
                <w:color w:val="000000"/>
                <w:sz w:val="22"/>
                <w:highlight w:val="none"/>
              </w:rPr>
              <w:t>时效指标</w:t>
            </w:r>
          </w:p>
        </w:tc>
        <w:tc>
          <w:tcPr>
            <w:tcW w:w="2353" w:type="dxa"/>
            <w:gridSpan w:val="2"/>
            <w:tcBorders>
              <w:top w:val="single" w:color="auto" w:sz="4" w:space="0"/>
              <w:left w:val="nil"/>
              <w:bottom w:val="single" w:color="auto" w:sz="4" w:space="0"/>
              <w:right w:val="single" w:color="auto" w:sz="4" w:space="0"/>
            </w:tcBorders>
            <w:noWrap/>
            <w:vAlign w:val="center"/>
          </w:tcPr>
          <w:p w14:paraId="59B547EA">
            <w:pPr>
              <w:rPr>
                <w:rFonts w:ascii="宋体" w:cs="宋体"/>
                <w:color w:val="000000"/>
                <w:sz w:val="22"/>
                <w:highlight w:val="yellow"/>
              </w:rPr>
            </w:pPr>
            <w:r>
              <w:rPr>
                <w:rFonts w:hint="eastAsia" w:ascii="宋体" w:hAnsi="宋体" w:cs="宋体"/>
                <w:color w:val="000000"/>
                <w:sz w:val="22"/>
                <w:highlight w:val="none"/>
              </w:rPr>
              <w:t>补助拨放及时率</w:t>
            </w:r>
          </w:p>
        </w:tc>
        <w:tc>
          <w:tcPr>
            <w:tcW w:w="1282" w:type="dxa"/>
            <w:tcBorders>
              <w:top w:val="nil"/>
              <w:left w:val="nil"/>
              <w:bottom w:val="single" w:color="auto" w:sz="4" w:space="0"/>
              <w:right w:val="single" w:color="auto" w:sz="4" w:space="0"/>
            </w:tcBorders>
            <w:noWrap/>
            <w:vAlign w:val="center"/>
          </w:tcPr>
          <w:p w14:paraId="4BBCF862">
            <w:pPr>
              <w:jc w:val="center"/>
              <w:rPr>
                <w:rFonts w:hint="eastAsia" w:ascii="宋体" w:eastAsia="宋体" w:cs="宋体"/>
                <w:color w:val="000000"/>
                <w:sz w:val="22"/>
                <w:highlight w:val="none"/>
                <w:lang w:val="en-US" w:eastAsia="zh-CN"/>
              </w:rPr>
            </w:pPr>
            <w:r>
              <w:rPr>
                <w:rFonts w:eastAsia="Times New Roman"/>
                <w:color w:val="000000"/>
                <w:sz w:val="22"/>
                <w:highlight w:val="none"/>
              </w:rPr>
              <w:t>100</w:t>
            </w:r>
            <w:r>
              <w:rPr>
                <w:rFonts w:hint="eastAsia"/>
                <w:color w:val="000000"/>
                <w:sz w:val="22"/>
                <w:highlight w:val="none"/>
                <w:lang w:val="en-US" w:eastAsia="zh-CN"/>
              </w:rPr>
              <w:t>%</w:t>
            </w:r>
          </w:p>
        </w:tc>
        <w:tc>
          <w:tcPr>
            <w:tcW w:w="1039" w:type="dxa"/>
            <w:tcBorders>
              <w:top w:val="nil"/>
              <w:left w:val="nil"/>
              <w:bottom w:val="single" w:color="auto" w:sz="4" w:space="0"/>
              <w:right w:val="single" w:color="auto" w:sz="4" w:space="0"/>
            </w:tcBorders>
            <w:noWrap/>
            <w:vAlign w:val="center"/>
          </w:tcPr>
          <w:p w14:paraId="70C80836">
            <w:pPr>
              <w:jc w:val="center"/>
              <w:rPr>
                <w:rFonts w:hint="eastAsia" w:ascii="宋体" w:eastAsia="宋体" w:cs="宋体"/>
                <w:color w:val="000000"/>
                <w:sz w:val="22"/>
                <w:highlight w:val="none"/>
                <w:lang w:val="en-US" w:eastAsia="zh-CN"/>
              </w:rPr>
            </w:pPr>
            <w:r>
              <w:rPr>
                <w:rFonts w:eastAsia="Times New Roman"/>
                <w:color w:val="000000"/>
                <w:sz w:val="22"/>
                <w:highlight w:val="none"/>
              </w:rPr>
              <w:t>100</w:t>
            </w:r>
            <w:r>
              <w:rPr>
                <w:rFonts w:hint="eastAsia"/>
                <w:color w:val="000000"/>
                <w:sz w:val="22"/>
                <w:highlight w:val="none"/>
                <w:lang w:val="en-US" w:eastAsia="zh-CN"/>
              </w:rPr>
              <w:t>%</w:t>
            </w:r>
          </w:p>
        </w:tc>
        <w:tc>
          <w:tcPr>
            <w:tcW w:w="1267" w:type="dxa"/>
            <w:tcBorders>
              <w:top w:val="nil"/>
              <w:left w:val="nil"/>
              <w:bottom w:val="single" w:color="auto" w:sz="4" w:space="0"/>
              <w:right w:val="single" w:color="auto" w:sz="4" w:space="0"/>
            </w:tcBorders>
            <w:noWrap/>
            <w:vAlign w:val="center"/>
          </w:tcPr>
          <w:p w14:paraId="55BCDDF3">
            <w:pPr>
              <w:jc w:val="center"/>
              <w:rPr>
                <w:rFonts w:hint="default" w:ascii="宋体" w:eastAsia="宋体" w:cs="宋体"/>
                <w:color w:val="000000"/>
                <w:sz w:val="22"/>
                <w:highlight w:val="none"/>
                <w:lang w:val="en-US" w:eastAsia="zh-CN"/>
              </w:rPr>
            </w:pPr>
            <w:r>
              <w:rPr>
                <w:rFonts w:hint="eastAsia"/>
                <w:color w:val="000000"/>
                <w:sz w:val="22"/>
                <w:highlight w:val="none"/>
                <w:lang w:val="en-US" w:eastAsia="zh-CN"/>
              </w:rPr>
              <w:t>22</w:t>
            </w:r>
          </w:p>
        </w:tc>
      </w:tr>
      <w:tr w14:paraId="5DDF4764">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000000" w:sz="4" w:space="0"/>
              <w:right w:val="single" w:color="auto" w:sz="4" w:space="0"/>
            </w:tcBorders>
            <w:vAlign w:val="center"/>
          </w:tcPr>
          <w:p w14:paraId="449483DB">
            <w:pPr>
              <w:rPr>
                <w:rFonts w:ascii="宋体" w:cs="宋体"/>
                <w:color w:val="000000"/>
                <w:sz w:val="22"/>
              </w:rPr>
            </w:pPr>
          </w:p>
        </w:tc>
        <w:tc>
          <w:tcPr>
            <w:tcW w:w="1210" w:type="dxa"/>
            <w:tcBorders>
              <w:top w:val="nil"/>
              <w:left w:val="nil"/>
              <w:bottom w:val="single" w:color="auto" w:sz="4" w:space="0"/>
              <w:right w:val="single" w:color="auto" w:sz="4" w:space="0"/>
            </w:tcBorders>
            <w:vAlign w:val="center"/>
          </w:tcPr>
          <w:p w14:paraId="3C69ED1A">
            <w:pPr>
              <w:jc w:val="center"/>
              <w:rPr>
                <w:rFonts w:ascii="宋体" w:cs="宋体"/>
                <w:color w:val="000000"/>
                <w:sz w:val="22"/>
                <w:highlight w:val="none"/>
              </w:rPr>
            </w:pPr>
            <w:r>
              <w:rPr>
                <w:rFonts w:hint="eastAsia" w:ascii="宋体" w:hAnsi="宋体" w:cs="宋体"/>
                <w:color w:val="000000"/>
                <w:sz w:val="22"/>
                <w:highlight w:val="none"/>
              </w:rPr>
              <w:t>预算执行率指标（</w:t>
            </w:r>
            <w:r>
              <w:rPr>
                <w:rFonts w:ascii="Times New Roman" w:hAnsi="Times New Roman"/>
                <w:color w:val="000000"/>
                <w:sz w:val="22"/>
                <w:highlight w:val="none"/>
              </w:rPr>
              <w:t>10</w:t>
            </w:r>
            <w:r>
              <w:rPr>
                <w:rFonts w:hint="eastAsia" w:ascii="宋体" w:hAnsi="宋体" w:cs="宋体"/>
                <w:color w:val="000000"/>
                <w:sz w:val="22"/>
                <w:highlight w:val="none"/>
              </w:rPr>
              <w:t>分）</w:t>
            </w:r>
          </w:p>
        </w:tc>
        <w:tc>
          <w:tcPr>
            <w:tcW w:w="812" w:type="dxa"/>
            <w:tcBorders>
              <w:top w:val="nil"/>
              <w:left w:val="nil"/>
              <w:bottom w:val="single" w:color="auto" w:sz="4" w:space="0"/>
              <w:right w:val="single" w:color="auto" w:sz="4" w:space="0"/>
            </w:tcBorders>
            <w:vAlign w:val="center"/>
          </w:tcPr>
          <w:p w14:paraId="30A15F8A">
            <w:pPr>
              <w:jc w:val="center"/>
              <w:rPr>
                <w:rFonts w:ascii="宋体" w:cs="宋体"/>
                <w:color w:val="000000"/>
                <w:sz w:val="22"/>
                <w:highlight w:val="none"/>
              </w:rPr>
            </w:pPr>
            <w:r>
              <w:rPr>
                <w:rFonts w:hint="eastAsia" w:ascii="宋体" w:hAnsi="宋体" w:cs="宋体"/>
                <w:color w:val="000000"/>
                <w:sz w:val="22"/>
                <w:highlight w:val="none"/>
              </w:rPr>
              <w:t>预算</w:t>
            </w:r>
            <w:r>
              <w:rPr>
                <w:rFonts w:ascii="Times New Roman" w:hAnsi="Times New Roman"/>
                <w:color w:val="000000"/>
                <w:sz w:val="22"/>
                <w:highlight w:val="none"/>
              </w:rPr>
              <w:br w:type="textWrapping"/>
            </w:r>
            <w:r>
              <w:rPr>
                <w:rFonts w:hint="eastAsia" w:ascii="宋体" w:hAnsi="宋体" w:cs="宋体"/>
                <w:color w:val="000000"/>
                <w:sz w:val="22"/>
                <w:highlight w:val="none"/>
              </w:rPr>
              <w:t>执行率</w:t>
            </w:r>
          </w:p>
        </w:tc>
        <w:tc>
          <w:tcPr>
            <w:tcW w:w="2353" w:type="dxa"/>
            <w:gridSpan w:val="2"/>
            <w:tcBorders>
              <w:top w:val="single" w:color="auto" w:sz="4" w:space="0"/>
              <w:left w:val="nil"/>
              <w:bottom w:val="single" w:color="auto" w:sz="4" w:space="0"/>
              <w:right w:val="single" w:color="auto" w:sz="4" w:space="0"/>
            </w:tcBorders>
            <w:noWrap/>
            <w:vAlign w:val="center"/>
          </w:tcPr>
          <w:p w14:paraId="6F4EDD89">
            <w:pPr>
              <w:rPr>
                <w:rFonts w:ascii="宋体" w:cs="宋体"/>
                <w:color w:val="000000"/>
                <w:sz w:val="22"/>
                <w:highlight w:val="yellow"/>
              </w:rPr>
            </w:pPr>
            <w:r>
              <w:rPr>
                <w:rFonts w:hint="eastAsia" w:ascii="宋体" w:hAnsi="宋体" w:cs="宋体"/>
                <w:color w:val="000000"/>
                <w:sz w:val="22"/>
                <w:highlight w:val="none"/>
              </w:rPr>
              <w:t>项目是否按进度执行</w:t>
            </w:r>
          </w:p>
        </w:tc>
        <w:tc>
          <w:tcPr>
            <w:tcW w:w="1282" w:type="dxa"/>
            <w:tcBorders>
              <w:top w:val="nil"/>
              <w:left w:val="nil"/>
              <w:bottom w:val="single" w:color="auto" w:sz="4" w:space="0"/>
              <w:right w:val="single" w:color="auto" w:sz="4" w:space="0"/>
            </w:tcBorders>
            <w:noWrap/>
            <w:vAlign w:val="center"/>
          </w:tcPr>
          <w:p w14:paraId="3C760404">
            <w:pPr>
              <w:jc w:val="center"/>
              <w:rPr>
                <w:rFonts w:hint="default" w:ascii="宋体" w:eastAsia="宋体" w:cs="宋体"/>
                <w:color w:val="000000"/>
                <w:sz w:val="22"/>
                <w:highlight w:val="none"/>
                <w:lang w:val="en-US" w:eastAsia="zh-CN"/>
              </w:rPr>
            </w:pPr>
            <w:r>
              <w:rPr>
                <w:rFonts w:hint="eastAsia"/>
                <w:color w:val="000000"/>
                <w:sz w:val="22"/>
                <w:highlight w:val="none"/>
                <w:lang w:val="en-US" w:eastAsia="zh-CN"/>
              </w:rPr>
              <w:t>按要求进度完成</w:t>
            </w:r>
          </w:p>
        </w:tc>
        <w:tc>
          <w:tcPr>
            <w:tcW w:w="1039" w:type="dxa"/>
            <w:tcBorders>
              <w:top w:val="nil"/>
              <w:left w:val="nil"/>
              <w:bottom w:val="single" w:color="auto" w:sz="4" w:space="0"/>
              <w:right w:val="single" w:color="auto" w:sz="4" w:space="0"/>
            </w:tcBorders>
            <w:noWrap/>
            <w:vAlign w:val="center"/>
          </w:tcPr>
          <w:p w14:paraId="5DAD9657">
            <w:pPr>
              <w:jc w:val="center"/>
              <w:rPr>
                <w:rFonts w:ascii="宋体" w:cs="宋体"/>
                <w:color w:val="000000"/>
                <w:sz w:val="22"/>
                <w:highlight w:val="none"/>
              </w:rPr>
            </w:pPr>
            <w:r>
              <w:rPr>
                <w:rFonts w:hint="eastAsia" w:ascii="宋体" w:hAnsi="宋体" w:cs="宋体"/>
                <w:color w:val="000000"/>
                <w:sz w:val="22"/>
                <w:highlight w:val="none"/>
              </w:rPr>
              <w:t>完成</w:t>
            </w:r>
          </w:p>
        </w:tc>
        <w:tc>
          <w:tcPr>
            <w:tcW w:w="1267" w:type="dxa"/>
            <w:tcBorders>
              <w:top w:val="nil"/>
              <w:left w:val="nil"/>
              <w:bottom w:val="single" w:color="auto" w:sz="4" w:space="0"/>
              <w:right w:val="single" w:color="auto" w:sz="4" w:space="0"/>
            </w:tcBorders>
            <w:noWrap/>
            <w:vAlign w:val="center"/>
          </w:tcPr>
          <w:p w14:paraId="2001BB88">
            <w:pPr>
              <w:jc w:val="center"/>
              <w:rPr>
                <w:rFonts w:ascii="宋体" w:cs="宋体"/>
                <w:color w:val="000000"/>
                <w:sz w:val="22"/>
                <w:highlight w:val="none"/>
              </w:rPr>
            </w:pPr>
            <w:r>
              <w:rPr>
                <w:rFonts w:eastAsia="Times New Roman"/>
                <w:color w:val="000000"/>
                <w:sz w:val="22"/>
                <w:highlight w:val="none"/>
              </w:rPr>
              <w:t>10</w:t>
            </w:r>
          </w:p>
        </w:tc>
      </w:tr>
      <w:tr w14:paraId="17FD1E1B">
        <w:tblPrEx>
          <w:tblCellMar>
            <w:top w:w="0" w:type="dxa"/>
            <w:left w:w="108" w:type="dxa"/>
            <w:bottom w:w="0" w:type="dxa"/>
            <w:right w:w="108" w:type="dxa"/>
          </w:tblCellMar>
        </w:tblPrEx>
        <w:trPr>
          <w:trHeight w:val="334" w:hRule="atLeast"/>
        </w:trPr>
        <w:tc>
          <w:tcPr>
            <w:tcW w:w="1297" w:type="dxa"/>
            <w:vMerge w:val="continue"/>
            <w:tcBorders>
              <w:top w:val="nil"/>
              <w:left w:val="single" w:color="auto" w:sz="4" w:space="0"/>
              <w:bottom w:val="single" w:color="000000" w:sz="4" w:space="0"/>
              <w:right w:val="single" w:color="auto" w:sz="4" w:space="0"/>
            </w:tcBorders>
            <w:vAlign w:val="center"/>
          </w:tcPr>
          <w:p w14:paraId="2147F5A0">
            <w:pPr>
              <w:rPr>
                <w:rFonts w:ascii="宋体" w:cs="宋体"/>
                <w:color w:val="000000"/>
                <w:sz w:val="22"/>
              </w:rPr>
            </w:pPr>
          </w:p>
        </w:tc>
        <w:tc>
          <w:tcPr>
            <w:tcW w:w="1210" w:type="dxa"/>
            <w:tcBorders>
              <w:top w:val="nil"/>
              <w:left w:val="nil"/>
              <w:bottom w:val="nil"/>
              <w:right w:val="single" w:color="auto" w:sz="4" w:space="0"/>
            </w:tcBorders>
            <w:vAlign w:val="center"/>
          </w:tcPr>
          <w:p w14:paraId="5E7F04CE">
            <w:pPr>
              <w:jc w:val="center"/>
              <w:rPr>
                <w:rFonts w:ascii="宋体" w:cs="宋体"/>
                <w:color w:val="000000"/>
                <w:sz w:val="22"/>
                <w:highlight w:val="none"/>
              </w:rPr>
            </w:pPr>
            <w:r>
              <w:rPr>
                <w:rFonts w:hint="eastAsia" w:ascii="宋体" w:hAnsi="宋体" w:cs="宋体"/>
                <w:color w:val="000000"/>
                <w:sz w:val="22"/>
                <w:highlight w:val="none"/>
              </w:rPr>
              <w:t>效益指标</w:t>
            </w:r>
            <w:r>
              <w:rPr>
                <w:rFonts w:hint="eastAsia" w:ascii="宋体" w:hAnsi="宋体" w:cs="宋体"/>
                <w:color w:val="000000"/>
                <w:sz w:val="22"/>
                <w:highlight w:val="none"/>
                <w:lang w:eastAsia="zh-CN"/>
              </w:rPr>
              <w:t>（</w:t>
            </w:r>
            <w:r>
              <w:rPr>
                <w:rFonts w:hint="eastAsia" w:ascii="宋体" w:hAnsi="宋体" w:cs="宋体"/>
                <w:color w:val="000000"/>
                <w:sz w:val="22"/>
                <w:highlight w:val="none"/>
                <w:lang w:val="en-US" w:eastAsia="zh-CN"/>
              </w:rPr>
              <w:t>40分</w:t>
            </w:r>
            <w:r>
              <w:rPr>
                <w:rFonts w:hint="eastAsia" w:ascii="宋体" w:hAnsi="宋体" w:cs="宋体"/>
                <w:color w:val="000000"/>
                <w:sz w:val="22"/>
                <w:highlight w:val="none"/>
                <w:lang w:eastAsia="zh-CN"/>
              </w:rPr>
              <w:t>）</w:t>
            </w:r>
            <w:r>
              <w:rPr>
                <w:rFonts w:hint="eastAsia" w:ascii="宋体" w:hAnsi="宋体" w:cs="宋体"/>
                <w:color w:val="000000"/>
                <w:sz w:val="22"/>
                <w:highlight w:val="none"/>
              </w:rPr>
              <w:t>　</w:t>
            </w:r>
          </w:p>
        </w:tc>
        <w:tc>
          <w:tcPr>
            <w:tcW w:w="812" w:type="dxa"/>
            <w:tcBorders>
              <w:top w:val="nil"/>
              <w:left w:val="nil"/>
              <w:bottom w:val="single" w:color="auto" w:sz="4" w:space="0"/>
              <w:right w:val="single" w:color="auto" w:sz="4" w:space="0"/>
            </w:tcBorders>
            <w:vAlign w:val="center"/>
          </w:tcPr>
          <w:p w14:paraId="58E7DF89">
            <w:pPr>
              <w:jc w:val="center"/>
              <w:rPr>
                <w:rFonts w:ascii="宋体" w:cs="宋体"/>
                <w:color w:val="000000"/>
                <w:sz w:val="22"/>
                <w:highlight w:val="none"/>
              </w:rPr>
            </w:pPr>
            <w:r>
              <w:rPr>
                <w:rFonts w:hint="eastAsia" w:ascii="宋体" w:hAnsi="宋体" w:cs="宋体"/>
                <w:color w:val="000000"/>
                <w:sz w:val="22"/>
                <w:highlight w:val="none"/>
              </w:rPr>
              <w:t>社会效益指标</w:t>
            </w:r>
          </w:p>
        </w:tc>
        <w:tc>
          <w:tcPr>
            <w:tcW w:w="2353" w:type="dxa"/>
            <w:gridSpan w:val="2"/>
            <w:tcBorders>
              <w:top w:val="single" w:color="auto" w:sz="4" w:space="0"/>
              <w:left w:val="nil"/>
              <w:bottom w:val="single" w:color="auto" w:sz="4" w:space="0"/>
              <w:right w:val="single" w:color="auto" w:sz="4" w:space="0"/>
            </w:tcBorders>
            <w:noWrap/>
            <w:vAlign w:val="center"/>
          </w:tcPr>
          <w:p w14:paraId="52F248D7">
            <w:pPr>
              <w:rPr>
                <w:rFonts w:ascii="宋体" w:cs="宋体"/>
                <w:color w:val="000000"/>
                <w:sz w:val="22"/>
                <w:highlight w:val="yellow"/>
              </w:rPr>
            </w:pPr>
            <w:r>
              <w:rPr>
                <w:rFonts w:hint="eastAsia" w:ascii="宋体" w:hAnsi="宋体" w:cs="宋体"/>
                <w:color w:val="000000"/>
                <w:sz w:val="22"/>
                <w:highlight w:val="none"/>
              </w:rPr>
              <w:t>提升我区整体形象</w:t>
            </w:r>
          </w:p>
        </w:tc>
        <w:tc>
          <w:tcPr>
            <w:tcW w:w="1282" w:type="dxa"/>
            <w:tcBorders>
              <w:top w:val="nil"/>
              <w:left w:val="nil"/>
              <w:bottom w:val="single" w:color="auto" w:sz="4" w:space="0"/>
              <w:right w:val="single" w:color="auto" w:sz="4" w:space="0"/>
            </w:tcBorders>
            <w:vAlign w:val="center"/>
          </w:tcPr>
          <w:p w14:paraId="1F431908">
            <w:pPr>
              <w:jc w:val="center"/>
              <w:rPr>
                <w:rFonts w:ascii="宋体" w:cs="宋体"/>
                <w:color w:val="000000"/>
                <w:sz w:val="22"/>
                <w:highlight w:val="none"/>
              </w:rPr>
            </w:pPr>
            <w:r>
              <w:rPr>
                <w:rFonts w:hint="eastAsia" w:ascii="宋体" w:hAnsi="宋体" w:cs="宋体"/>
                <w:color w:val="000000"/>
                <w:sz w:val="22"/>
                <w:highlight w:val="none"/>
              </w:rPr>
              <w:t>通过发放补助提升职工幸福感</w:t>
            </w:r>
          </w:p>
        </w:tc>
        <w:tc>
          <w:tcPr>
            <w:tcW w:w="1039" w:type="dxa"/>
            <w:tcBorders>
              <w:top w:val="nil"/>
              <w:left w:val="nil"/>
              <w:bottom w:val="single" w:color="auto" w:sz="4" w:space="0"/>
              <w:right w:val="single" w:color="auto" w:sz="4" w:space="0"/>
            </w:tcBorders>
            <w:noWrap/>
            <w:vAlign w:val="center"/>
          </w:tcPr>
          <w:p w14:paraId="0E3D2219">
            <w:pPr>
              <w:jc w:val="center"/>
              <w:rPr>
                <w:rFonts w:ascii="宋体" w:cs="宋体"/>
                <w:color w:val="000000"/>
                <w:sz w:val="22"/>
                <w:highlight w:val="none"/>
              </w:rPr>
            </w:pPr>
            <w:r>
              <w:rPr>
                <w:rFonts w:hint="eastAsia" w:ascii="宋体" w:hAnsi="宋体" w:cs="宋体"/>
                <w:color w:val="000000"/>
                <w:sz w:val="22"/>
                <w:highlight w:val="none"/>
              </w:rPr>
              <w:t>完成</w:t>
            </w:r>
          </w:p>
        </w:tc>
        <w:tc>
          <w:tcPr>
            <w:tcW w:w="1267" w:type="dxa"/>
            <w:tcBorders>
              <w:top w:val="nil"/>
              <w:left w:val="nil"/>
              <w:bottom w:val="single" w:color="auto" w:sz="4" w:space="0"/>
              <w:right w:val="single" w:color="auto" w:sz="4" w:space="0"/>
            </w:tcBorders>
            <w:noWrap/>
            <w:vAlign w:val="center"/>
          </w:tcPr>
          <w:p w14:paraId="61699849">
            <w:pPr>
              <w:jc w:val="center"/>
              <w:rPr>
                <w:rFonts w:ascii="宋体" w:cs="宋体"/>
                <w:color w:val="000000"/>
                <w:sz w:val="22"/>
                <w:highlight w:val="none"/>
              </w:rPr>
            </w:pPr>
            <w:r>
              <w:rPr>
                <w:rFonts w:eastAsia="Times New Roman"/>
                <w:color w:val="000000"/>
                <w:sz w:val="22"/>
                <w:highlight w:val="none"/>
              </w:rPr>
              <w:t>34</w:t>
            </w:r>
          </w:p>
        </w:tc>
      </w:tr>
      <w:tr w14:paraId="09BB8068">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000000" w:sz="4" w:space="0"/>
              <w:right w:val="single" w:color="auto" w:sz="4" w:space="0"/>
            </w:tcBorders>
            <w:vAlign w:val="center"/>
          </w:tcPr>
          <w:p w14:paraId="2FE6F037">
            <w:pPr>
              <w:rPr>
                <w:rFonts w:ascii="宋体" w:cs="宋体"/>
                <w:color w:val="000000"/>
                <w:sz w:val="22"/>
              </w:rPr>
            </w:pPr>
          </w:p>
        </w:tc>
        <w:tc>
          <w:tcPr>
            <w:tcW w:w="1210" w:type="dxa"/>
            <w:tcBorders>
              <w:top w:val="single" w:color="auto" w:sz="4" w:space="0"/>
              <w:left w:val="nil"/>
              <w:bottom w:val="single" w:color="auto" w:sz="4" w:space="0"/>
              <w:right w:val="single" w:color="auto" w:sz="4" w:space="0"/>
            </w:tcBorders>
            <w:vAlign w:val="center"/>
          </w:tcPr>
          <w:p w14:paraId="6946D185">
            <w:pPr>
              <w:jc w:val="center"/>
              <w:rPr>
                <w:rFonts w:ascii="宋体" w:cs="宋体"/>
                <w:color w:val="000000"/>
                <w:sz w:val="22"/>
                <w:highlight w:val="none"/>
              </w:rPr>
            </w:pPr>
            <w:r>
              <w:rPr>
                <w:rFonts w:hint="eastAsia" w:ascii="宋体" w:hAnsi="宋体" w:cs="宋体"/>
                <w:color w:val="000000"/>
                <w:sz w:val="22"/>
                <w:highlight w:val="none"/>
              </w:rPr>
              <w:t>满意度指标</w:t>
            </w:r>
            <w:r>
              <w:rPr>
                <w:rFonts w:ascii="Times New Roman" w:hAnsi="Times New Roman"/>
                <w:color w:val="000000"/>
                <w:sz w:val="22"/>
                <w:highlight w:val="none"/>
              </w:rPr>
              <w:br w:type="textWrapping"/>
            </w:r>
            <w:r>
              <w:rPr>
                <w:rFonts w:hint="eastAsia" w:ascii="宋体" w:hAnsi="宋体" w:cs="宋体"/>
                <w:color w:val="000000"/>
                <w:sz w:val="22"/>
                <w:highlight w:val="none"/>
              </w:rPr>
              <w:t>（</w:t>
            </w:r>
            <w:r>
              <w:rPr>
                <w:rFonts w:ascii="Times New Roman" w:hAnsi="Times New Roman"/>
                <w:color w:val="000000"/>
                <w:sz w:val="22"/>
                <w:highlight w:val="none"/>
              </w:rPr>
              <w:t>10</w:t>
            </w:r>
            <w:r>
              <w:rPr>
                <w:rFonts w:hint="eastAsia" w:ascii="宋体" w:hAnsi="宋体" w:cs="宋体"/>
                <w:color w:val="000000"/>
                <w:sz w:val="22"/>
                <w:highlight w:val="none"/>
              </w:rPr>
              <w:t>分）</w:t>
            </w:r>
          </w:p>
        </w:tc>
        <w:tc>
          <w:tcPr>
            <w:tcW w:w="812" w:type="dxa"/>
            <w:tcBorders>
              <w:top w:val="nil"/>
              <w:left w:val="nil"/>
              <w:bottom w:val="single" w:color="auto" w:sz="4" w:space="0"/>
              <w:right w:val="single" w:color="auto" w:sz="4" w:space="0"/>
            </w:tcBorders>
            <w:vAlign w:val="center"/>
          </w:tcPr>
          <w:p w14:paraId="5F4CE187">
            <w:pPr>
              <w:jc w:val="center"/>
              <w:rPr>
                <w:rFonts w:ascii="宋体" w:cs="宋体"/>
                <w:color w:val="000000"/>
                <w:sz w:val="22"/>
                <w:highlight w:val="none"/>
              </w:rPr>
            </w:pPr>
            <w:r>
              <w:rPr>
                <w:rFonts w:hint="eastAsia" w:ascii="宋体" w:hAnsi="宋体" w:cs="宋体"/>
                <w:color w:val="000000"/>
                <w:sz w:val="22"/>
                <w:highlight w:val="none"/>
              </w:rPr>
              <w:t>满意度</w:t>
            </w:r>
            <w:r>
              <w:rPr>
                <w:rFonts w:ascii="Times New Roman" w:hAnsi="Times New Roman"/>
                <w:color w:val="000000"/>
                <w:sz w:val="22"/>
                <w:highlight w:val="none"/>
              </w:rPr>
              <w:br w:type="textWrapping"/>
            </w:r>
            <w:r>
              <w:rPr>
                <w:rFonts w:hint="eastAsia" w:ascii="宋体" w:hAnsi="宋体" w:cs="宋体"/>
                <w:color w:val="000000"/>
                <w:sz w:val="22"/>
                <w:highlight w:val="none"/>
              </w:rPr>
              <w:t>指标</w:t>
            </w:r>
          </w:p>
        </w:tc>
        <w:tc>
          <w:tcPr>
            <w:tcW w:w="2353" w:type="dxa"/>
            <w:gridSpan w:val="2"/>
            <w:tcBorders>
              <w:top w:val="single" w:color="auto" w:sz="4" w:space="0"/>
              <w:left w:val="nil"/>
              <w:bottom w:val="single" w:color="auto" w:sz="4" w:space="0"/>
              <w:right w:val="single" w:color="auto" w:sz="4" w:space="0"/>
            </w:tcBorders>
            <w:noWrap/>
            <w:vAlign w:val="center"/>
          </w:tcPr>
          <w:p w14:paraId="7FB3E259">
            <w:pPr>
              <w:rPr>
                <w:rFonts w:ascii="宋体" w:cs="宋体"/>
                <w:color w:val="000000"/>
                <w:sz w:val="22"/>
                <w:highlight w:val="yellow"/>
              </w:rPr>
            </w:pPr>
            <w:r>
              <w:rPr>
                <w:rFonts w:hint="eastAsia" w:ascii="宋体" w:hAnsi="宋体" w:cs="宋体"/>
                <w:color w:val="000000"/>
                <w:sz w:val="22"/>
                <w:highlight w:val="none"/>
              </w:rPr>
              <w:t>职工幸福感提升</w:t>
            </w:r>
          </w:p>
        </w:tc>
        <w:tc>
          <w:tcPr>
            <w:tcW w:w="1282" w:type="dxa"/>
            <w:tcBorders>
              <w:top w:val="nil"/>
              <w:left w:val="nil"/>
              <w:bottom w:val="single" w:color="auto" w:sz="4" w:space="0"/>
              <w:right w:val="single" w:color="auto" w:sz="4" w:space="0"/>
            </w:tcBorders>
            <w:noWrap/>
            <w:vAlign w:val="center"/>
          </w:tcPr>
          <w:p w14:paraId="35E49D03">
            <w:pPr>
              <w:jc w:val="center"/>
              <w:rPr>
                <w:rFonts w:ascii="宋体" w:cs="宋体"/>
                <w:color w:val="000000"/>
                <w:sz w:val="22"/>
                <w:highlight w:val="yellow"/>
              </w:rPr>
            </w:pPr>
            <w:r>
              <w:rPr>
                <w:rFonts w:eastAsia="Times New Roman"/>
                <w:color w:val="000000"/>
                <w:sz w:val="22"/>
                <w:highlight w:val="none"/>
              </w:rPr>
              <w:t>&gt;90</w:t>
            </w:r>
          </w:p>
        </w:tc>
        <w:tc>
          <w:tcPr>
            <w:tcW w:w="1039" w:type="dxa"/>
            <w:tcBorders>
              <w:top w:val="nil"/>
              <w:left w:val="nil"/>
              <w:bottom w:val="single" w:color="auto" w:sz="4" w:space="0"/>
              <w:right w:val="single" w:color="auto" w:sz="4" w:space="0"/>
            </w:tcBorders>
            <w:noWrap/>
            <w:vAlign w:val="center"/>
          </w:tcPr>
          <w:p w14:paraId="30A2AC9C">
            <w:pPr>
              <w:jc w:val="center"/>
              <w:rPr>
                <w:rFonts w:hint="eastAsia" w:ascii="宋体" w:eastAsia="宋体" w:cs="宋体"/>
                <w:color w:val="000000"/>
                <w:sz w:val="22"/>
                <w:highlight w:val="yellow"/>
                <w:lang w:eastAsia="zh-CN"/>
              </w:rPr>
            </w:pPr>
            <w:r>
              <w:rPr>
                <w:rFonts w:eastAsia="Times New Roman"/>
                <w:color w:val="000000"/>
                <w:sz w:val="22"/>
                <w:highlight w:val="none"/>
              </w:rPr>
              <w:t>9</w:t>
            </w:r>
            <w:r>
              <w:rPr>
                <w:rFonts w:hint="eastAsia"/>
                <w:color w:val="000000"/>
                <w:sz w:val="22"/>
                <w:highlight w:val="none"/>
                <w:lang w:val="en-US" w:eastAsia="zh-CN"/>
              </w:rPr>
              <w:t>1</w:t>
            </w:r>
          </w:p>
        </w:tc>
        <w:tc>
          <w:tcPr>
            <w:tcW w:w="1267" w:type="dxa"/>
            <w:tcBorders>
              <w:top w:val="nil"/>
              <w:left w:val="nil"/>
              <w:bottom w:val="single" w:color="auto" w:sz="4" w:space="0"/>
              <w:right w:val="single" w:color="auto" w:sz="4" w:space="0"/>
            </w:tcBorders>
            <w:noWrap/>
            <w:vAlign w:val="center"/>
          </w:tcPr>
          <w:p w14:paraId="4E4836BD">
            <w:pPr>
              <w:jc w:val="center"/>
              <w:rPr>
                <w:rFonts w:ascii="宋体" w:cs="宋体"/>
                <w:color w:val="000000"/>
                <w:sz w:val="22"/>
                <w:highlight w:val="none"/>
              </w:rPr>
            </w:pPr>
            <w:r>
              <w:rPr>
                <w:rFonts w:eastAsia="Times New Roman"/>
                <w:color w:val="000000"/>
                <w:sz w:val="22"/>
                <w:highlight w:val="none"/>
              </w:rPr>
              <w:t>8</w:t>
            </w:r>
          </w:p>
        </w:tc>
      </w:tr>
      <w:tr w14:paraId="6A3F7839">
        <w:tblPrEx>
          <w:tblCellMar>
            <w:top w:w="0" w:type="dxa"/>
            <w:left w:w="108" w:type="dxa"/>
            <w:bottom w:w="0" w:type="dxa"/>
            <w:right w:w="108" w:type="dxa"/>
          </w:tblCellMar>
        </w:tblPrEx>
        <w:trPr>
          <w:trHeight w:val="321" w:hRule="atLeast"/>
        </w:trPr>
        <w:tc>
          <w:tcPr>
            <w:tcW w:w="1297" w:type="dxa"/>
            <w:vMerge w:val="continue"/>
            <w:tcBorders>
              <w:top w:val="nil"/>
              <w:left w:val="single" w:color="auto" w:sz="4" w:space="0"/>
              <w:bottom w:val="single" w:color="000000" w:sz="4" w:space="0"/>
              <w:right w:val="single" w:color="auto" w:sz="4" w:space="0"/>
            </w:tcBorders>
            <w:vAlign w:val="center"/>
          </w:tcPr>
          <w:p w14:paraId="307652BB">
            <w:pPr>
              <w:rPr>
                <w:rFonts w:ascii="宋体" w:cs="宋体"/>
                <w:color w:val="000000"/>
                <w:sz w:val="22"/>
              </w:rPr>
            </w:pPr>
          </w:p>
        </w:tc>
        <w:tc>
          <w:tcPr>
            <w:tcW w:w="6696" w:type="dxa"/>
            <w:gridSpan w:val="6"/>
            <w:tcBorders>
              <w:top w:val="single" w:color="auto" w:sz="4" w:space="0"/>
              <w:left w:val="nil"/>
              <w:bottom w:val="single" w:color="auto" w:sz="4" w:space="0"/>
              <w:right w:val="single" w:color="auto" w:sz="4" w:space="0"/>
            </w:tcBorders>
            <w:noWrap/>
            <w:vAlign w:val="center"/>
          </w:tcPr>
          <w:p w14:paraId="26BEDBA5">
            <w:pPr>
              <w:jc w:val="center"/>
              <w:rPr>
                <w:rFonts w:ascii="宋体" w:cs="宋体"/>
                <w:color w:val="000000"/>
                <w:sz w:val="22"/>
              </w:rPr>
            </w:pPr>
            <w:r>
              <w:rPr>
                <w:rFonts w:hint="eastAsia" w:ascii="宋体" w:hAnsi="宋体" w:cs="宋体"/>
                <w:color w:val="000000"/>
                <w:sz w:val="22"/>
              </w:rPr>
              <w:t>总分</w:t>
            </w:r>
          </w:p>
        </w:tc>
        <w:tc>
          <w:tcPr>
            <w:tcW w:w="1267" w:type="dxa"/>
            <w:tcBorders>
              <w:top w:val="nil"/>
              <w:left w:val="nil"/>
              <w:bottom w:val="single" w:color="auto" w:sz="4" w:space="0"/>
              <w:right w:val="single" w:color="auto" w:sz="4" w:space="0"/>
            </w:tcBorders>
            <w:noWrap/>
            <w:vAlign w:val="center"/>
          </w:tcPr>
          <w:p w14:paraId="5CFBA9BA">
            <w:pPr>
              <w:jc w:val="center"/>
              <w:rPr>
                <w:rFonts w:hint="default" w:ascii="宋体" w:eastAsia="宋体" w:cs="宋体"/>
                <w:color w:val="000000"/>
                <w:sz w:val="22"/>
                <w:lang w:val="en-US" w:eastAsia="zh-CN"/>
              </w:rPr>
            </w:pPr>
            <w:r>
              <w:rPr>
                <w:rFonts w:hint="eastAsia"/>
                <w:color w:val="000000"/>
                <w:sz w:val="22"/>
                <w:lang w:val="en-US" w:eastAsia="zh-CN"/>
              </w:rPr>
              <w:t>96</w:t>
            </w:r>
          </w:p>
        </w:tc>
      </w:tr>
      <w:tr w14:paraId="1397C0FF">
        <w:tblPrEx>
          <w:tblCellMar>
            <w:top w:w="0" w:type="dxa"/>
            <w:left w:w="108" w:type="dxa"/>
            <w:bottom w:w="0" w:type="dxa"/>
            <w:right w:w="108" w:type="dxa"/>
          </w:tblCellMar>
        </w:tblPrEx>
        <w:trPr>
          <w:trHeight w:val="334" w:hRule="atLeast"/>
        </w:trPr>
        <w:tc>
          <w:tcPr>
            <w:tcW w:w="1297" w:type="dxa"/>
            <w:tcBorders>
              <w:top w:val="nil"/>
              <w:left w:val="single" w:color="auto" w:sz="4" w:space="0"/>
              <w:bottom w:val="single" w:color="auto" w:sz="4" w:space="0"/>
              <w:right w:val="single" w:color="auto" w:sz="4" w:space="0"/>
            </w:tcBorders>
            <w:vAlign w:val="center"/>
          </w:tcPr>
          <w:p w14:paraId="6C5F6E4B">
            <w:pPr>
              <w:jc w:val="center"/>
              <w:rPr>
                <w:rFonts w:ascii="宋体" w:cs="宋体"/>
                <w:color w:val="000000"/>
                <w:sz w:val="22"/>
              </w:rPr>
            </w:pPr>
            <w:r>
              <w:rPr>
                <w:rFonts w:hint="eastAsia" w:ascii="宋体" w:hAnsi="宋体" w:cs="宋体"/>
                <w:color w:val="000000"/>
                <w:sz w:val="22"/>
              </w:rPr>
              <w:t>五、存在问题、原因及下一步整改措施</w:t>
            </w:r>
          </w:p>
        </w:tc>
        <w:tc>
          <w:tcPr>
            <w:tcW w:w="7963" w:type="dxa"/>
            <w:gridSpan w:val="7"/>
            <w:tcBorders>
              <w:top w:val="single" w:color="auto" w:sz="4" w:space="0"/>
              <w:left w:val="nil"/>
              <w:bottom w:val="single" w:color="auto" w:sz="4" w:space="0"/>
              <w:right w:val="single" w:color="auto" w:sz="4" w:space="0"/>
            </w:tcBorders>
            <w:vAlign w:val="center"/>
          </w:tcPr>
          <w:p w14:paraId="43F17204">
            <w:pPr>
              <w:rPr>
                <w:rFonts w:hint="eastAsia" w:ascii="宋体" w:eastAsia="宋体" w:cs="宋体"/>
                <w:color w:val="000000"/>
                <w:sz w:val="22"/>
                <w:lang w:eastAsia="zh-CN"/>
              </w:rPr>
            </w:pPr>
            <w:r>
              <w:rPr>
                <w:rFonts w:hint="eastAsia" w:ascii="宋体" w:cs="宋体"/>
                <w:color w:val="000000"/>
                <w:sz w:val="22"/>
                <w:lang w:val="en-US" w:eastAsia="zh-CN"/>
              </w:rPr>
              <w:t>严格落实</w:t>
            </w:r>
            <w:r>
              <w:rPr>
                <w:rFonts w:hint="eastAsia" w:ascii="宋体" w:cs="宋体"/>
                <w:color w:val="000000"/>
                <w:sz w:val="22"/>
              </w:rPr>
              <w:t>各单位和乡镇上报人员数量，确保补助尽可能</w:t>
            </w:r>
            <w:r>
              <w:rPr>
                <w:rFonts w:hint="eastAsia" w:ascii="宋体" w:cs="宋体"/>
                <w:color w:val="000000"/>
                <w:sz w:val="22"/>
                <w:lang w:val="en-US" w:eastAsia="zh-CN"/>
              </w:rPr>
              <w:t>多</w:t>
            </w:r>
            <w:r>
              <w:rPr>
                <w:rFonts w:hint="eastAsia" w:ascii="宋体" w:cs="宋体"/>
                <w:color w:val="000000"/>
                <w:sz w:val="22"/>
              </w:rPr>
              <w:t>的覆盖</w:t>
            </w:r>
            <w:r>
              <w:rPr>
                <w:rFonts w:hint="eastAsia" w:ascii="宋体" w:cs="宋体"/>
                <w:color w:val="000000"/>
                <w:sz w:val="22"/>
                <w:lang w:eastAsia="zh-CN"/>
              </w:rPr>
              <w:t>。</w:t>
            </w:r>
          </w:p>
        </w:tc>
      </w:tr>
      <w:tr w14:paraId="432DEC9D">
        <w:tblPrEx>
          <w:tblCellMar>
            <w:top w:w="0" w:type="dxa"/>
            <w:left w:w="108" w:type="dxa"/>
            <w:bottom w:w="0" w:type="dxa"/>
            <w:right w:w="108" w:type="dxa"/>
          </w:tblCellMar>
        </w:tblPrEx>
        <w:trPr>
          <w:trHeight w:val="114" w:hRule="atLeast"/>
        </w:trPr>
        <w:tc>
          <w:tcPr>
            <w:tcW w:w="1297" w:type="dxa"/>
            <w:tcBorders>
              <w:top w:val="nil"/>
              <w:left w:val="nil"/>
              <w:bottom w:val="nil"/>
              <w:right w:val="nil"/>
            </w:tcBorders>
            <w:noWrap/>
            <w:vAlign w:val="center"/>
          </w:tcPr>
          <w:p w14:paraId="48B011CA">
            <w:pPr>
              <w:rPr>
                <w:rFonts w:ascii="宋体" w:cs="宋体"/>
                <w:color w:val="000000"/>
                <w:sz w:val="22"/>
              </w:rPr>
            </w:pPr>
            <w:r>
              <w:rPr>
                <w:rFonts w:hint="eastAsia" w:ascii="宋体" w:hAnsi="宋体" w:cs="宋体"/>
                <w:color w:val="000000"/>
                <w:sz w:val="22"/>
              </w:rPr>
              <w:t>填报人：</w:t>
            </w:r>
          </w:p>
        </w:tc>
        <w:tc>
          <w:tcPr>
            <w:tcW w:w="1210" w:type="dxa"/>
            <w:tcBorders>
              <w:top w:val="nil"/>
              <w:left w:val="nil"/>
              <w:bottom w:val="nil"/>
              <w:right w:val="nil"/>
            </w:tcBorders>
            <w:noWrap/>
            <w:vAlign w:val="center"/>
          </w:tcPr>
          <w:p w14:paraId="7F173C27">
            <w:pPr>
              <w:rPr>
                <w:rFonts w:hint="eastAsia" w:ascii="宋体" w:eastAsia="宋体" w:cs="宋体"/>
                <w:color w:val="000000"/>
                <w:sz w:val="22"/>
                <w:lang w:val="en-US" w:eastAsia="zh-CN"/>
              </w:rPr>
            </w:pPr>
            <w:r>
              <w:rPr>
                <w:rFonts w:hint="eastAsia" w:ascii="宋体" w:hAnsi="宋体" w:cs="宋体"/>
                <w:color w:val="000000"/>
                <w:sz w:val="22"/>
                <w:lang w:val="en-US" w:eastAsia="zh-CN"/>
              </w:rPr>
              <w:t>尹壮壮</w:t>
            </w:r>
          </w:p>
        </w:tc>
        <w:tc>
          <w:tcPr>
            <w:tcW w:w="812" w:type="dxa"/>
            <w:tcBorders>
              <w:top w:val="nil"/>
              <w:left w:val="nil"/>
              <w:bottom w:val="nil"/>
              <w:right w:val="nil"/>
            </w:tcBorders>
            <w:noWrap/>
            <w:vAlign w:val="center"/>
          </w:tcPr>
          <w:p w14:paraId="4F4BCD45">
            <w:pPr>
              <w:rPr>
                <w:rFonts w:ascii="宋体" w:cs="宋体"/>
                <w:color w:val="000000"/>
                <w:sz w:val="22"/>
              </w:rPr>
            </w:pPr>
          </w:p>
        </w:tc>
        <w:tc>
          <w:tcPr>
            <w:tcW w:w="1306" w:type="dxa"/>
            <w:tcBorders>
              <w:top w:val="nil"/>
              <w:left w:val="nil"/>
              <w:bottom w:val="nil"/>
              <w:right w:val="nil"/>
            </w:tcBorders>
            <w:noWrap/>
            <w:vAlign w:val="center"/>
          </w:tcPr>
          <w:p w14:paraId="29BE6892">
            <w:pPr>
              <w:rPr>
                <w:rFonts w:ascii="宋体" w:cs="宋体"/>
                <w:color w:val="000000"/>
                <w:sz w:val="22"/>
              </w:rPr>
            </w:pPr>
          </w:p>
        </w:tc>
        <w:tc>
          <w:tcPr>
            <w:tcW w:w="1047" w:type="dxa"/>
            <w:tcBorders>
              <w:top w:val="nil"/>
              <w:left w:val="nil"/>
              <w:bottom w:val="nil"/>
              <w:right w:val="nil"/>
            </w:tcBorders>
            <w:noWrap/>
            <w:vAlign w:val="center"/>
          </w:tcPr>
          <w:p w14:paraId="1A8FD9C5">
            <w:pPr>
              <w:rPr>
                <w:rFonts w:ascii="宋体" w:cs="宋体"/>
                <w:color w:val="000000"/>
                <w:sz w:val="22"/>
              </w:rPr>
            </w:pPr>
            <w:r>
              <w:rPr>
                <w:rFonts w:hint="eastAsia" w:ascii="宋体" w:hAnsi="宋体" w:cs="宋体"/>
                <w:color w:val="000000"/>
                <w:sz w:val="22"/>
              </w:rPr>
              <w:t>联系电话：</w:t>
            </w:r>
          </w:p>
        </w:tc>
        <w:tc>
          <w:tcPr>
            <w:tcW w:w="1282" w:type="dxa"/>
            <w:tcBorders>
              <w:top w:val="nil"/>
              <w:left w:val="nil"/>
              <w:bottom w:val="nil"/>
              <w:right w:val="nil"/>
            </w:tcBorders>
            <w:noWrap/>
            <w:vAlign w:val="center"/>
          </w:tcPr>
          <w:p w14:paraId="1F32CB47">
            <w:pPr>
              <w:jc w:val="right"/>
              <w:rPr>
                <w:rFonts w:hint="default" w:ascii="宋体" w:eastAsia="宋体" w:cs="宋体"/>
                <w:color w:val="000000"/>
                <w:sz w:val="22"/>
                <w:lang w:val="en-US" w:eastAsia="zh-CN"/>
              </w:rPr>
            </w:pPr>
            <w:r>
              <w:rPr>
                <w:rFonts w:hint="eastAsia" w:ascii="宋体" w:cs="宋体"/>
                <w:color w:val="000000"/>
                <w:sz w:val="22"/>
                <w:lang w:val="en-US" w:eastAsia="zh-CN"/>
              </w:rPr>
              <w:t>88041344</w:t>
            </w:r>
          </w:p>
        </w:tc>
        <w:tc>
          <w:tcPr>
            <w:tcW w:w="1039" w:type="dxa"/>
            <w:tcBorders>
              <w:top w:val="nil"/>
              <w:left w:val="nil"/>
              <w:bottom w:val="nil"/>
              <w:right w:val="nil"/>
            </w:tcBorders>
            <w:noWrap/>
            <w:vAlign w:val="center"/>
          </w:tcPr>
          <w:p w14:paraId="458693F0">
            <w:pPr>
              <w:rPr>
                <w:rFonts w:ascii="宋体" w:cs="宋体"/>
                <w:color w:val="000000"/>
                <w:sz w:val="22"/>
              </w:rPr>
            </w:pPr>
          </w:p>
        </w:tc>
        <w:tc>
          <w:tcPr>
            <w:tcW w:w="1267" w:type="dxa"/>
            <w:tcBorders>
              <w:top w:val="nil"/>
              <w:left w:val="nil"/>
              <w:bottom w:val="nil"/>
              <w:right w:val="nil"/>
            </w:tcBorders>
            <w:noWrap/>
            <w:vAlign w:val="center"/>
          </w:tcPr>
          <w:p w14:paraId="2742BD66">
            <w:pPr>
              <w:rPr>
                <w:rFonts w:ascii="宋体" w:cs="宋体"/>
                <w:color w:val="000000"/>
                <w:sz w:val="22"/>
              </w:rPr>
            </w:pPr>
          </w:p>
        </w:tc>
      </w:tr>
    </w:tbl>
    <w:p w14:paraId="5466972B">
      <w:pPr>
        <w:numPr>
          <w:ilvl w:val="0"/>
          <w:numId w:val="0"/>
        </w:numPr>
        <w:adjustRightInd w:val="0"/>
        <w:snapToGrid w:val="0"/>
        <w:spacing w:line="580" w:lineRule="exact"/>
        <w:rPr>
          <w:rFonts w:ascii="仿宋_GB2312" w:hAnsi="仿宋_GB2312" w:eastAsia="仿宋_GB2312" w:cs="仿宋_GB2312"/>
          <w:sz w:val="32"/>
          <w:szCs w:val="32"/>
        </w:rPr>
      </w:pPr>
    </w:p>
    <w:p w14:paraId="4D3C33F7">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困难补助</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根据制定的绩效考核目标，该项目达到</w:t>
      </w:r>
      <w:r>
        <w:rPr>
          <w:rFonts w:hint="eastAsia" w:ascii="仿宋_GB2312" w:hAnsi="仿宋_GB2312" w:eastAsia="仿宋_GB2312" w:cs="仿宋_GB2312"/>
          <w:sz w:val="32"/>
          <w:szCs w:val="32"/>
          <w:lang w:val="en-US" w:eastAsia="zh-CN"/>
        </w:rPr>
        <w:t>96分，全年预算数110万元，执行110万元，执行率100%，目标完成情况：一是保障各单位申报的困难人群实现全覆盖；二是起到了一定的提高生活水平的作用</w:t>
      </w:r>
      <w:r>
        <w:rPr>
          <w:rFonts w:hint="eastAsia" w:ascii="仿宋_GB2312" w:hAnsi="仿宋_GB2312" w:eastAsia="仿宋_GB2312" w:cs="仿宋_GB2312"/>
          <w:sz w:val="32"/>
          <w:szCs w:val="32"/>
        </w:rPr>
        <w:t>。</w:t>
      </w:r>
    </w:p>
    <w:p w14:paraId="19632AE0">
      <w:pPr>
        <w:numPr>
          <w:ilvl w:val="0"/>
          <w:numId w:val="0"/>
        </w:numPr>
        <w:adjustRightInd w:val="0"/>
        <w:snapToGrid w:val="0"/>
        <w:spacing w:line="580" w:lineRule="exact"/>
        <w:rPr>
          <w:rFonts w:ascii="仿宋_GB2312" w:hAnsi="仿宋_GB2312" w:eastAsia="仿宋_GB2312" w:cs="仿宋_GB2312"/>
          <w:sz w:val="32"/>
          <w:szCs w:val="32"/>
        </w:rPr>
      </w:pPr>
    </w:p>
    <w:p w14:paraId="4EF14BE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683EBE4">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0C6A77B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15.17</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456.93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96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厉行节俭，减少开支</w:t>
      </w:r>
      <w:r>
        <w:rPr>
          <w:rFonts w:hint="eastAsia" w:ascii="仿宋_GB2312" w:hAnsi="Times New Roman" w:eastAsia="仿宋_GB2312" w:cs="DengXian-Regular"/>
          <w:sz w:val="32"/>
          <w:szCs w:val="32"/>
        </w:rPr>
        <w:t>。</w:t>
      </w:r>
    </w:p>
    <w:p w14:paraId="67D54E7F">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6419EF90">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158.19</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48.10</w:t>
      </w:r>
      <w:r>
        <w:rPr>
          <w:rFonts w:ascii="仿宋_GB2312" w:hAnsi="仿宋_GB2312" w:eastAsia="仿宋_GB2312" w:cs="仿宋_GB2312"/>
          <w:color w:val="000000"/>
          <w:kern w:val="0"/>
          <w:sz w:val="32"/>
          <w:szCs w:val="32"/>
          <w:lang w:bidi="ar"/>
        </w:rPr>
        <w:t xml:space="preserve"> 万元、政府采购服务支出 </w:t>
      </w:r>
      <w:r>
        <w:rPr>
          <w:rFonts w:hint="eastAsia" w:ascii="仿宋_GB2312" w:hAnsi="仿宋_GB2312" w:eastAsia="仿宋_GB2312" w:cs="仿宋_GB2312"/>
          <w:color w:val="000000"/>
          <w:kern w:val="0"/>
          <w:sz w:val="32"/>
          <w:szCs w:val="32"/>
          <w:lang w:val="en-US" w:eastAsia="zh-CN" w:bidi="ar"/>
        </w:rPr>
        <w:t>110.09</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158.19</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158.19</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14:paraId="1289A74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2B71493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公车减少</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业务保障用车</w:t>
      </w:r>
      <w:r>
        <w:rPr>
          <w:rFonts w:hint="eastAsia" w:ascii="仿宋_GB2312" w:hAnsi="Times New Roman" w:eastAsia="仿宋_GB2312" w:cs="DengXian-Regular"/>
          <w:sz w:val="32"/>
          <w:szCs w:val="32"/>
        </w:rPr>
        <w:t>；</w:t>
      </w:r>
    </w:p>
    <w:p w14:paraId="1CADE8F0">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14:paraId="78311FB8">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0119D608">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1、本部门2018年度国有资本经营预算财政拨款支出无收支及结转结余情况，故国有资本经营预算财政拨款支出决算表以空表列示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本部门2018年度政府性基金预算财政拨款支出无收支及结转结余情况，故政府性基金预算财政拨款支出决算表以空表列示。</w:t>
      </w:r>
    </w:p>
    <w:p w14:paraId="7D51C13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401A0F3C">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2035D583">
      <w:pPr>
        <w:jc w:val="center"/>
        <w:rPr>
          <w:rFonts w:ascii="黑体" w:hAnsi="黑体" w:eastAsia="黑体" w:cs="黑体"/>
          <w:sz w:val="56"/>
          <w:szCs w:val="72"/>
        </w:rPr>
      </w:pPr>
    </w:p>
    <w:p w14:paraId="499369DB">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619FA7AE">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4C9D4B22">
      <w:pPr>
        <w:rPr>
          <w:rFonts w:ascii="黑体" w:hAnsi="黑体" w:eastAsia="黑体" w:cs="黑体"/>
          <w:sz w:val="56"/>
          <w:szCs w:val="72"/>
        </w:rPr>
      </w:pPr>
    </w:p>
    <w:p w14:paraId="3FB0B6E1">
      <w:pPr>
        <w:jc w:val="center"/>
        <w:rPr>
          <w:rFonts w:ascii="黑体" w:hAnsi="黑体" w:eastAsia="黑体" w:cs="黑体"/>
          <w:sz w:val="56"/>
          <w:szCs w:val="72"/>
        </w:rPr>
      </w:pPr>
    </w:p>
    <w:p w14:paraId="050CEDFA">
      <w:pPr>
        <w:jc w:val="center"/>
        <w:rPr>
          <w:rFonts w:ascii="黑体" w:hAnsi="黑体" w:eastAsia="黑体" w:cs="黑体"/>
          <w:sz w:val="56"/>
          <w:szCs w:val="72"/>
        </w:rPr>
      </w:pPr>
    </w:p>
    <w:p w14:paraId="4054C3EA">
      <w:pPr>
        <w:jc w:val="center"/>
        <w:rPr>
          <w:sz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C03C45A">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896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4C03C45A">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205532E7"/>
    <w:p w14:paraId="228DB0BE"/>
    <w:p w14:paraId="3EB64932"/>
    <w:p w14:paraId="2684ABEA"/>
    <w:p w14:paraId="769C6AF2"/>
    <w:p w14:paraId="39FD5362"/>
    <w:p w14:paraId="02524122"/>
    <w:p w14:paraId="2EA51924"/>
    <w:p w14:paraId="6FE79064"/>
    <w:p w14:paraId="5D6D8812"/>
    <w:p w14:paraId="3369D0B4"/>
    <w:p w14:paraId="02A82704">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7CBC9D0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2EF3A1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5E7E3E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89BC78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4EEA29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2EB5AFA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5E312B9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A1A9E5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7B596CE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4F6FEE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661A24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9EFA398">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68C1EB7">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64DD24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06D83B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50D9B8D">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B995D2D">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3912B746"/>
    <w:p w14:paraId="6B20E68D"/>
    <w:p w14:paraId="3188CDFF"/>
    <w:p w14:paraId="358CC27D"/>
    <w:p w14:paraId="23B23D70">
      <w:pPr>
        <w:tabs>
          <w:tab w:val="left" w:pos="235"/>
        </w:tabs>
        <w:jc w:val="left"/>
      </w:pPr>
    </w:p>
    <w:p w14:paraId="3227C6D7">
      <w:pPr>
        <w:tabs>
          <w:tab w:val="left" w:pos="235"/>
        </w:tabs>
        <w:jc w:val="left"/>
      </w:pPr>
    </w:p>
    <w:p w14:paraId="200BD53D">
      <w:pPr>
        <w:tabs>
          <w:tab w:val="left" w:pos="235"/>
        </w:tabs>
        <w:jc w:val="left"/>
      </w:pPr>
    </w:p>
    <w:p w14:paraId="251C73A0">
      <w:pPr>
        <w:tabs>
          <w:tab w:val="left" w:pos="235"/>
        </w:tabs>
        <w:jc w:val="left"/>
      </w:pPr>
    </w:p>
    <w:p w14:paraId="3BAF750B">
      <w:pPr>
        <w:tabs>
          <w:tab w:val="left" w:pos="235"/>
        </w:tabs>
        <w:jc w:val="left"/>
      </w:pPr>
    </w:p>
    <w:p w14:paraId="7807D77D">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58D39463"/>
    <w:p w14:paraId="1C998014">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998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C85849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16A314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8998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7C85849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16A314C">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4D7B8D56">
      <w:pPr>
        <w:tabs>
          <w:tab w:val="left" w:pos="886"/>
        </w:tabs>
        <w:jc w:val="left"/>
      </w:pPr>
    </w:p>
    <w:p w14:paraId="30D691B4">
      <w:pPr>
        <w:jc w:val="left"/>
        <w:rPr>
          <w:rFonts w:hint="eastAsia" w:eastAsiaTheme="minorEastAsia"/>
          <w:sz w:val="36"/>
          <w:szCs w:val="40"/>
          <w:lang w:val="en-US" w:eastAsia="zh-CN"/>
        </w:rPr>
      </w:pPr>
      <w:r>
        <w:rPr>
          <w:rFonts w:hint="eastAsia"/>
          <w:sz w:val="36"/>
          <w:szCs w:val="40"/>
          <w:lang w:val="en-US" w:eastAsia="zh-CN"/>
        </w:rPr>
        <w:t>详见附表。</w:t>
      </w:r>
    </w:p>
    <w:p w14:paraId="1D2736A7">
      <w:pPr>
        <w:jc w:val="left"/>
        <w:rPr>
          <w:sz w:val="36"/>
          <w:szCs w:val="40"/>
        </w:rPr>
      </w:pPr>
    </w:p>
    <w:p w14:paraId="61C700B7">
      <w:r>
        <w:br w:type="page"/>
      </w:r>
    </w:p>
    <w:p w14:paraId="06E84F82"/>
    <w:p w14:paraId="3E7D6146">
      <w:r>
        <w:br w:type="page"/>
      </w:r>
    </w:p>
    <w:p w14:paraId="4A871389">
      <w:r>
        <w:br w:type="page"/>
      </w:r>
    </w:p>
    <w:p w14:paraId="62949E88">
      <w:r>
        <w:tab/>
      </w:r>
      <w:r>
        <w:tab/>
      </w:r>
      <w:r>
        <w:tab/>
      </w:r>
      <w:r>
        <w:tab/>
      </w:r>
      <w:r>
        <w:tab/>
      </w:r>
      <w:r>
        <w:tab/>
      </w:r>
      <w:r>
        <w:tab/>
      </w:r>
      <w:r>
        <w:tab/>
      </w:r>
      <w:r>
        <w:tab/>
      </w:r>
      <w:r>
        <w:br w:type="page"/>
      </w:r>
    </w:p>
    <w:p w14:paraId="6BB3A139"/>
    <w:p w14:paraId="4BC44F24">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Batang">
    <w:altName w:val="宋体"/>
    <w:panose1 w:val="02030600000101010101"/>
    <w:charset w:val="86"/>
    <w:family w:val="roman"/>
    <w:pitch w:val="default"/>
    <w:sig w:usb0="00000000" w:usb1="00000000" w:usb2="00000030" w:usb3="00000000" w:csb0="4008009F" w:csb1="DFD7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77A0F">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23C50">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CA0CC7">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26D7C">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0D1CE">
    <w:pPr>
      <w:pStyle w:val="4"/>
    </w:pPr>
    <w:r>
      <mc:AlternateContent>
        <mc:Choice Requires="wps">
          <w:drawing>
            <wp:anchor distT="0" distB="0" distL="114300" distR="114300" simplePos="0" relativeHeight="25167667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85753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667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3A85753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FBD53">
    <w:pPr>
      <w:pStyle w:val="4"/>
    </w:pPr>
    <w:r>
      <mc:AlternateContent>
        <mc:Choice Requires="wps">
          <w:drawing>
            <wp:anchor distT="0" distB="0" distL="114300" distR="114300" simplePos="0" relativeHeight="25167769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903FC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769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57903FC4">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DCBC3E">
    <w:pPr>
      <w:pStyle w:val="4"/>
    </w:pPr>
    <w:r>
      <mc:AlternateContent>
        <mc:Choice Requires="wps">
          <w:drawing>
            <wp:anchor distT="0" distB="0" distL="114300" distR="114300" simplePos="0" relativeHeight="251678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B151F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8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1CB151F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374C9F">
    <w:pPr>
      <w:pStyle w:val="4"/>
    </w:pPr>
    <w:r>
      <mc:AlternateContent>
        <mc:Choice Requires="wps">
          <w:drawing>
            <wp:anchor distT="0" distB="0" distL="114300" distR="114300" simplePos="0" relativeHeight="25167974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82B59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974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3982B59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585FF">
    <w:pPr>
      <w:pStyle w:val="4"/>
    </w:pPr>
    <w:r>
      <mc:AlternateContent>
        <mc:Choice Requires="wps">
          <w:drawing>
            <wp:anchor distT="0" distB="0" distL="114300" distR="114300" simplePos="0" relativeHeight="25168281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3745F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281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603745F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66ADF">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299DA9">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A299DA9">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C4E5C">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AA077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4AA077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424E0">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D63CE6">
    <w:pPr>
      <w:pStyle w:val="5"/>
    </w:pP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588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BB15EE">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16BB3B7">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691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6CBB15EE">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16BB3B7">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2A619">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626427">
    <w:pPr>
      <w:pStyle w:val="5"/>
    </w:pPr>
    <w:r>
      <mc:AlternateContent>
        <mc:Choice Requires="wpg">
          <w:drawing>
            <wp:anchor distT="0" distB="0" distL="114300" distR="114300" simplePos="0" relativeHeight="25168384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384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552A7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5FF21075"/>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486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4F552A7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5FF21075"/>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4E835">
    <w:pPr>
      <w:pStyle w:val="5"/>
    </w:pPr>
    <w:r>
      <mc:AlternateContent>
        <mc:Choice Requires="wpg">
          <w:drawing>
            <wp:anchor distT="0" distB="0" distL="114300" distR="114300" simplePos="0" relativeHeight="25168076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076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4A64C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179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F4A64C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BFF30">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21675">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981E47">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BAA2D">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4E2D9">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110A8">
    <w:pPr>
      <w:pStyle w:val="5"/>
    </w:pPr>
    <w:r>
      <mc:AlternateContent>
        <mc:Choice Requires="wpg">
          <w:drawing>
            <wp:anchor distT="0" distB="0" distL="114300" distR="114300" simplePos="0" relativeHeight="25167462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462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A2132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564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1A2132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14046">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2E80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D2E80B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8E0B4">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14444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814444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F24D79"/>
    <w:multiLevelType w:val="singleLevel"/>
    <w:tmpl w:val="A0F24D79"/>
    <w:lvl w:ilvl="0" w:tentative="0">
      <w:start w:val="3"/>
      <w:numFmt w:val="decimal"/>
      <w:suff w:val="space"/>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380626"/>
    <w:rsid w:val="05B00A30"/>
    <w:rsid w:val="0B011416"/>
    <w:rsid w:val="12680A85"/>
    <w:rsid w:val="12A9213E"/>
    <w:rsid w:val="139D76F9"/>
    <w:rsid w:val="1EFB7733"/>
    <w:rsid w:val="24A67CE3"/>
    <w:rsid w:val="31C2036A"/>
    <w:rsid w:val="320D02A5"/>
    <w:rsid w:val="348E566F"/>
    <w:rsid w:val="3A226944"/>
    <w:rsid w:val="3AEE6A48"/>
    <w:rsid w:val="3C1620AA"/>
    <w:rsid w:val="3D8F080F"/>
    <w:rsid w:val="44CE1FA4"/>
    <w:rsid w:val="472152FB"/>
    <w:rsid w:val="475B3A92"/>
    <w:rsid w:val="487F73ED"/>
    <w:rsid w:val="4A347EAE"/>
    <w:rsid w:val="52600405"/>
    <w:rsid w:val="529B4319"/>
    <w:rsid w:val="57773DD6"/>
    <w:rsid w:val="577F7C41"/>
    <w:rsid w:val="578B79AB"/>
    <w:rsid w:val="58FC24BF"/>
    <w:rsid w:val="5A322D54"/>
    <w:rsid w:val="5CCD3FD5"/>
    <w:rsid w:val="5E3E4E48"/>
    <w:rsid w:val="5E860548"/>
    <w:rsid w:val="61FA5F9D"/>
    <w:rsid w:val="64CD6910"/>
    <w:rsid w:val="654B1A75"/>
    <w:rsid w:val="65CD1A3A"/>
    <w:rsid w:val="6789158D"/>
    <w:rsid w:val="67D81BA4"/>
    <w:rsid w:val="6AAF1C96"/>
    <w:rsid w:val="6D6167A9"/>
    <w:rsid w:val="75681757"/>
    <w:rsid w:val="75A346A8"/>
    <w:rsid w:val="776953DA"/>
    <w:rsid w:val="79B9382C"/>
    <w:rsid w:val="7B043B76"/>
    <w:rsid w:val="7B5705A3"/>
    <w:rsid w:val="7B660790"/>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Normal]"/>
    <w:qFormat/>
    <w:uiPriority w:val="6"/>
    <w:rPr>
      <w:rFonts w:ascii="宋体" w:hAnsi="宋体" w:eastAsia="宋体" w:cstheme="minorBidi"/>
      <w:color w:val="auto"/>
      <w:position w:val="0"/>
      <w:sz w:val="24"/>
      <w:u w:val="none"/>
      <w:shd w:val="clear" w:color="auto" w:fill="auto"/>
      <w:lang w:val="en-US" w:eastAsia="en-US" w:bidi="ar-SA"/>
    </w:rPr>
  </w:style>
  <w:style w:type="character" w:customStyle="1" w:styleId="13">
    <w:name w:val="font11"/>
    <w:basedOn w:val="8"/>
    <w:qFormat/>
    <w:uiPriority w:val="0"/>
    <w:rPr>
      <w:rFonts w:hint="eastAsia" w:ascii="楷体_GB2312" w:eastAsia="楷体_GB2312" w:cs="楷体_GB2312"/>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pieChart>
        <c:varyColors val="1"/>
        <c:ser>
          <c:idx val="0"/>
          <c:order val="0"/>
          <c:tx>
            <c:strRef>
              <c:f>Sheet1!$B$1</c:f>
              <c:strCache>
                <c:ptCount val="1"/>
                <c:pt idx="0">
                  <c:v>支出构成情况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0.085</c:v>
                </c:pt>
                <c:pt idx="1">
                  <c:v>0.915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财政拨款收支与上年决算对比图</a:t>
            </a:r>
            <a:endParaRPr>
              <a:latin typeface="黑体" panose="02010609060101010101" charset="-122"/>
              <a:ea typeface="黑体" panose="02010609060101010101" charset="-122"/>
            </a:endParaRPr>
          </a:p>
        </c:rich>
      </c:tx>
      <c:layout>
        <c:manualLayout>
          <c:xMode val="edge"/>
          <c:yMode val="edge"/>
          <c:x val="0.211915877935924"/>
          <c:y val="0.047411418249403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Lbl>
              <c:idx val="0"/>
              <c:layout>
                <c:manualLayout>
                  <c:x val="-0.00572761985574883"/>
                  <c:y val="-0.10136307311028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6987696224014"/>
                  <c:y val="-0.097893432465923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21665.13</c:v>
                </c:pt>
                <c:pt idx="1">
                  <c:v>21605.29</c:v>
                </c:pt>
              </c:numCache>
            </c:numRef>
          </c:val>
        </c:ser>
        <c:ser>
          <c:idx val="1"/>
          <c:order val="1"/>
          <c:tx>
            <c:strRef>
              <c:f>Sheet1!$C$1</c:f>
              <c:strCache>
                <c:ptCount val="1"/>
                <c:pt idx="0">
                  <c:v>2019年</c:v>
                </c:pt>
              </c:strCache>
            </c:strRef>
          </c:tx>
          <c:spPr>
            <a:solidFill>
              <a:schemeClr val="accent2"/>
            </a:solidFill>
            <a:ln>
              <a:noFill/>
            </a:ln>
            <a:effectLst/>
          </c:spPr>
          <c:invertIfNegative val="0"/>
          <c:dLbls>
            <c:dLbl>
              <c:idx val="0"/>
              <c:layout>
                <c:manualLayout>
                  <c:x val="0.00572761985574883"/>
                  <c:y val="-0.10830235439900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577428935087"/>
                  <c:y val="-0.10483271375464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24536.95</c:v>
                </c:pt>
                <c:pt idx="1">
                  <c:v>24536.95</c:v>
                </c:pt>
              </c:numCache>
            </c:numRef>
          </c:val>
        </c:ser>
        <c:dLbls>
          <c:showLegendKey val="0"/>
          <c:showVal val="1"/>
          <c:showCatName val="0"/>
          <c:showSerName val="0"/>
          <c:showPercent val="0"/>
          <c:showBubbleSize val="0"/>
        </c:dLbls>
        <c:gapWidth val="219"/>
        <c:overlap val="-27"/>
        <c:axId val="475344284"/>
        <c:axId val="710675231"/>
      </c:barChart>
      <c:catAx>
        <c:axId val="4753442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0675231"/>
        <c:crosses val="autoZero"/>
        <c:auto val="1"/>
        <c:lblAlgn val="ctr"/>
        <c:lblOffset val="100"/>
        <c:noMultiLvlLbl val="0"/>
      </c:catAx>
      <c:valAx>
        <c:axId val="710675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53442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财政拨款收支与年初预算对比图</a:t>
            </a:r>
            <a:endParaRPr>
              <a:latin typeface="黑体" panose="02010609060101010101" charset="-122"/>
              <a:ea typeface="黑体" panose="02010609060101010101" charset="-122"/>
            </a:endParaRPr>
          </a:p>
        </c:rich>
      </c:tx>
      <c:layout/>
      <c:overlay val="0"/>
      <c:spPr>
        <a:noFill/>
        <a:ln>
          <a:noFill/>
        </a:ln>
        <a:effectLst/>
      </c:spPr>
    </c:title>
    <c:autoTitleDeleted val="0"/>
    <c:plotArea>
      <c:layout>
        <c:manualLayout>
          <c:layoutTarget val="inner"/>
          <c:xMode val="edge"/>
          <c:yMode val="edge"/>
          <c:x val="0.153347280334729"/>
          <c:y val="0.282056845302669"/>
          <c:w val="0.841422594142259"/>
          <c:h val="0.62538511607724"/>
        </c:manualLayout>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40097.17</c:v>
                </c:pt>
                <c:pt idx="1">
                  <c:v>24536.95</c:v>
                </c:pt>
              </c:numCache>
            </c:numRef>
          </c:val>
        </c:ser>
        <c:ser>
          <c:idx val="1"/>
          <c:order val="1"/>
          <c:tx>
            <c:strRef>
              <c:f>Sheet1!$C$1</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Sheet1!$C$2:$C$5</c15:sqref>
                  </c15:fullRef>
                </c:ext>
              </c:extLst>
              <c:f>Sheet1!$C$2:$C$3</c:f>
              <c:numCache>
                <c:formatCode>General</c:formatCode>
                <c:ptCount val="2"/>
                <c:pt idx="0">
                  <c:v>40097.17</c:v>
                </c:pt>
                <c:pt idx="1">
                  <c:v>24536.95</c:v>
                </c:pt>
              </c:numCache>
            </c:numRef>
          </c:val>
        </c:ser>
        <c:dLbls>
          <c:showLegendKey val="0"/>
          <c:showVal val="1"/>
          <c:showCatName val="0"/>
          <c:showSerName val="0"/>
          <c:showPercent val="0"/>
          <c:showBubbleSize val="0"/>
        </c:dLbls>
        <c:gapWidth val="219"/>
        <c:overlap val="-27"/>
        <c:axId val="85149157"/>
        <c:axId val="830457789"/>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Sheet1!$A$2:$A$5</c15:sqref>
                        </c15:fullRef>
                        <c15:formulaRef>
                          <c15:sqref>Sheet1!$A$2:$A$3</c15:sqref>
                        </c15:formulaRef>
                      </c:ext>
                    </c:extLst>
                    <c:strCache>
                      <c:ptCount val="2"/>
                      <c:pt idx="0">
                        <c:v>预算</c:v>
                      </c:pt>
                      <c:pt idx="1">
                        <c:v>决算</c:v>
                      </c:pt>
                    </c:strCache>
                  </c:strRef>
                </c:cat>
              </c15:ser>
            </c15:filteredBarSeries>
          </c:ext>
        </c:extLst>
      </c:barChart>
      <c:catAx>
        <c:axId val="851491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0457789"/>
        <c:crosses val="autoZero"/>
        <c:auto val="1"/>
        <c:lblAlgn val="ctr"/>
        <c:lblOffset val="100"/>
        <c:noMultiLvlLbl val="0"/>
      </c:catAx>
      <c:valAx>
        <c:axId val="83045778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51491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财政拨款支出决算结构（按功能分类）</a:t>
            </a:r>
            <a:endParaRPr lang="en-US" altLang="zh-CN">
              <a:latin typeface="黑体" panose="02010609060101010101" charset="-122"/>
              <a:ea typeface="黑体" panose="02010609060101010101" charset="-122"/>
            </a:endParaRPr>
          </a:p>
        </c:rich>
      </c:tx>
      <c:layout>
        <c:manualLayout>
          <c:xMode val="edge"/>
          <c:yMode val="edge"/>
          <c:x val="0.151520211549978"/>
          <c:y val="0.0412735849056604"/>
        </c:manualLayout>
      </c:layout>
      <c:overlay val="0"/>
      <c:spPr>
        <a:noFill/>
        <a:ln>
          <a:noFill/>
        </a:ln>
        <a:effectLst/>
      </c:spPr>
    </c:title>
    <c:autoTitleDeleted val="0"/>
    <c:plotArea>
      <c:layout>
        <c:manualLayout>
          <c:layoutTarget val="inner"/>
          <c:xMode val="edge"/>
          <c:yMode val="edge"/>
          <c:x val="0.232131254061079"/>
          <c:y val="0.216204599183323"/>
          <c:w val="0.5227420402859"/>
          <c:h val="0.691596819256394"/>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explosion val="1"/>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19050">
                <a:solidFill>
                  <a:schemeClr val="lt1"/>
                </a:solidFill>
              </a:ln>
              <a:effectLst/>
              <a:scene3d>
                <a:camera prst="orthographicFront"/>
                <a:lightRig rig="threePt" dir="t"/>
              </a:scene3d>
              <a:sp3d contourW="25400"/>
            </c:spPr>
          </c:dPt>
          <c:dPt>
            <c:idx val="3"/>
            <c:bubble3D val="0"/>
            <c:spPr>
              <a:solidFill>
                <a:schemeClr val="accent4"/>
              </a:solidFill>
              <a:ln w="19050">
                <a:solidFill>
                  <a:schemeClr val="lt1"/>
                </a:solidFill>
              </a:ln>
              <a:effectLst/>
              <a:scene3d>
                <a:camera prst="orthographicFront"/>
                <a:lightRig rig="threePt" dir="t"/>
              </a:scene3d>
              <a:sp3d contourW="25400"/>
            </c:spPr>
          </c:dPt>
          <c:dPt>
            <c:idx val="4"/>
            <c:bubble3D val="0"/>
            <c:spPr>
              <a:solidFill>
                <a:schemeClr val="accent5"/>
              </a:solidFill>
              <a:ln w="19050">
                <a:solidFill>
                  <a:schemeClr val="lt1"/>
                </a:solidFill>
              </a:ln>
              <a:effectLst/>
              <a:scene3d>
                <a:camera prst="orthographicFront"/>
                <a:lightRig rig="threePt" dir="t"/>
              </a:scene3d>
              <a:sp3d contourW="25400"/>
            </c:spPr>
          </c:dPt>
          <c:dPt>
            <c:idx val="5"/>
            <c:bubble3D val="0"/>
            <c:spPr>
              <a:solidFill>
                <a:schemeClr val="accent6"/>
              </a:solidFill>
              <a:ln w="19050">
                <a:solidFill>
                  <a:schemeClr val="lt1"/>
                </a:solidFill>
              </a:ln>
              <a:effectLst/>
              <a:scene3d>
                <a:camera prst="orthographicFront"/>
                <a:lightRig rig="threePt" dir="t"/>
              </a:scene3d>
              <a:sp3d contourW="25400"/>
            </c:spPr>
          </c:dPt>
          <c:dPt>
            <c:idx val="6"/>
            <c:bubble3D val="0"/>
            <c:spPr>
              <a:solidFill>
                <a:schemeClr val="accent1">
                  <a:lumMod val="60000"/>
                </a:schemeClr>
              </a:solidFill>
              <a:ln w="19050">
                <a:solidFill>
                  <a:schemeClr val="lt1"/>
                </a:solidFill>
              </a:ln>
              <a:effectLst/>
              <a:scene3d>
                <a:camera prst="orthographicFront"/>
                <a:lightRig rig="threePt" dir="t"/>
              </a:scene3d>
              <a:sp3d contourW="25400"/>
            </c:spPr>
          </c:dPt>
          <c:dLbls>
            <c:dLbl>
              <c:idx val="1"/>
              <c:layout>
                <c:manualLayout>
                  <c:x val="0.0204245848468196"/>
                  <c:y val="-0.3036399126931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一般公共服务（类）支出</c:v>
                </c:pt>
                <c:pt idx="1">
                  <c:v>教育类支出</c:v>
                </c:pt>
                <c:pt idx="2">
                  <c:v>文化旅游体育与传媒支出</c:v>
                </c:pt>
                <c:pt idx="3">
                  <c:v>社会保障和就业支出</c:v>
                </c:pt>
                <c:pt idx="4">
                  <c:v>卫生健康支出</c:v>
                </c:pt>
                <c:pt idx="5">
                  <c:v>农林水支出</c:v>
                </c:pt>
              </c:strCache>
            </c:strRef>
          </c:cat>
          <c:val>
            <c:numRef>
              <c:f>Sheet1!$B$2:$B$8</c:f>
              <c:numCache>
                <c:formatCode>0.00%</c:formatCode>
                <c:ptCount val="7"/>
                <c:pt idx="0">
                  <c:v>0.029</c:v>
                </c:pt>
                <c:pt idx="1">
                  <c:v>0.2955</c:v>
                </c:pt>
                <c:pt idx="2">
                  <c:v>0.008</c:v>
                </c:pt>
                <c:pt idx="3">
                  <c:v>0.6395</c:v>
                </c:pt>
                <c:pt idx="4">
                  <c:v>0.0004</c:v>
                </c:pt>
                <c:pt idx="5">
                  <c:v>0.0024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30344379467186"/>
          <c:y val="0.794559585492228"/>
          <c:w val="0.729207277452891"/>
          <c:h val="0.14507772020725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29</Pages>
  <Words>7012</Words>
  <Characters>7506</Characters>
  <Lines>78</Lines>
  <Paragraphs>22</Paragraphs>
  <TotalTime>0</TotalTime>
  <ScaleCrop>false</ScaleCrop>
  <LinksUpToDate>false</LinksUpToDate>
  <CharactersWithSpaces>7650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2024-09-14T02:39:47Z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D32AE959AC7B4344910A695E7392A473</vt:lpwstr>
  </property>
</Properties>
</file>