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南董镇人民政府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pPr>
        <w:rPr>
          <w:rFonts w:ascii="黑体" w:hAnsi="黑体" w:eastAsia="黑体" w:cs="黑体"/>
          <w:sz w:val="56"/>
          <w:szCs w:val="7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2" w:type="first"/>
          <w:footerReference r:id="rId14" w:type="first"/>
          <w:headerReference r:id="rId11" w:type="default"/>
          <w:footerReference r:id="rId13"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30"/>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tbl>
      <w:tblPr>
        <w:tblStyle w:val="6"/>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noWrap w:val="0"/>
            <w:vAlign w:val="center"/>
          </w:tcPr>
          <w:p>
            <w:pPr>
              <w:spacing w:line="300" w:lineRule="exact"/>
              <w:jc w:val="center"/>
              <w:rPr>
                <w:rFonts w:ascii="方正书宋_GBK" w:eastAsia="方正书宋_GBK"/>
                <w:b/>
                <w:szCs w:val="21"/>
              </w:rPr>
            </w:pPr>
            <w:r>
              <w:rPr>
                <w:rFonts w:hint="eastAsia" w:ascii="方正书宋_GBK" w:eastAsia="方正书宋_GBK"/>
                <w:b/>
                <w:szCs w:val="21"/>
              </w:rPr>
              <w:t>职责活动</w:t>
            </w:r>
          </w:p>
        </w:tc>
        <w:tc>
          <w:tcPr>
            <w:tcW w:w="6881" w:type="dxa"/>
            <w:vMerge w:val="restart"/>
            <w:noWrap w:val="0"/>
            <w:vAlign w:val="center"/>
          </w:tcPr>
          <w:p>
            <w:pPr>
              <w:spacing w:line="300" w:lineRule="exact"/>
              <w:jc w:val="center"/>
              <w:rPr>
                <w:rFonts w:ascii="方正书宋_GBK" w:eastAsia="方正书宋_GBK"/>
                <w:b/>
                <w:szCs w:val="21"/>
              </w:rPr>
            </w:pPr>
            <w:r>
              <w:rPr>
                <w:rFonts w:hint="eastAsia" w:ascii="方正书宋_GBK" w:eastAsia="方正书宋_GBK"/>
                <w:b/>
                <w:szCs w:val="21"/>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noWrap w:val="0"/>
            <w:vAlign w:val="center"/>
          </w:tcPr>
          <w:p>
            <w:pPr>
              <w:spacing w:line="300" w:lineRule="exact"/>
              <w:outlineLvl w:val="0"/>
              <w:rPr>
                <w:szCs w:val="21"/>
              </w:rPr>
            </w:pPr>
          </w:p>
        </w:tc>
        <w:tc>
          <w:tcPr>
            <w:tcW w:w="6881" w:type="dxa"/>
            <w:vMerge w:val="continue"/>
            <w:noWrap w:val="0"/>
            <w:vAlign w:val="center"/>
          </w:tcPr>
          <w:p>
            <w:pPr>
              <w:spacing w:line="300" w:lineRule="exact"/>
              <w:outlineLvl w:val="0"/>
              <w:rPr>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政务管理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综合业务、事务管理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应急管理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社会治安综合治理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宣传贯彻国家法律法规和政策，增强农民法律知识，做好社会治安综合治理工作，做好司法、宗教工作，打击邪教；做好群众</w:t>
            </w:r>
            <w:r>
              <w:rPr>
                <w:rFonts w:ascii="方正书宋_GBK" w:eastAsia="方正书宋_GBK"/>
                <w:szCs w:val="21"/>
              </w:rPr>
              <w:t xml:space="preserve"> </w:t>
            </w:r>
            <w:r>
              <w:rPr>
                <w:rFonts w:hint="eastAsia" w:ascii="方正书宋_GBK" w:eastAsia="方正书宋_GBK"/>
                <w:szCs w:val="21"/>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协调维护社会治安稳定</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做好社会治安综合治理工作，做好司法、宗教工作，打击邪教；做好群众</w:t>
            </w:r>
            <w:r>
              <w:rPr>
                <w:rFonts w:ascii="方正书宋_GBK" w:eastAsia="方正书宋_GBK"/>
                <w:szCs w:val="21"/>
              </w:rPr>
              <w:t xml:space="preserve"> </w:t>
            </w:r>
            <w:r>
              <w:rPr>
                <w:rFonts w:hint="eastAsia" w:ascii="方正书宋_GBK" w:eastAsia="方正书宋_GBK"/>
                <w:szCs w:val="21"/>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经济发展</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民生改善</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农业生产</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推进农村集体产权制度改革，完善农村土地承包制度，引导农村土地合理流转。创新农业经营主体。实施科学管理</w:t>
            </w:r>
            <w:r>
              <w:rPr>
                <w:rFonts w:ascii="方正书宋_GBK" w:eastAsia="方正书宋_GBK"/>
                <w:szCs w:val="21"/>
              </w:rPr>
              <w:t>,</w:t>
            </w:r>
            <w:r>
              <w:rPr>
                <w:rFonts w:hint="eastAsia" w:ascii="方正书宋_GBK" w:eastAsia="方正书宋_GBK"/>
                <w:szCs w:val="21"/>
              </w:rPr>
              <w:t>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农业技术推广农业教育与技能培训，开展粮食等作物高产创建。</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开展农业新技术推广、示范。</w:t>
            </w:r>
            <w:r>
              <w:rPr>
                <w:rFonts w:ascii="方正书宋_GBK" w:eastAsia="方正书宋_GBK"/>
                <w:szCs w:val="21"/>
              </w:rPr>
              <w:t>"</w:t>
            </w:r>
            <w:r>
              <w:rPr>
                <w:rFonts w:hint="eastAsia" w:ascii="方正书宋_GBK" w:eastAsia="方正书宋_GBK"/>
                <w:szCs w:val="21"/>
              </w:rPr>
              <w:t>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加强土地使用管理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土地管理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社会救助政策及管理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农村居民最低生活保障</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农村五保供养</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临时生活救助</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环境保护与治理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环境管理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食品安全管理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安全生产管理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预算管理、财务管理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合理安排预算</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严格票据管理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村财镇管、涉农资金</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坚持抽查制度、定期核查、以收定支。</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提供各类生育技术服务，建立利益导向机制，开展出生人口性别比治理以及流动人口计划生育管理等各项工作。落实计生相关法律法规，业务宣传工作。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计划生育奖励扶持政策</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计划生育咨询服务、计划生育保健及优生服务</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文教卫生</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提供公共服务</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乡村建设</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新农村建设</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完成区域内污水处理、垃圾处理、厕所改造、村庄绿化、危房改造、饮水安全、道路硬化基础设施建设和农村卫生长效机制管理。</w:t>
            </w:r>
          </w:p>
        </w:tc>
      </w:tr>
    </w:tbl>
    <w:p>
      <w:pPr>
        <w:widowControl/>
        <w:spacing w:line="580" w:lineRule="exact"/>
        <w:ind w:firstLine="640" w:firstLineChars="200"/>
        <w:rPr>
          <w:rFonts w:ascii="仿宋" w:hAnsi="仿宋" w:eastAsia="仿宋" w:cs="Times New Roman"/>
          <w:bCs/>
          <w:sz w:val="32"/>
          <w:szCs w:val="32"/>
        </w:rPr>
      </w:pP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jc w:val="left"/>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w:t>
      </w:r>
      <w:r>
        <w:rPr>
          <w:rFonts w:hint="eastAsia" w:ascii="仿宋_GB2312" w:eastAsia="仿宋_GB2312" w:cs="ArialUnicodeMS" w:hAnsiTheme="minorHAnsi"/>
          <w:kern w:val="0"/>
          <w:sz w:val="32"/>
          <w:szCs w:val="32"/>
        </w:rPr>
        <w:t>本</w:t>
      </w:r>
      <w:r>
        <w:rPr>
          <w:rFonts w:hint="eastAsia" w:ascii="仿宋_GB2312" w:eastAsia="仿宋_GB2312" w:cs="ArialUnicodeMS" w:hAnsiTheme="minorHAnsi"/>
          <w:kern w:val="0"/>
          <w:sz w:val="32"/>
          <w:szCs w:val="32"/>
          <w:lang w:val="en-US"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eastAsia="仿宋_GB2312" w:cs="ArialUnicodeMS" w:hAnsiTheme="minorHAnsi"/>
          <w:kern w:val="0"/>
          <w:sz w:val="32"/>
          <w:szCs w:val="32"/>
        </w:rPr>
        <w:t xml:space="preserve"> </w:t>
      </w:r>
      <w:r>
        <w:rPr>
          <w:rFonts w:hint="eastAsia" w:ascii="仿宋_GB2312" w:eastAsia="仿宋_GB2312" w:cs="ArialUnicodeMS" w:hAnsiTheme="minorHAnsi"/>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石家庄市藁城区南董镇人民政府</w:t>
            </w:r>
          </w:p>
        </w:tc>
        <w:tc>
          <w:tcPr>
            <w:tcW w:w="2445" w:type="dxa"/>
            <w:vAlign w:val="top"/>
          </w:tcPr>
          <w:p>
            <w:pPr>
              <w:spacing w:after="0" w:afterLines="0" w:line="560" w:lineRule="exact"/>
              <w:jc w:val="center"/>
              <w:rPr>
                <w:rFonts w:hint="eastAsia" w:ascii="仿宋_GB2312" w:eastAsia="仿宋_GB2312" w:cs="ArialUnicodeMS" w:hAnsiTheme="minorHAnsi"/>
                <w:kern w:val="0"/>
                <w:sz w:val="28"/>
                <w:szCs w:val="28"/>
                <w:lang w:val="en-US" w:eastAsia="zh-CN"/>
              </w:rPr>
            </w:pPr>
            <w:r>
              <w:rPr>
                <w:rFonts w:hint="eastAsia" w:ascii="仿宋_GB2312" w:hAnsi="Cambria" w:eastAsia="仿宋_GB2312" w:cs="ArialUnicodeMS"/>
                <w:kern w:val="0"/>
                <w:sz w:val="28"/>
                <w:szCs w:val="28"/>
              </w:rPr>
              <w:t>行政单位</w:t>
            </w:r>
          </w:p>
        </w:tc>
        <w:tc>
          <w:tcPr>
            <w:tcW w:w="266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Calibri" w:hAnsi="Calibri" w:eastAsia="仿宋_GB2312" w:cs="Calibr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石家庄市藁城区南董学区</w:t>
            </w:r>
          </w:p>
        </w:tc>
        <w:tc>
          <w:tcPr>
            <w:tcW w:w="244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仿宋_GB2312" w:hAnsi="Cambria" w:eastAsia="仿宋_GB2312" w:cs="ArialUnicodeMS"/>
                <w:kern w:val="0"/>
                <w:sz w:val="28"/>
                <w:szCs w:val="28"/>
              </w:rPr>
              <w:t>财政补助事业单位</w:t>
            </w:r>
          </w:p>
        </w:tc>
        <w:tc>
          <w:tcPr>
            <w:tcW w:w="266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Calibri" w:hAnsi="Calibri" w:eastAsia="仿宋_GB2312" w:cs="Calibri"/>
                <w:kern w:val="0"/>
                <w:sz w:val="28"/>
                <w:szCs w:val="28"/>
              </w:rPr>
              <w:t>财政性资金基本保证</w:t>
            </w:r>
          </w:p>
        </w:tc>
      </w:tr>
    </w:tbl>
    <w:p>
      <w:pPr>
        <w:widowControl/>
        <w:spacing w:after="160" w:line="580" w:lineRule="exact"/>
        <w:rPr>
          <w:rFonts w:ascii="Times New Roman" w:hAnsi="Times New Roman" w:eastAsia="黑体" w:cs="Times New Roman"/>
          <w:sz w:val="32"/>
          <w:szCs w:val="32"/>
        </w:rPr>
        <w:sectPr>
          <w:footerReference r:id="rId17" w:type="first"/>
          <w:headerReference r:id="rId15" w:type="default"/>
          <w:footerReference r:id="rId16"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8"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仿宋_GB2312" w:eastAsia="仿宋_GB2312" w:cs="仿宋_GB2312"/>
          <w:sz w:val="32"/>
          <w:szCs w:val="32"/>
          <w:lang w:val="en-US" w:eastAsia="zh-CN"/>
        </w:rPr>
        <w:t>3905.18</w:t>
      </w:r>
      <w:r>
        <w:rPr>
          <w:rFonts w:hint="eastAsia" w:ascii="仿宋_GB2312" w:hAnsi="Times New Roman" w:eastAsia="仿宋_GB2312" w:cs="DengXian-Regular"/>
          <w:sz w:val="32"/>
          <w:szCs w:val="32"/>
        </w:rPr>
        <w:t>万元。与2018年度决算相比，收支各减少</w:t>
      </w:r>
      <w:r>
        <w:rPr>
          <w:rFonts w:hint="eastAsia" w:ascii="仿宋_GB2312" w:hAnsi="仿宋_GB2312" w:eastAsia="仿宋_GB2312" w:cs="仿宋_GB2312"/>
          <w:sz w:val="32"/>
          <w:szCs w:val="32"/>
          <w:lang w:val="en-US" w:eastAsia="zh-CN"/>
        </w:rPr>
        <w:t>1939.86</w:t>
      </w:r>
      <w:r>
        <w:rPr>
          <w:rFonts w:hint="eastAsia" w:ascii="仿宋_GB2312" w:hAnsi="Times New Roman" w:eastAsia="仿宋_GB2312" w:cs="DengXian-Regular"/>
          <w:sz w:val="32"/>
          <w:szCs w:val="32"/>
        </w:rPr>
        <w:t>万元，减少3</w:t>
      </w:r>
      <w:r>
        <w:rPr>
          <w:rFonts w:hint="eastAsia" w:ascii="仿宋_GB2312" w:hAnsi="Times New Roman" w:eastAsia="仿宋_GB2312" w:cs="DengXian-Regular"/>
          <w:sz w:val="32"/>
          <w:szCs w:val="32"/>
          <w:lang w:val="en-US" w:eastAsia="zh-CN"/>
        </w:rPr>
        <w:t>3</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%，主要原因是</w:t>
      </w:r>
      <w:r>
        <w:rPr>
          <w:rFonts w:hint="eastAsia" w:ascii="仿宋" w:hAnsi="仿宋" w:eastAsia="仿宋"/>
          <w:color w:val="auto"/>
          <w:sz w:val="32"/>
          <w:szCs w:val="32"/>
          <w:highlight w:val="none"/>
          <w:lang w:val="en-US" w:eastAsia="zh-CN"/>
        </w:rPr>
        <w:t>人员经费</w:t>
      </w:r>
      <w:r>
        <w:rPr>
          <w:rFonts w:hint="eastAsia" w:ascii="仿宋" w:hAnsi="仿宋" w:eastAsia="仿宋"/>
          <w:color w:val="auto"/>
          <w:sz w:val="32"/>
          <w:szCs w:val="32"/>
          <w:highlight w:val="none"/>
          <w:lang w:eastAsia="zh-CN"/>
        </w:rPr>
        <w:t>减少</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仿宋_GB2312" w:eastAsia="仿宋_GB2312" w:cs="仿宋_GB2312"/>
          <w:sz w:val="32"/>
          <w:szCs w:val="32"/>
          <w:lang w:val="en-US" w:eastAsia="zh-CN"/>
        </w:rPr>
        <w:t>3905.18</w:t>
      </w:r>
      <w:r>
        <w:rPr>
          <w:rFonts w:hint="eastAsia" w:ascii="仿宋_GB2312" w:hAnsi="Times New Roman" w:eastAsia="仿宋_GB2312" w:cs="DengXian-Regular"/>
          <w:sz w:val="32"/>
          <w:szCs w:val="32"/>
        </w:rPr>
        <w:t>万元，其中：财政拨款收入</w:t>
      </w:r>
      <w:r>
        <w:rPr>
          <w:rFonts w:hint="eastAsia" w:ascii="仿宋_GB2312" w:hAnsi="仿宋_GB2312" w:eastAsia="仿宋_GB2312" w:cs="仿宋_GB2312"/>
          <w:sz w:val="32"/>
          <w:szCs w:val="32"/>
          <w:lang w:val="en-US" w:eastAsia="zh-CN"/>
        </w:rPr>
        <w:t>3905.18</w:t>
      </w:r>
      <w:r>
        <w:rPr>
          <w:rFonts w:hint="eastAsia" w:ascii="仿宋_GB2312" w:hAnsi="Times New Roman" w:eastAsia="仿宋_GB2312" w:cs="DengXian-Regular"/>
          <w:sz w:val="32"/>
          <w:szCs w:val="32"/>
        </w:rPr>
        <w:t>万元，占100%。</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848995</wp:posOffset>
            </wp:positionH>
            <wp:positionV relativeFrom="paragraph">
              <wp:posOffset>167005</wp:posOffset>
            </wp:positionV>
            <wp:extent cx="3505200" cy="1623695"/>
            <wp:effectExtent l="0" t="0" r="0" b="6985"/>
            <wp:wrapNone/>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spacing w:line="560" w:lineRule="exact"/>
        <w:ind w:firstLine="640" w:firstLineChars="200"/>
        <w:rPr>
          <w:rFonts w:hint="eastAsia" w:ascii="仿宋_GB2312" w:eastAsia="仿宋_GB2312"/>
          <w:sz w:val="32"/>
          <w:szCs w:val="32"/>
          <w:lang w:val="en-US" w:eastAsia="zh-CN"/>
        </w:rPr>
      </w:pPr>
      <w:r>
        <w:rPr>
          <w:rFonts w:hint="eastAsia" w:ascii="仿宋_GB2312" w:hAnsi="Times New Roman" w:eastAsia="仿宋_GB2312" w:cs="DengXian-Regular"/>
          <w:sz w:val="32"/>
          <w:szCs w:val="32"/>
        </w:rPr>
        <w:t>本部门2019年度本年支出合计</w:t>
      </w:r>
      <w:r>
        <w:rPr>
          <w:rFonts w:hint="eastAsia" w:ascii="仿宋_GB2312" w:hAnsi="仿宋_GB2312" w:eastAsia="仿宋_GB2312" w:cs="仿宋_GB2312"/>
          <w:sz w:val="32"/>
          <w:szCs w:val="32"/>
          <w:lang w:val="en-US" w:eastAsia="zh-CN"/>
        </w:rPr>
        <w:t>3897.66</w:t>
      </w:r>
      <w:r>
        <w:rPr>
          <w:rFonts w:hint="eastAsia" w:ascii="仿宋_GB2312" w:hAnsi="Times New Roman" w:eastAsia="仿宋_GB2312" w:cs="DengXian-Regular"/>
          <w:sz w:val="32"/>
          <w:szCs w:val="32"/>
        </w:rPr>
        <w:t>万元，其中：基本支出</w:t>
      </w:r>
      <w:r>
        <w:rPr>
          <w:rFonts w:hint="eastAsia" w:ascii="仿宋_GB2312" w:eastAsia="仿宋_GB2312"/>
          <w:sz w:val="32"/>
          <w:szCs w:val="32"/>
          <w:lang w:val="en-US" w:eastAsia="zh-CN"/>
        </w:rPr>
        <w:t>3881.66</w:t>
      </w:r>
      <w:r>
        <w:rPr>
          <w:rFonts w:hint="eastAsia" w:ascii="仿宋_GB2312" w:hAnsi="Times New Roman" w:eastAsia="仿宋_GB2312" w:cs="DengXian-Regular"/>
          <w:sz w:val="32"/>
          <w:szCs w:val="32"/>
        </w:rPr>
        <w:t>万元，</w:t>
      </w:r>
      <w:r>
        <w:rPr>
          <w:rFonts w:hint="eastAsia" w:ascii="仿宋_GB2312" w:eastAsia="仿宋_GB2312"/>
          <w:sz w:val="32"/>
          <w:szCs w:val="32"/>
        </w:rPr>
        <w:t>占总支出99.</w:t>
      </w:r>
      <w:r>
        <w:rPr>
          <w:rFonts w:hint="eastAsia" w:ascii="仿宋_GB2312" w:eastAsia="仿宋_GB2312"/>
          <w:sz w:val="32"/>
          <w:szCs w:val="32"/>
          <w:lang w:val="en-US" w:eastAsia="zh-CN"/>
        </w:rPr>
        <w:t>59</w:t>
      </w:r>
      <w:r>
        <w:rPr>
          <w:rFonts w:hint="eastAsia" w:ascii="仿宋_GB2312" w:eastAsia="仿宋_GB2312"/>
          <w:sz w:val="32"/>
          <w:szCs w:val="32"/>
        </w:rPr>
        <w:t>%；项目支出</w:t>
      </w:r>
      <w:r>
        <w:rPr>
          <w:rFonts w:hint="eastAsia" w:ascii="仿宋_GB2312" w:eastAsia="仿宋_GB2312"/>
          <w:sz w:val="32"/>
          <w:szCs w:val="32"/>
          <w:lang w:val="en-US" w:eastAsia="zh-CN"/>
        </w:rPr>
        <w:t>16</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sz w:val="32"/>
          <w:szCs w:val="32"/>
        </w:rPr>
        <w:t>占总支出0.</w:t>
      </w:r>
      <w:r>
        <w:rPr>
          <w:rFonts w:hint="eastAsia" w:ascii="仿宋_GB2312" w:eastAsia="仿宋_GB2312"/>
          <w:sz w:val="32"/>
          <w:szCs w:val="32"/>
          <w:lang w:val="en-US" w:eastAsia="zh-CN"/>
        </w:rPr>
        <w:t>41</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余7.52万元，占总收入的0.24%。</w:t>
      </w:r>
    </w:p>
    <w:p>
      <w:pPr>
        <w:spacing w:line="560" w:lineRule="exact"/>
        <w:rPr>
          <w:rFonts w:hint="eastAsia" w:ascii="仿宋_GB2312" w:eastAsia="仿宋_GB2312"/>
          <w:sz w:val="32"/>
          <w:szCs w:val="32"/>
          <w:lang w:val="en-US" w:eastAsia="zh-CN"/>
        </w:rPr>
      </w:pPr>
      <w:r>
        <w:rPr>
          <w:rFonts w:hint="eastAsia" w:ascii="仿宋_GB2312" w:hAnsi="仿宋" w:eastAsia="仿宋_GB2312"/>
          <w:sz w:val="32"/>
          <w:szCs w:val="32"/>
          <w:lang w:eastAsia="zh-CN"/>
        </w:rPr>
        <w:drawing>
          <wp:anchor distT="0" distB="0" distL="114300" distR="114300" simplePos="0" relativeHeight="251696128" behindDoc="1" locked="0" layoutInCell="1" allowOverlap="1">
            <wp:simplePos x="0" y="0"/>
            <wp:positionH relativeFrom="column">
              <wp:posOffset>1092200</wp:posOffset>
            </wp:positionH>
            <wp:positionV relativeFrom="page">
              <wp:posOffset>7217410</wp:posOffset>
            </wp:positionV>
            <wp:extent cx="2929890" cy="2199640"/>
            <wp:effectExtent l="0" t="0" r="41910" b="40640"/>
            <wp:wrapTight wrapText="bothSides">
              <wp:wrapPolygon>
                <wp:start x="0" y="0"/>
                <wp:lineTo x="0" y="21400"/>
                <wp:lineTo x="21460" y="21400"/>
                <wp:lineTo x="21460" y="0"/>
                <wp:lineTo x="0" y="0"/>
              </wp:wrapPolygon>
            </wp:wrapTight>
            <wp:docPr id="35" name="图片 2" descr="收入支出结构对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 descr="收入支出结构对比"/>
                    <pic:cNvPicPr>
                      <a:picLocks noChangeAspect="1"/>
                    </pic:cNvPicPr>
                  </pic:nvPicPr>
                  <pic:blipFill>
                    <a:blip r:embed="rId32"/>
                    <a:stretch>
                      <a:fillRect/>
                    </a:stretch>
                  </pic:blipFill>
                  <pic:spPr>
                    <a:xfrm>
                      <a:off x="0" y="0"/>
                      <a:ext cx="2929890" cy="2199640"/>
                    </a:xfrm>
                    <a:prstGeom prst="rect">
                      <a:avLst/>
                    </a:prstGeom>
                    <a:noFill/>
                    <a:ln>
                      <a:noFill/>
                    </a:ln>
                  </pic:spPr>
                </pic:pic>
              </a:graphicData>
            </a:graphic>
          </wp:anchor>
        </w:drawing>
      </w:r>
    </w:p>
    <w:p>
      <w:pPr>
        <w:spacing w:line="560" w:lineRule="exact"/>
        <w:ind w:firstLine="640" w:firstLineChars="200"/>
        <w:rPr>
          <w:rFonts w:hint="eastAsia" w:ascii="仿宋_GB2312" w:eastAsia="仿宋_GB2312"/>
          <w:sz w:val="32"/>
          <w:szCs w:val="32"/>
          <w:lang w:val="en-US" w:eastAsia="zh-CN"/>
        </w:rPr>
      </w:pPr>
    </w:p>
    <w:p>
      <w:pPr>
        <w:spacing w:line="560" w:lineRule="exact"/>
        <w:ind w:firstLine="640" w:firstLineChars="200"/>
        <w:rPr>
          <w:rFonts w:hint="eastAsia" w:ascii="仿宋_GB2312" w:eastAsia="仿宋_GB2312"/>
          <w:sz w:val="32"/>
          <w:szCs w:val="32"/>
          <w:lang w:val="en-US" w:eastAsia="zh-CN"/>
        </w:rPr>
      </w:pPr>
    </w:p>
    <w:p>
      <w:pPr>
        <w:spacing w:line="560" w:lineRule="exact"/>
        <w:ind w:firstLine="640" w:firstLineChars="200"/>
        <w:jc w:val="center"/>
        <w:rPr>
          <w:rFonts w:hint="eastAsia" w:ascii="仿宋_GB2312" w:eastAsia="仿宋_GB2312"/>
          <w:sz w:val="32"/>
          <w:szCs w:val="32"/>
          <w:lang w:val="en-US" w:eastAsia="zh-CN"/>
        </w:rPr>
      </w:pPr>
    </w:p>
    <w:p>
      <w:pPr>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p>
    <w:p>
      <w:pPr>
        <w:spacing w:line="560" w:lineRule="exact"/>
        <w:ind w:firstLine="640" w:firstLineChars="200"/>
        <w:rPr>
          <w:rFonts w:hint="eastAsia" w:ascii="仿宋_GB2312" w:eastAsia="仿宋_GB2312"/>
          <w:sz w:val="32"/>
          <w:szCs w:val="32"/>
          <w:lang w:val="en-US" w:eastAsia="zh-CN"/>
        </w:rPr>
      </w:pPr>
    </w:p>
    <w:p>
      <w:pPr>
        <w:spacing w:line="560" w:lineRule="exact"/>
        <w:ind w:firstLine="640" w:firstLineChars="200"/>
        <w:rPr>
          <w:rFonts w:hint="eastAsia" w:ascii="仿宋_GB2312" w:eastAsia="仿宋_GB2312"/>
          <w:sz w:val="32"/>
          <w:szCs w:val="32"/>
          <w:lang w:val="en-US"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仿宋_GB2312" w:eastAsia="仿宋_GB2312" w:cs="仿宋_GB2312"/>
          <w:sz w:val="32"/>
          <w:szCs w:val="32"/>
          <w:lang w:val="en-US" w:eastAsia="zh-CN"/>
        </w:rPr>
        <w:t>3905.18</w:t>
      </w:r>
      <w:r>
        <w:rPr>
          <w:rFonts w:hint="eastAsia" w:ascii="仿宋_GB2312" w:hAnsi="Times New Roman" w:eastAsia="仿宋_GB2312" w:cs="DengXian-Regular"/>
          <w:sz w:val="32"/>
          <w:szCs w:val="32"/>
        </w:rPr>
        <w:t>万元,比2018年度减少</w:t>
      </w:r>
      <w:r>
        <w:rPr>
          <w:rFonts w:hint="eastAsia" w:ascii="仿宋_GB2312" w:hAnsi="仿宋_GB2312" w:eastAsia="仿宋_GB2312" w:cs="仿宋_GB2312"/>
          <w:sz w:val="32"/>
          <w:szCs w:val="32"/>
          <w:lang w:val="en-US" w:eastAsia="zh-CN"/>
        </w:rPr>
        <w:t>1939.86</w:t>
      </w:r>
      <w:r>
        <w:rPr>
          <w:rFonts w:hint="eastAsia" w:ascii="仿宋_GB2312" w:hAnsi="Times New Roman" w:eastAsia="仿宋_GB2312" w:cs="DengXian-Regular"/>
          <w:sz w:val="32"/>
          <w:szCs w:val="32"/>
        </w:rPr>
        <w:t>万元，减少3</w:t>
      </w:r>
      <w:r>
        <w:rPr>
          <w:rFonts w:hint="eastAsia" w:ascii="仿宋_GB2312" w:hAnsi="Times New Roman" w:eastAsia="仿宋_GB2312" w:cs="DengXian-Regular"/>
          <w:sz w:val="32"/>
          <w:szCs w:val="32"/>
          <w:lang w:val="en-US" w:eastAsia="zh-CN"/>
        </w:rPr>
        <w:t>3</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%，主要原因是</w:t>
      </w:r>
      <w:r>
        <w:rPr>
          <w:rFonts w:hint="eastAsia" w:ascii="仿宋" w:hAnsi="仿宋" w:eastAsia="仿宋"/>
          <w:color w:val="auto"/>
          <w:sz w:val="32"/>
          <w:szCs w:val="32"/>
          <w:highlight w:val="none"/>
          <w:lang w:val="en-US" w:eastAsia="zh-CN"/>
        </w:rPr>
        <w:t>人员经费</w:t>
      </w:r>
      <w:r>
        <w:rPr>
          <w:rFonts w:hint="eastAsia" w:ascii="仿宋" w:hAnsi="仿宋" w:eastAsia="仿宋"/>
          <w:color w:val="auto"/>
          <w:sz w:val="32"/>
          <w:szCs w:val="32"/>
          <w:highlight w:val="none"/>
          <w:lang w:eastAsia="zh-CN"/>
        </w:rPr>
        <w:t>减少</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减少。</w:t>
      </w:r>
    </w:p>
    <w:p>
      <w:pPr>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3056" behindDoc="0" locked="0" layoutInCell="1" allowOverlap="1">
            <wp:simplePos x="0" y="0"/>
            <wp:positionH relativeFrom="column">
              <wp:posOffset>835660</wp:posOffset>
            </wp:positionH>
            <wp:positionV relativeFrom="paragraph">
              <wp:posOffset>226060</wp:posOffset>
            </wp:positionV>
            <wp:extent cx="4065905" cy="3020060"/>
            <wp:effectExtent l="4445" t="4445" r="6350" b="2349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color w:val="FFFFFF" w:themeColor="background1"/>
          <w:sz w:val="32"/>
          <w:szCs w:val="32"/>
          <w14:textFill>
            <w14:solidFill>
              <w14:schemeClr w14:val="bg1"/>
            </w14:solidFill>
          </w14:textFill>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snapToGrid w:val="0"/>
        <w:spacing w:line="520" w:lineRule="exact"/>
        <w:rPr>
          <w:rFonts w:hint="eastAsia" w:ascii="仿宋_GB2312" w:hAnsi="仿宋" w:eastAsia="仿宋_GB2312"/>
          <w:b/>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仿宋_GB2312" w:eastAsia="仿宋_GB2312" w:cs="仿宋_GB2312"/>
          <w:sz w:val="32"/>
          <w:szCs w:val="32"/>
          <w:lang w:val="en-US" w:eastAsia="zh-CN"/>
        </w:rPr>
        <w:t>3905.18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89.97</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减少</w:t>
      </w:r>
      <w:r>
        <w:rPr>
          <w:rFonts w:hint="eastAsia" w:ascii="仿宋_GB2312" w:hAnsi="仿宋" w:eastAsia="仿宋_GB2312"/>
          <w:color w:val="auto"/>
          <w:sz w:val="32"/>
          <w:szCs w:val="32"/>
          <w:highlight w:val="none"/>
          <w:lang w:val="en-US" w:eastAsia="zh-CN"/>
        </w:rPr>
        <w:t>435.2</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val="en-US" w:eastAsia="zh-CN"/>
        </w:rPr>
        <w:t>小于</w:t>
      </w:r>
      <w:r>
        <w:rPr>
          <w:rFonts w:hint="eastAsia" w:ascii="仿宋_GB2312" w:hAnsi="Times New Roman" w:eastAsia="仿宋_GB2312" w:cs="DengXian-Regular"/>
          <w:sz w:val="32"/>
          <w:szCs w:val="32"/>
        </w:rPr>
        <w:t>预算数主要原因是</w:t>
      </w:r>
      <w:r>
        <w:rPr>
          <w:rFonts w:hint="eastAsia" w:ascii="仿宋_GB2312" w:hAnsi="仿宋" w:eastAsia="仿宋_GB2312"/>
          <w:color w:val="auto"/>
          <w:sz w:val="32"/>
          <w:szCs w:val="32"/>
          <w:highlight w:val="none"/>
          <w:lang w:val="en-US" w:eastAsia="zh-CN"/>
        </w:rPr>
        <w:t>目标奖、精神文明奖2018年度预拨部分，已经计入2018年度预算支出。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999490</wp:posOffset>
            </wp:positionH>
            <wp:positionV relativeFrom="paragraph">
              <wp:posOffset>361315</wp:posOffset>
            </wp:positionV>
            <wp:extent cx="3642360" cy="2926715"/>
            <wp:effectExtent l="4445" t="4445" r="10795" b="2159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仿宋_GB2312" w:eastAsia="仿宋_GB2312" w:cs="仿宋_GB2312"/>
          <w:sz w:val="32"/>
          <w:szCs w:val="32"/>
          <w:lang w:val="en-US" w:eastAsia="zh-CN"/>
        </w:rPr>
        <w:t>3897.66</w:t>
      </w:r>
      <w:r>
        <w:rPr>
          <w:rFonts w:hint="eastAsia" w:ascii="仿宋_GB2312" w:hAnsi="Times New Roman" w:eastAsia="仿宋_GB2312" w:cs="DengXian-Regular"/>
          <w:sz w:val="32"/>
          <w:szCs w:val="32"/>
        </w:rPr>
        <w:t>万元，主要用于以下方面：一般公共服务支出</w:t>
      </w:r>
      <w:r>
        <w:rPr>
          <w:rFonts w:hint="eastAsia" w:ascii="仿宋_GB2312" w:hAnsi="仿宋_GB2312" w:eastAsia="仿宋_GB2312" w:cs="仿宋_GB2312"/>
          <w:sz w:val="32"/>
          <w:szCs w:val="32"/>
          <w:lang w:val="en-US" w:eastAsia="zh-CN"/>
        </w:rPr>
        <w:t>794.21</w:t>
      </w:r>
      <w:r>
        <w:rPr>
          <w:rFonts w:hint="eastAsia" w:ascii="仿宋_GB2312" w:hAnsi="Times New Roman" w:eastAsia="仿宋_GB2312" w:cs="DengXian-Regular"/>
          <w:sz w:val="32"/>
          <w:szCs w:val="32"/>
        </w:rPr>
        <w:t>万元，占比</w:t>
      </w:r>
      <w:r>
        <w:rPr>
          <w:rFonts w:hint="eastAsia" w:ascii="仿宋_GB2312" w:hAnsi="Times New Roman" w:eastAsia="仿宋_GB2312" w:cs="DengXian-Regular"/>
          <w:sz w:val="32"/>
          <w:szCs w:val="32"/>
          <w:lang w:val="en-US" w:eastAsia="zh-CN"/>
        </w:rPr>
        <w:t>20.38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3103.45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79.62</w:t>
      </w:r>
      <w:r>
        <w:rPr>
          <w:rFonts w:hint="eastAsia" w:ascii="仿宋_GB2312" w:eastAsia="仿宋_GB2312" w:cs="DengXian-Regular"/>
          <w:sz w:val="32"/>
          <w:szCs w:val="32"/>
        </w:rPr>
        <w:t>%。</w:t>
      </w: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95104" behindDoc="0" locked="0" layoutInCell="1" allowOverlap="1">
            <wp:simplePos x="0" y="0"/>
            <wp:positionH relativeFrom="column">
              <wp:posOffset>655320</wp:posOffset>
            </wp:positionH>
            <wp:positionV relativeFrom="paragraph">
              <wp:posOffset>100330</wp:posOffset>
            </wp:positionV>
            <wp:extent cx="4187825" cy="2773680"/>
            <wp:effectExtent l="4445" t="4445" r="13970" b="10795"/>
            <wp:wrapSquare wrapText="bothSides"/>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rPr>
          <w:rFonts w:ascii="楷体_GB2312" w:hAnsi="Times New Roman" w:eastAsia="楷体_GB2312" w:cs="DengXian-Bold"/>
          <w:b w:val="0"/>
          <w:bCs w:val="0"/>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仿宋_GB2312" w:eastAsia="仿宋_GB2312" w:cs="仿宋_GB2312"/>
          <w:sz w:val="32"/>
          <w:szCs w:val="32"/>
          <w:lang w:val="en-US" w:eastAsia="zh-CN"/>
        </w:rPr>
        <w:t>3897.66</w:t>
      </w:r>
      <w:r>
        <w:rPr>
          <w:rFonts w:hint="eastAsia" w:ascii="仿宋_GB2312" w:hAnsi="Times New Roman" w:eastAsia="仿宋_GB2312" w:cs="DengXian-Regular"/>
          <w:sz w:val="32"/>
          <w:szCs w:val="32"/>
        </w:rPr>
        <w:t xml:space="preserve">万元，其中：人员经费 </w:t>
      </w:r>
      <w:r>
        <w:rPr>
          <w:rFonts w:hint="eastAsia" w:ascii="仿宋_GB2312" w:hAnsi="仿宋" w:eastAsia="仿宋_GB2312"/>
          <w:color w:val="auto"/>
          <w:sz w:val="32"/>
          <w:szCs w:val="32"/>
          <w:lang w:val="en-US" w:eastAsia="zh-CN"/>
        </w:rPr>
        <w:t>3594.84</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仿宋" w:eastAsia="仿宋_GB2312"/>
          <w:color w:val="auto"/>
          <w:sz w:val="32"/>
          <w:szCs w:val="32"/>
          <w:lang w:val="en-US" w:eastAsia="zh-CN"/>
        </w:rPr>
        <w:t>286.82</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仿宋" w:eastAsia="仿宋_GB2312"/>
          <w:sz w:val="32"/>
          <w:szCs w:val="32"/>
          <w:lang w:val="en-US" w:eastAsia="zh-CN"/>
        </w:rPr>
        <w:t>4.29</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97.5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0.11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严格控制三公经费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因公出国（境）费支出0万元。</w:t>
      </w:r>
      <w:r>
        <w:rPr>
          <w:rFonts w:hint="eastAsia" w:ascii="楷体_GB2312" w:hAnsi="Times New Roman" w:eastAsia="楷体_GB2312" w:cs="DengXian-Bold"/>
          <w:b/>
          <w:bCs/>
          <w:sz w:val="32"/>
          <w:szCs w:val="32"/>
          <w:lang w:val="en-US" w:eastAsia="zh-CN"/>
        </w:rPr>
        <w:t xml:space="preserve">  </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无本单位组织的出国（境）团组。因公出国（境）费支出</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；较上年无变化，</w:t>
      </w:r>
      <w:r>
        <w:rPr>
          <w:rFonts w:hint="eastAsia" w:ascii="仿宋_GB2312" w:hAnsi="Times New Roman" w:eastAsia="仿宋_GB2312" w:cs="DengXian-Regular"/>
          <w:color w:val="000000"/>
          <w:sz w:val="32"/>
          <w:szCs w:val="32"/>
        </w:rPr>
        <w:t>与2018年度决算支出持平</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二</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公务用车购置及运行维护费支出万元。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0.11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本部门2019年度公务用车购置量0辆，发生“公务用车购置”经费支出0万元。公务用车购置费支出较年初预算持平、与2018年度决算支出持平。</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0.11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lang w:val="en-US" w:eastAsia="zh-CN"/>
        </w:rPr>
        <w:t xml:space="preserve"> </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本部门2019年度公务接待共0批次、0人次。公务接待费支出较年初预算数持平、较上年度决算支出数持平。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109.61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val="en-US" w:eastAsia="zh-CN"/>
        </w:rPr>
        <w:t>南董镇</w:t>
      </w:r>
      <w:r>
        <w:rPr>
          <w:rFonts w:hint="eastAsia" w:ascii="仿宋_GB2312" w:hAnsi="仿宋_GB2312" w:eastAsia="仿宋_GB2312" w:cs="仿宋_GB2312"/>
          <w:sz w:val="32"/>
          <w:szCs w:val="32"/>
          <w:lang w:eastAsia="zh-CN"/>
        </w:rPr>
        <w:t>效评价工作能够按照规定进行开展，各项指标设定能够符合项目实际，对提升项目绩效管理水平、预算管理水平起到一定支撑保障作用。</w:t>
      </w:r>
      <w:bookmarkStart w:id="0" w:name="_GoBack"/>
      <w:bookmarkEnd w:id="0"/>
    </w:p>
    <w:p>
      <w:pPr>
        <w:numPr>
          <w:ilvl w:val="0"/>
          <w:numId w:val="2"/>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部门决算中项目绩效自评结果。</w:t>
      </w:r>
    </w:p>
    <w:p>
      <w:p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综合公用经费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政府工会费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）综合公用经费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综合公用经费项目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90.61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90.61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保障工作经费，各项工作正常开展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w:t>
      </w:r>
      <w:r>
        <w:rPr>
          <w:rFonts w:hint="eastAsia" w:ascii="仿宋_GB2312" w:hAnsi="仿宋_GB2312" w:eastAsia="仿宋_GB2312" w:cs="仿宋_GB2312"/>
          <w:sz w:val="32"/>
          <w:szCs w:val="32"/>
          <w:lang w:val="en-US" w:eastAsia="zh-CN"/>
        </w:rPr>
        <w:t>资金分配不尽合理。</w:t>
      </w:r>
      <w:r>
        <w:rPr>
          <w:rFonts w:hint="eastAsia" w:ascii="仿宋_GB2312" w:hAnsi="仿宋_GB2312" w:eastAsia="仿宋_GB2312" w:cs="仿宋_GB2312"/>
          <w:sz w:val="32"/>
          <w:szCs w:val="32"/>
          <w:lang w:eastAsia="zh-CN"/>
        </w:rPr>
        <w:t>下一步整改的措施：</w:t>
      </w:r>
      <w:r>
        <w:rPr>
          <w:rFonts w:hint="eastAsia" w:ascii="仿宋_GB2312" w:hAnsi="仿宋_GB2312" w:eastAsia="仿宋_GB2312" w:cs="仿宋_GB2312"/>
          <w:sz w:val="32"/>
          <w:szCs w:val="32"/>
          <w:lang w:val="en-US" w:eastAsia="zh-CN"/>
        </w:rPr>
        <w:t>应对各项工作的资金需求进行合理定位，科学分配，达到资金合理利用。</w:t>
      </w:r>
    </w:p>
    <w:tbl>
      <w:tblPr>
        <w:tblStyle w:val="6"/>
        <w:tblW w:w="8935" w:type="dxa"/>
        <w:tblInd w:w="0" w:type="dxa"/>
        <w:shd w:val="clear" w:color="auto" w:fill="auto"/>
        <w:tblLayout w:type="fixed"/>
        <w:tblCellMar>
          <w:top w:w="0" w:type="dxa"/>
          <w:left w:w="0" w:type="dxa"/>
          <w:bottom w:w="0" w:type="dxa"/>
          <w:right w:w="0" w:type="dxa"/>
        </w:tblCellMar>
      </w:tblPr>
      <w:tblGrid>
        <w:gridCol w:w="1219"/>
        <w:gridCol w:w="1626"/>
        <w:gridCol w:w="1230"/>
        <w:gridCol w:w="852"/>
        <w:gridCol w:w="1440"/>
        <w:gridCol w:w="696"/>
        <w:gridCol w:w="600"/>
        <w:gridCol w:w="1272"/>
      </w:tblGrid>
      <w:tr>
        <w:tblPrEx>
          <w:tblCellMar>
            <w:top w:w="0" w:type="dxa"/>
            <w:left w:w="0" w:type="dxa"/>
            <w:bottom w:w="0" w:type="dxa"/>
            <w:right w:w="0" w:type="dxa"/>
          </w:tblCellMar>
        </w:tblPrEx>
        <w:trPr>
          <w:trHeight w:val="312" w:hRule="atLeast"/>
        </w:trPr>
        <w:tc>
          <w:tcPr>
            <w:tcW w:w="8935"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shd w:val="clear" w:color="auto" w:fill="auto"/>
          <w:tblCellMar>
            <w:top w:w="0" w:type="dxa"/>
            <w:left w:w="0" w:type="dxa"/>
            <w:bottom w:w="0" w:type="dxa"/>
            <w:right w:w="0" w:type="dxa"/>
          </w:tblCellMar>
        </w:tblPrEx>
        <w:trPr>
          <w:trHeight w:val="312" w:hRule="atLeast"/>
        </w:trPr>
        <w:tc>
          <w:tcPr>
            <w:tcW w:w="8935"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36"/>
                <w:szCs w:val="36"/>
                <w:u w:val="none"/>
              </w:rPr>
            </w:pPr>
          </w:p>
        </w:tc>
      </w:tr>
      <w:tr>
        <w:tblPrEx>
          <w:tblCellMar>
            <w:top w:w="0" w:type="dxa"/>
            <w:left w:w="0" w:type="dxa"/>
            <w:bottom w:w="0" w:type="dxa"/>
            <w:right w:w="0" w:type="dxa"/>
          </w:tblCellMar>
        </w:tblPrEx>
        <w:trPr>
          <w:trHeight w:val="240" w:hRule="atLeast"/>
        </w:trPr>
        <w:tc>
          <w:tcPr>
            <w:tcW w:w="8935"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shd w:val="clear" w:color="auto" w:fill="auto"/>
          <w:tblCellMar>
            <w:top w:w="0" w:type="dxa"/>
            <w:left w:w="0" w:type="dxa"/>
            <w:bottom w:w="0" w:type="dxa"/>
            <w:right w:w="0" w:type="dxa"/>
          </w:tblCellMar>
        </w:tblPrEx>
        <w:trPr>
          <w:trHeight w:val="348" w:hRule="atLeast"/>
        </w:trPr>
        <w:tc>
          <w:tcPr>
            <w:tcW w:w="2845" w:type="dxa"/>
            <w:gridSpan w:val="2"/>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填报单位：南董镇政府</w:t>
            </w:r>
          </w:p>
        </w:tc>
        <w:tc>
          <w:tcPr>
            <w:tcW w:w="1230"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85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440"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2568"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shd w:val="clear" w:color="auto" w:fill="auto"/>
          <w:tblCellMar>
            <w:top w:w="0" w:type="dxa"/>
            <w:left w:w="0" w:type="dxa"/>
            <w:bottom w:w="0" w:type="dxa"/>
            <w:right w:w="0" w:type="dxa"/>
          </w:tblCellMar>
        </w:tblPrEx>
        <w:trPr>
          <w:trHeight w:val="395" w:hRule="atLeast"/>
        </w:trPr>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0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南董镇综合公用经费</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5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南董镇政府</w:t>
            </w:r>
          </w:p>
        </w:tc>
      </w:tr>
      <w:tr>
        <w:tblPrEx>
          <w:tblCellMar>
            <w:top w:w="0" w:type="dxa"/>
            <w:left w:w="0" w:type="dxa"/>
            <w:bottom w:w="0" w:type="dxa"/>
            <w:right w:w="0" w:type="dxa"/>
          </w:tblCellMar>
        </w:tblPrEx>
        <w:trPr>
          <w:trHeight w:val="379"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28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shd w:val="clear" w:color="auto" w:fill="auto"/>
          <w:tblCellMar>
            <w:top w:w="0" w:type="dxa"/>
            <w:left w:w="0" w:type="dxa"/>
            <w:bottom w:w="0" w:type="dxa"/>
            <w:right w:w="0" w:type="dxa"/>
          </w:tblCellMar>
        </w:tblPrEx>
        <w:trPr>
          <w:trHeight w:val="280"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shd w:val="clear" w:color="auto" w:fill="auto"/>
          <w:tblCellMar>
            <w:top w:w="0" w:type="dxa"/>
            <w:left w:w="0" w:type="dxa"/>
            <w:bottom w:w="0" w:type="dxa"/>
            <w:right w:w="0" w:type="dxa"/>
          </w:tblCellMar>
        </w:tblPrEx>
        <w:trPr>
          <w:trHeight w:val="506"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90.61</w:t>
            </w: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0"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4"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7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shd w:val="clear" w:color="auto" w:fill="auto"/>
          <w:tblCellMar>
            <w:top w:w="0" w:type="dxa"/>
            <w:left w:w="0" w:type="dxa"/>
            <w:bottom w:w="0" w:type="dxa"/>
            <w:right w:w="0" w:type="dxa"/>
          </w:tblCellMar>
        </w:tblPrEx>
        <w:trPr>
          <w:trHeight w:val="316"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370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合理安排资金保障全年各项工作顺利开展</w:t>
            </w:r>
          </w:p>
        </w:tc>
        <w:tc>
          <w:tcPr>
            <w:tcW w:w="273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保障工作经费，各项工作正常开展</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CellMar>
            <w:top w:w="0" w:type="dxa"/>
            <w:left w:w="0" w:type="dxa"/>
            <w:bottom w:w="0" w:type="dxa"/>
            <w:right w:w="0" w:type="dxa"/>
          </w:tblCellMar>
        </w:tblPrEx>
        <w:trPr>
          <w:trHeight w:val="555"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CellMar>
            <w:top w:w="0" w:type="dxa"/>
            <w:left w:w="0" w:type="dxa"/>
            <w:bottom w:w="0" w:type="dxa"/>
            <w:right w:w="0" w:type="dxa"/>
          </w:tblCellMar>
        </w:tblPrEx>
        <w:trPr>
          <w:trHeight w:val="390"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经费保障率 </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CellMar>
            <w:top w:w="0" w:type="dxa"/>
            <w:left w:w="0" w:type="dxa"/>
            <w:bottom w:w="0" w:type="dxa"/>
            <w:right w:w="0" w:type="dxa"/>
          </w:tblCellMar>
        </w:tblPrEx>
        <w:trPr>
          <w:trHeight w:val="318"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拨付及时率</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CellMar>
            <w:top w:w="0" w:type="dxa"/>
            <w:left w:w="0" w:type="dxa"/>
            <w:bottom w:w="0" w:type="dxa"/>
            <w:right w:w="0" w:type="dxa"/>
          </w:tblCellMar>
        </w:tblPrEx>
        <w:trPr>
          <w:trHeight w:val="530"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项目是否按进度执行</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shd w:val="clear" w:color="auto" w:fill="auto"/>
          <w:tblCellMar>
            <w:top w:w="0" w:type="dxa"/>
            <w:left w:w="0" w:type="dxa"/>
            <w:bottom w:w="0" w:type="dxa"/>
            <w:right w:w="0" w:type="dxa"/>
          </w:tblCellMar>
        </w:tblPrEx>
        <w:trPr>
          <w:trHeight w:val="662"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各项工作是否能够顺利开展</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工作顺利开展</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能够顺利开展</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r>
      <w:tr>
        <w:tblPrEx>
          <w:tblCellMar>
            <w:top w:w="0" w:type="dxa"/>
            <w:left w:w="0" w:type="dxa"/>
            <w:bottom w:w="0" w:type="dxa"/>
            <w:right w:w="0" w:type="dxa"/>
          </w:tblCellMar>
        </w:tblPrEx>
        <w:trPr>
          <w:trHeight w:val="376"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6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29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群众对工作的满意率</w:t>
            </w: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100%</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shd w:val="clear" w:color="auto" w:fill="auto"/>
          <w:tblCellMar>
            <w:top w:w="0" w:type="dxa"/>
            <w:left w:w="0" w:type="dxa"/>
            <w:bottom w:w="0" w:type="dxa"/>
            <w:right w:w="0" w:type="dxa"/>
          </w:tblCellMar>
        </w:tblPrEx>
        <w:trPr>
          <w:trHeight w:val="259"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644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94</w:t>
            </w:r>
          </w:p>
        </w:tc>
      </w:tr>
      <w:tr>
        <w:tblPrEx>
          <w:tblCellMar>
            <w:top w:w="0" w:type="dxa"/>
            <w:left w:w="0" w:type="dxa"/>
            <w:bottom w:w="0" w:type="dxa"/>
            <w:right w:w="0" w:type="dxa"/>
          </w:tblCellMar>
        </w:tblPrEx>
        <w:trPr>
          <w:trHeight w:val="892" w:hRule="atLeast"/>
        </w:trPr>
        <w:tc>
          <w:tcPr>
            <w:tcW w:w="12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71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应对各项工作的资金需求进行合理定位，科学分配，达到资金合理利用。</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政府工会费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政府工会费项目绩效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及时上缴工会费，确保工会工作顺利开展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lang w:val="en-US" w:eastAsia="zh-CN"/>
        </w:rPr>
        <w:t>无。</w:t>
      </w:r>
    </w:p>
    <w:tbl>
      <w:tblPr>
        <w:tblStyle w:val="6"/>
        <w:tblW w:w="9295" w:type="dxa"/>
        <w:tblInd w:w="0" w:type="dxa"/>
        <w:shd w:val="clear" w:color="auto" w:fill="auto"/>
        <w:tblLayout w:type="fixed"/>
        <w:tblCellMar>
          <w:top w:w="0" w:type="dxa"/>
          <w:left w:w="0" w:type="dxa"/>
          <w:bottom w:w="0" w:type="dxa"/>
          <w:right w:w="0" w:type="dxa"/>
        </w:tblCellMar>
      </w:tblPr>
      <w:tblGrid>
        <w:gridCol w:w="1219"/>
        <w:gridCol w:w="1548"/>
        <w:gridCol w:w="1332"/>
        <w:gridCol w:w="1008"/>
        <w:gridCol w:w="1392"/>
        <w:gridCol w:w="804"/>
        <w:gridCol w:w="972"/>
        <w:gridCol w:w="1020"/>
      </w:tblGrid>
      <w:tr>
        <w:tblPrEx>
          <w:shd w:val="clear" w:color="auto" w:fill="auto"/>
          <w:tblCellMar>
            <w:top w:w="0" w:type="dxa"/>
            <w:left w:w="0" w:type="dxa"/>
            <w:bottom w:w="0" w:type="dxa"/>
            <w:right w:w="0" w:type="dxa"/>
          </w:tblCellMar>
        </w:tblPrEx>
        <w:trPr>
          <w:trHeight w:val="312" w:hRule="atLeast"/>
        </w:trPr>
        <w:tc>
          <w:tcPr>
            <w:tcW w:w="9295"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tblPrEx>
          <w:tblCellMar>
            <w:top w:w="0" w:type="dxa"/>
            <w:left w:w="0" w:type="dxa"/>
            <w:bottom w:w="0" w:type="dxa"/>
            <w:right w:w="0" w:type="dxa"/>
          </w:tblCellMar>
        </w:tblPrEx>
        <w:trPr>
          <w:trHeight w:val="312" w:hRule="atLeast"/>
        </w:trPr>
        <w:tc>
          <w:tcPr>
            <w:tcW w:w="9295"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shd w:val="clear" w:color="auto" w:fill="auto"/>
          <w:tblCellMar>
            <w:top w:w="0" w:type="dxa"/>
            <w:left w:w="0" w:type="dxa"/>
            <w:bottom w:w="0" w:type="dxa"/>
            <w:right w:w="0" w:type="dxa"/>
          </w:tblCellMar>
        </w:tblPrEx>
        <w:trPr>
          <w:trHeight w:val="279" w:hRule="atLeast"/>
        </w:trPr>
        <w:tc>
          <w:tcPr>
            <w:tcW w:w="9295"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2019  年度）</w:t>
            </w:r>
          </w:p>
        </w:tc>
      </w:tr>
      <w:tr>
        <w:tblPrEx>
          <w:tblCellMar>
            <w:top w:w="0" w:type="dxa"/>
            <w:left w:w="0" w:type="dxa"/>
            <w:bottom w:w="0" w:type="dxa"/>
            <w:right w:w="0" w:type="dxa"/>
          </w:tblCellMar>
        </w:tblPrEx>
        <w:trPr>
          <w:trHeight w:val="279" w:hRule="atLeast"/>
        </w:trPr>
        <w:tc>
          <w:tcPr>
            <w:tcW w:w="2767" w:type="dxa"/>
            <w:gridSpan w:val="2"/>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填报单位：南董镇政府</w:t>
            </w:r>
          </w:p>
        </w:tc>
        <w:tc>
          <w:tcPr>
            <w:tcW w:w="133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008"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39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804"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992"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CellMar>
            <w:top w:w="0" w:type="dxa"/>
            <w:left w:w="0" w:type="dxa"/>
            <w:bottom w:w="0" w:type="dxa"/>
            <w:right w:w="0" w:type="dxa"/>
          </w:tblCellMar>
        </w:tblPrEx>
        <w:trPr>
          <w:trHeight w:val="352" w:hRule="atLeast"/>
        </w:trPr>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南董镇政府工会费</w:t>
            </w:r>
          </w:p>
        </w:tc>
        <w:tc>
          <w:tcPr>
            <w:tcW w:w="13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7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南董镇政府</w:t>
            </w:r>
          </w:p>
        </w:tc>
      </w:tr>
      <w:tr>
        <w:tblPrEx>
          <w:tblCellMar>
            <w:top w:w="0" w:type="dxa"/>
            <w:left w:w="0" w:type="dxa"/>
            <w:bottom w:w="0" w:type="dxa"/>
            <w:right w:w="0" w:type="dxa"/>
          </w:tblCellMar>
        </w:tblPrEx>
        <w:trPr>
          <w:trHeight w:val="434"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7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tblCellMar>
            <w:top w:w="0" w:type="dxa"/>
            <w:left w:w="0" w:type="dxa"/>
            <w:bottom w:w="0" w:type="dxa"/>
            <w:right w:w="0" w:type="dxa"/>
          </w:tblCellMar>
        </w:tblPrEx>
        <w:trPr>
          <w:trHeight w:val="287"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CellMar>
            <w:top w:w="0" w:type="dxa"/>
            <w:left w:w="0" w:type="dxa"/>
            <w:bottom w:w="0" w:type="dxa"/>
            <w:right w:w="0" w:type="dxa"/>
          </w:tblCellMar>
        </w:tblPrEx>
        <w:trPr>
          <w:trHeight w:val="509"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87"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69"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8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31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CellMar>
            <w:top w:w="0" w:type="dxa"/>
            <w:left w:w="0" w:type="dxa"/>
            <w:bottom w:w="0" w:type="dxa"/>
            <w:right w:w="0" w:type="dxa"/>
          </w:tblCellMar>
        </w:tblPrEx>
        <w:trPr>
          <w:trHeight w:val="303"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38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及时上缴工会费，确保工会工作顺利开展</w:t>
            </w:r>
          </w:p>
        </w:tc>
        <w:tc>
          <w:tcPr>
            <w:tcW w:w="31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足额扣缴</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CellMar>
            <w:top w:w="0" w:type="dxa"/>
            <w:left w:w="0" w:type="dxa"/>
            <w:bottom w:w="0" w:type="dxa"/>
            <w:right w:w="0" w:type="dxa"/>
          </w:tblCellMar>
        </w:tblPrEx>
        <w:trPr>
          <w:trHeight w:val="794" w:hRule="atLeast"/>
        </w:trPr>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5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CellMar>
            <w:top w:w="0" w:type="dxa"/>
            <w:left w:w="0" w:type="dxa"/>
            <w:bottom w:w="0" w:type="dxa"/>
            <w:right w:w="0" w:type="dxa"/>
          </w:tblCellMar>
        </w:tblPrEx>
        <w:trPr>
          <w:trHeight w:val="333"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工会经费保障率 </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r>
      <w:tr>
        <w:tblPrEx>
          <w:tblCellMar>
            <w:top w:w="0" w:type="dxa"/>
            <w:left w:w="0" w:type="dxa"/>
            <w:bottom w:w="0" w:type="dxa"/>
            <w:right w:w="0" w:type="dxa"/>
          </w:tblCellMar>
        </w:tblPrEx>
        <w:trPr>
          <w:trHeight w:val="344"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工会经费拨付及时率</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r>
      <w:tr>
        <w:tblPrEx>
          <w:shd w:val="clear" w:color="auto" w:fill="auto"/>
          <w:tblCellMar>
            <w:top w:w="0" w:type="dxa"/>
            <w:left w:w="0" w:type="dxa"/>
            <w:bottom w:w="0" w:type="dxa"/>
            <w:right w:w="0" w:type="dxa"/>
          </w:tblCellMar>
        </w:tblPrEx>
        <w:trPr>
          <w:trHeight w:val="255"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按时扣缴</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CellMar>
            <w:top w:w="0" w:type="dxa"/>
            <w:left w:w="0" w:type="dxa"/>
            <w:bottom w:w="0" w:type="dxa"/>
            <w:right w:w="0" w:type="dxa"/>
          </w:tblCellMar>
        </w:tblPrEx>
        <w:trPr>
          <w:trHeight w:val="470"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项目是否按进度执行</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shd w:val="clear" w:color="auto" w:fill="auto"/>
          <w:tblCellMar>
            <w:top w:w="0" w:type="dxa"/>
            <w:left w:w="0" w:type="dxa"/>
            <w:bottom w:w="0" w:type="dxa"/>
            <w:right w:w="0" w:type="dxa"/>
          </w:tblCellMar>
        </w:tblPrEx>
        <w:trPr>
          <w:trHeight w:val="526"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工会工作是否顺利开展</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工会工作顺利开展</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工会工作基本顺利开展</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r>
      <w:tr>
        <w:tblPrEx>
          <w:tblCellMar>
            <w:top w:w="0" w:type="dxa"/>
            <w:left w:w="0" w:type="dxa"/>
            <w:bottom w:w="0" w:type="dxa"/>
            <w:right w:w="0" w:type="dxa"/>
          </w:tblCellMar>
        </w:tblPrEx>
        <w:trPr>
          <w:trHeight w:val="316"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5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单位群众对工会工作的满意率</w:t>
            </w:r>
          </w:p>
        </w:tc>
        <w:tc>
          <w:tcPr>
            <w:tcW w:w="8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shd w:val="clear" w:color="auto" w:fill="auto"/>
          <w:tblCellMar>
            <w:top w:w="0" w:type="dxa"/>
            <w:left w:w="0" w:type="dxa"/>
            <w:bottom w:w="0" w:type="dxa"/>
            <w:right w:w="0" w:type="dxa"/>
          </w:tblCellMar>
        </w:tblPrEx>
        <w:trPr>
          <w:trHeight w:val="445" w:hRule="atLeast"/>
        </w:trPr>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7056"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r>
      <w:tr>
        <w:tblPrEx>
          <w:shd w:val="clear" w:color="auto" w:fill="auto"/>
          <w:tblCellMar>
            <w:top w:w="0" w:type="dxa"/>
            <w:left w:w="0" w:type="dxa"/>
            <w:bottom w:w="0" w:type="dxa"/>
            <w:right w:w="0" w:type="dxa"/>
          </w:tblCellMar>
        </w:tblPrEx>
        <w:trPr>
          <w:trHeight w:val="660" w:hRule="atLeast"/>
        </w:trPr>
        <w:tc>
          <w:tcPr>
            <w:tcW w:w="12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7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（3）学区工会费项目自评综述：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学区工会费项目绩效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及时上缴工会费，确保工会工作顺利开展。</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lang w:val="en-US" w:eastAsia="zh-CN"/>
        </w:rPr>
        <w:t>无。</w:t>
      </w:r>
    </w:p>
    <w:tbl>
      <w:tblPr>
        <w:tblStyle w:val="6"/>
        <w:tblW w:w="9355" w:type="dxa"/>
        <w:tblInd w:w="0" w:type="dxa"/>
        <w:shd w:val="clear" w:color="auto" w:fill="auto"/>
        <w:tblLayout w:type="fixed"/>
        <w:tblCellMar>
          <w:top w:w="0" w:type="dxa"/>
          <w:left w:w="0" w:type="dxa"/>
          <w:bottom w:w="0" w:type="dxa"/>
          <w:right w:w="0" w:type="dxa"/>
        </w:tblCellMar>
      </w:tblPr>
      <w:tblGrid>
        <w:gridCol w:w="1111"/>
        <w:gridCol w:w="1488"/>
        <w:gridCol w:w="1404"/>
        <w:gridCol w:w="1020"/>
        <w:gridCol w:w="1392"/>
        <w:gridCol w:w="840"/>
        <w:gridCol w:w="936"/>
        <w:gridCol w:w="1164"/>
      </w:tblGrid>
      <w:tr>
        <w:tblPrEx>
          <w:tblCellMar>
            <w:top w:w="0" w:type="dxa"/>
            <w:left w:w="0" w:type="dxa"/>
            <w:bottom w:w="0" w:type="dxa"/>
            <w:right w:w="0" w:type="dxa"/>
          </w:tblCellMar>
        </w:tblPrEx>
        <w:trPr>
          <w:trHeight w:val="312" w:hRule="atLeast"/>
        </w:trPr>
        <w:tc>
          <w:tcPr>
            <w:tcW w:w="9355"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tblPrEx>
          <w:tblCellMar>
            <w:top w:w="0" w:type="dxa"/>
            <w:left w:w="0" w:type="dxa"/>
            <w:bottom w:w="0" w:type="dxa"/>
            <w:right w:w="0" w:type="dxa"/>
          </w:tblCellMar>
        </w:tblPrEx>
        <w:trPr>
          <w:trHeight w:val="312" w:hRule="atLeast"/>
        </w:trPr>
        <w:tc>
          <w:tcPr>
            <w:tcW w:w="9355"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CellMar>
            <w:top w:w="0" w:type="dxa"/>
            <w:left w:w="0" w:type="dxa"/>
            <w:bottom w:w="0" w:type="dxa"/>
            <w:right w:w="0" w:type="dxa"/>
          </w:tblCellMar>
        </w:tblPrEx>
        <w:trPr>
          <w:trHeight w:val="265" w:hRule="atLeast"/>
        </w:trPr>
        <w:tc>
          <w:tcPr>
            <w:tcW w:w="9355"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2019  年度）</w:t>
            </w:r>
          </w:p>
        </w:tc>
      </w:tr>
      <w:tr>
        <w:tblPrEx>
          <w:shd w:val="clear" w:color="auto" w:fill="auto"/>
          <w:tblCellMar>
            <w:top w:w="0" w:type="dxa"/>
            <w:left w:w="0" w:type="dxa"/>
            <w:bottom w:w="0" w:type="dxa"/>
            <w:right w:w="0" w:type="dxa"/>
          </w:tblCellMar>
        </w:tblPrEx>
        <w:trPr>
          <w:trHeight w:val="265" w:hRule="atLeast"/>
        </w:trPr>
        <w:tc>
          <w:tcPr>
            <w:tcW w:w="2599" w:type="dxa"/>
            <w:gridSpan w:val="2"/>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填报单位：南董镇政府</w:t>
            </w:r>
          </w:p>
        </w:tc>
        <w:tc>
          <w:tcPr>
            <w:tcW w:w="1404"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020"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39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840"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2100"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CellMar>
            <w:top w:w="0" w:type="dxa"/>
            <w:left w:w="0" w:type="dxa"/>
            <w:bottom w:w="0" w:type="dxa"/>
            <w:right w:w="0" w:type="dxa"/>
          </w:tblCellMar>
        </w:tblPrEx>
        <w:trPr>
          <w:trHeight w:val="422" w:hRule="atLeast"/>
        </w:trPr>
        <w:tc>
          <w:tcPr>
            <w:tcW w:w="111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4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南董学区工会费</w:t>
            </w:r>
          </w:p>
        </w:tc>
        <w:tc>
          <w:tcPr>
            <w:tcW w:w="13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9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南董镇政府</w:t>
            </w:r>
          </w:p>
        </w:tc>
      </w:tr>
      <w:tr>
        <w:tblPrEx>
          <w:tblCellMar>
            <w:top w:w="0" w:type="dxa"/>
            <w:left w:w="0" w:type="dxa"/>
            <w:bottom w:w="0" w:type="dxa"/>
            <w:right w:w="0" w:type="dxa"/>
          </w:tblCellMar>
        </w:tblPrEx>
        <w:trPr>
          <w:trHeight w:val="393" w:hRule="atLeast"/>
        </w:trPr>
        <w:tc>
          <w:tcPr>
            <w:tcW w:w="11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28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7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shd w:val="clear" w:color="auto" w:fill="auto"/>
          <w:tblCellMar>
            <w:top w:w="0" w:type="dxa"/>
            <w:left w:w="0" w:type="dxa"/>
            <w:bottom w:w="0" w:type="dxa"/>
            <w:right w:w="0" w:type="dxa"/>
          </w:tblCellMar>
        </w:tblPrEx>
        <w:trPr>
          <w:trHeight w:val="273"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1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shd w:val="clear" w:color="auto" w:fill="auto"/>
          <w:tblCellMar>
            <w:top w:w="0" w:type="dxa"/>
            <w:left w:w="0" w:type="dxa"/>
            <w:bottom w:w="0" w:type="dxa"/>
            <w:right w:w="0" w:type="dxa"/>
          </w:tblCellMar>
        </w:tblPrEx>
        <w:trPr>
          <w:trHeight w:val="667"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资金</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3"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3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1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66" w:hRule="atLeast"/>
        </w:trPr>
        <w:tc>
          <w:tcPr>
            <w:tcW w:w="11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9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31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CellMar>
            <w:top w:w="0" w:type="dxa"/>
            <w:left w:w="0" w:type="dxa"/>
            <w:bottom w:w="0" w:type="dxa"/>
            <w:right w:w="0" w:type="dxa"/>
          </w:tblCellMar>
        </w:tblPrEx>
        <w:trPr>
          <w:trHeight w:val="378"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39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及时上缴工会费，确保工会工作顺利开展</w:t>
            </w:r>
          </w:p>
        </w:tc>
        <w:tc>
          <w:tcPr>
            <w:tcW w:w="31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足额扣缴</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shd w:val="clear" w:color="auto" w:fill="auto"/>
          <w:tblCellMar>
            <w:top w:w="0" w:type="dxa"/>
            <w:left w:w="0" w:type="dxa"/>
            <w:bottom w:w="0" w:type="dxa"/>
            <w:right w:w="0" w:type="dxa"/>
          </w:tblCellMar>
        </w:tblPrEx>
        <w:trPr>
          <w:trHeight w:val="422" w:hRule="atLeast"/>
        </w:trPr>
        <w:tc>
          <w:tcPr>
            <w:tcW w:w="111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shd w:val="clear" w:color="auto" w:fill="auto"/>
          <w:tblCellMar>
            <w:top w:w="0" w:type="dxa"/>
            <w:left w:w="0" w:type="dxa"/>
            <w:bottom w:w="0" w:type="dxa"/>
            <w:right w:w="0" w:type="dxa"/>
          </w:tblCellMar>
        </w:tblPrEx>
        <w:trPr>
          <w:trHeight w:val="396"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工会经费保障率 </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r>
      <w:tr>
        <w:tblPrEx>
          <w:tblCellMar>
            <w:top w:w="0" w:type="dxa"/>
            <w:left w:w="0" w:type="dxa"/>
            <w:bottom w:w="0" w:type="dxa"/>
            <w:right w:w="0" w:type="dxa"/>
          </w:tblCellMar>
        </w:tblPrEx>
        <w:trPr>
          <w:trHeight w:val="295"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工会经费拨付及时率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r>
      <w:tr>
        <w:tblPrEx>
          <w:shd w:val="clear" w:color="auto" w:fill="auto"/>
          <w:tblCellMar>
            <w:top w:w="0" w:type="dxa"/>
            <w:left w:w="0" w:type="dxa"/>
            <w:bottom w:w="0" w:type="dxa"/>
            <w:right w:w="0" w:type="dxa"/>
          </w:tblCellMar>
        </w:tblPrEx>
        <w:trPr>
          <w:trHeight w:val="281"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按时扣缴</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CellMar>
            <w:top w:w="0" w:type="dxa"/>
            <w:left w:w="0" w:type="dxa"/>
            <w:bottom w:w="0" w:type="dxa"/>
            <w:right w:w="0" w:type="dxa"/>
          </w:tblCellMar>
        </w:tblPrEx>
        <w:trPr>
          <w:trHeight w:val="554"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项目是否按进度执行</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CellMar>
            <w:top w:w="0" w:type="dxa"/>
            <w:left w:w="0" w:type="dxa"/>
            <w:bottom w:w="0" w:type="dxa"/>
            <w:right w:w="0" w:type="dxa"/>
          </w:tblCellMar>
        </w:tblPrEx>
        <w:trPr>
          <w:trHeight w:val="728"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工会工作是否顺利开展</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工会工作顺利开展</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工会工作基本顺利开展</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r>
      <w:tr>
        <w:tblPrEx>
          <w:tblCellMar>
            <w:top w:w="0" w:type="dxa"/>
            <w:left w:w="0" w:type="dxa"/>
            <w:bottom w:w="0" w:type="dxa"/>
            <w:right w:w="0" w:type="dxa"/>
          </w:tblCellMar>
        </w:tblPrEx>
        <w:trPr>
          <w:trHeight w:val="434"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41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单位群众对工会工作的满意率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100%</w:t>
            </w:r>
          </w:p>
        </w:tc>
        <w:tc>
          <w:tcPr>
            <w:tcW w:w="9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CellMar>
            <w:top w:w="0" w:type="dxa"/>
            <w:left w:w="0" w:type="dxa"/>
            <w:bottom w:w="0" w:type="dxa"/>
            <w:right w:w="0" w:type="dxa"/>
          </w:tblCellMar>
        </w:tblPrEx>
        <w:trPr>
          <w:trHeight w:val="449" w:hRule="atLeast"/>
        </w:trPr>
        <w:tc>
          <w:tcPr>
            <w:tcW w:w="11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70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1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r>
      <w:tr>
        <w:tblPrEx>
          <w:tblCellMar>
            <w:top w:w="0" w:type="dxa"/>
            <w:left w:w="0" w:type="dxa"/>
            <w:bottom w:w="0" w:type="dxa"/>
            <w:right w:w="0" w:type="dxa"/>
          </w:tblCellMar>
        </w:tblPrEx>
        <w:trPr>
          <w:trHeight w:val="894" w:hRule="atLeast"/>
        </w:trPr>
        <w:tc>
          <w:tcPr>
            <w:tcW w:w="111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244"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pPr>
        <w:keepNext/>
        <w:keepLines/>
        <w:numPr>
          <w:ilvl w:val="0"/>
          <w:numId w:val="0"/>
        </w:numPr>
        <w:snapToGrid w:val="0"/>
        <w:spacing w:line="580" w:lineRule="exact"/>
        <w:ind w:firstLine="321" w:firstLineChars="1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outlineLvl w:val="1"/>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w:t>
      </w:r>
      <w:r>
        <w:rPr>
          <w:rFonts w:hint="eastAsia" w:ascii="仿宋_GB2312" w:hAnsi="仿宋" w:eastAsia="仿宋_GB2312"/>
          <w:color w:val="auto"/>
          <w:sz w:val="32"/>
          <w:szCs w:val="32"/>
          <w:lang w:val="en-US" w:eastAsia="zh-CN"/>
        </w:rPr>
        <w:t>286.82</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155.23</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val="en-US" w:eastAsia="zh-CN"/>
        </w:rPr>
        <w:t>项目中综合公用</w:t>
      </w:r>
      <w:r>
        <w:rPr>
          <w:rFonts w:hint="eastAsia" w:ascii="仿宋_GB2312" w:hAnsi="Times New Roman" w:eastAsia="仿宋_GB2312" w:cs="DengXian-Regular"/>
          <w:sz w:val="32"/>
          <w:szCs w:val="32"/>
          <w:lang w:eastAsia="zh-CN"/>
        </w:rPr>
        <w:t>经费</w:t>
      </w:r>
      <w:r>
        <w:rPr>
          <w:rFonts w:hint="eastAsia" w:ascii="仿宋_GB2312" w:hAnsi="Times New Roman" w:eastAsia="仿宋_GB2312" w:cs="DengXian-Regular"/>
          <w:sz w:val="32"/>
          <w:szCs w:val="32"/>
          <w:lang w:val="en-US" w:eastAsia="zh-CN"/>
        </w:rPr>
        <w:t>计算在内</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w:t>
      </w:r>
      <w:r>
        <w:rPr>
          <w:rFonts w:hint="eastAsia" w:ascii="仿宋_GB2312" w:hAnsi="Times New Roman" w:eastAsia="仿宋_GB2312" w:cs="DengXian-Regular"/>
          <w:sz w:val="32"/>
          <w:szCs w:val="32"/>
          <w:lang w:eastAsia="zh-CN"/>
        </w:rPr>
        <w:t>没有单价</w:t>
      </w:r>
      <w:r>
        <w:rPr>
          <w:rFonts w:hint="eastAsia" w:ascii="仿宋_GB2312" w:hAnsi="Times New Roman" w:eastAsia="仿宋_GB2312" w:cs="DengXian-Regular"/>
          <w:sz w:val="32"/>
          <w:szCs w:val="32"/>
          <w:lang w:val="en-US" w:eastAsia="zh-CN"/>
        </w:rPr>
        <w:t>100万以上的大型设备。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本部门2019年度部门政府性基金预算财政拨款、部门国有资本经营预算财政拨款无收支及结转结余情况，故08、09表以空表列示。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30"/>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3"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r>
        <w:rPr>
          <w:rFonts w:hint="eastAsia"/>
          <w:lang w:val="en-US" w:eastAsia="zh-CN"/>
        </w:rPr>
        <w:t>见附件</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7" w:type="first"/>
      <w:headerReference r:id="rId26" w:type="default"/>
      <w:footerReference r:id="rId28"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方正书宋_GBK">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EE2AA4"/>
    <w:multiLevelType w:val="singleLevel"/>
    <w:tmpl w:val="32EE2AA4"/>
    <w:lvl w:ilvl="0" w:tentative="0">
      <w:start w:val="2"/>
      <w:numFmt w:val="decimal"/>
      <w:suff w:val="space"/>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AAF1C96"/>
    <w:rsid w:val="0007063E"/>
    <w:rsid w:val="00073392"/>
    <w:rsid w:val="00073F4E"/>
    <w:rsid w:val="00083DCD"/>
    <w:rsid w:val="00086C89"/>
    <w:rsid w:val="000A39FB"/>
    <w:rsid w:val="000B3492"/>
    <w:rsid w:val="000F3882"/>
    <w:rsid w:val="00117746"/>
    <w:rsid w:val="00163F95"/>
    <w:rsid w:val="0017739D"/>
    <w:rsid w:val="00180A9A"/>
    <w:rsid w:val="001829C0"/>
    <w:rsid w:val="00184809"/>
    <w:rsid w:val="00192112"/>
    <w:rsid w:val="001B0127"/>
    <w:rsid w:val="001C12D5"/>
    <w:rsid w:val="001C69F7"/>
    <w:rsid w:val="001D6F97"/>
    <w:rsid w:val="001E284B"/>
    <w:rsid w:val="001F6D78"/>
    <w:rsid w:val="002650EC"/>
    <w:rsid w:val="002A6C46"/>
    <w:rsid w:val="002C19B5"/>
    <w:rsid w:val="003A23FF"/>
    <w:rsid w:val="003A4EE8"/>
    <w:rsid w:val="003A7A93"/>
    <w:rsid w:val="003E1CD7"/>
    <w:rsid w:val="00442CC2"/>
    <w:rsid w:val="00446244"/>
    <w:rsid w:val="00473C20"/>
    <w:rsid w:val="00494A6E"/>
    <w:rsid w:val="004D61CB"/>
    <w:rsid w:val="005011D6"/>
    <w:rsid w:val="00503F2E"/>
    <w:rsid w:val="00552226"/>
    <w:rsid w:val="00566120"/>
    <w:rsid w:val="00582E6D"/>
    <w:rsid w:val="005954D5"/>
    <w:rsid w:val="005A4B2D"/>
    <w:rsid w:val="005A53FA"/>
    <w:rsid w:val="005D1293"/>
    <w:rsid w:val="00620B89"/>
    <w:rsid w:val="00623797"/>
    <w:rsid w:val="00644D5F"/>
    <w:rsid w:val="00657F86"/>
    <w:rsid w:val="006727AD"/>
    <w:rsid w:val="00691425"/>
    <w:rsid w:val="00693043"/>
    <w:rsid w:val="006A516E"/>
    <w:rsid w:val="006B0830"/>
    <w:rsid w:val="006D7FFB"/>
    <w:rsid w:val="007007DA"/>
    <w:rsid w:val="00716E2B"/>
    <w:rsid w:val="007435E6"/>
    <w:rsid w:val="00770F18"/>
    <w:rsid w:val="00773B74"/>
    <w:rsid w:val="0078290C"/>
    <w:rsid w:val="0078578E"/>
    <w:rsid w:val="007C06CA"/>
    <w:rsid w:val="007C35ED"/>
    <w:rsid w:val="0080641D"/>
    <w:rsid w:val="008163FB"/>
    <w:rsid w:val="0082605B"/>
    <w:rsid w:val="00855C36"/>
    <w:rsid w:val="00857DBE"/>
    <w:rsid w:val="008701BC"/>
    <w:rsid w:val="00883D92"/>
    <w:rsid w:val="00884CE1"/>
    <w:rsid w:val="008939C6"/>
    <w:rsid w:val="00893EDA"/>
    <w:rsid w:val="008A4BFF"/>
    <w:rsid w:val="008A5362"/>
    <w:rsid w:val="008B4D9A"/>
    <w:rsid w:val="008B5669"/>
    <w:rsid w:val="008D7ECC"/>
    <w:rsid w:val="008F21F1"/>
    <w:rsid w:val="008F221B"/>
    <w:rsid w:val="008F5A2D"/>
    <w:rsid w:val="00921602"/>
    <w:rsid w:val="0095659E"/>
    <w:rsid w:val="00957EA1"/>
    <w:rsid w:val="00966E5B"/>
    <w:rsid w:val="009B1B69"/>
    <w:rsid w:val="009B4EF0"/>
    <w:rsid w:val="009D271F"/>
    <w:rsid w:val="009E0541"/>
    <w:rsid w:val="00A42059"/>
    <w:rsid w:val="00A821CD"/>
    <w:rsid w:val="00A929C2"/>
    <w:rsid w:val="00AD097F"/>
    <w:rsid w:val="00B245F0"/>
    <w:rsid w:val="00B421DC"/>
    <w:rsid w:val="00B6042F"/>
    <w:rsid w:val="00B63D9F"/>
    <w:rsid w:val="00B844F4"/>
    <w:rsid w:val="00BA06A1"/>
    <w:rsid w:val="00BA4A59"/>
    <w:rsid w:val="00BA770A"/>
    <w:rsid w:val="00C054DE"/>
    <w:rsid w:val="00C12BBB"/>
    <w:rsid w:val="00C679A9"/>
    <w:rsid w:val="00C7541C"/>
    <w:rsid w:val="00C9157C"/>
    <w:rsid w:val="00CC0FAA"/>
    <w:rsid w:val="00CD0736"/>
    <w:rsid w:val="00CE66FF"/>
    <w:rsid w:val="00D1570F"/>
    <w:rsid w:val="00D32830"/>
    <w:rsid w:val="00D44B54"/>
    <w:rsid w:val="00DB7153"/>
    <w:rsid w:val="00DB7F05"/>
    <w:rsid w:val="00DE2332"/>
    <w:rsid w:val="00E028C3"/>
    <w:rsid w:val="00E14F77"/>
    <w:rsid w:val="00E3076B"/>
    <w:rsid w:val="00E36978"/>
    <w:rsid w:val="00E82A1E"/>
    <w:rsid w:val="00EA05EC"/>
    <w:rsid w:val="00EC06F4"/>
    <w:rsid w:val="00EE4E36"/>
    <w:rsid w:val="00F25594"/>
    <w:rsid w:val="00F665F4"/>
    <w:rsid w:val="00FD225F"/>
    <w:rsid w:val="04D00350"/>
    <w:rsid w:val="05B00A30"/>
    <w:rsid w:val="0B011416"/>
    <w:rsid w:val="1855334C"/>
    <w:rsid w:val="18E640C7"/>
    <w:rsid w:val="1A6C473D"/>
    <w:rsid w:val="1B6C173B"/>
    <w:rsid w:val="1B9379C9"/>
    <w:rsid w:val="31C2036A"/>
    <w:rsid w:val="320D02A5"/>
    <w:rsid w:val="348E566F"/>
    <w:rsid w:val="3A226944"/>
    <w:rsid w:val="3AEE6A48"/>
    <w:rsid w:val="3C1620AA"/>
    <w:rsid w:val="3D8F080F"/>
    <w:rsid w:val="40571904"/>
    <w:rsid w:val="44CE1FA4"/>
    <w:rsid w:val="487F73ED"/>
    <w:rsid w:val="4A347EAE"/>
    <w:rsid w:val="5247723D"/>
    <w:rsid w:val="52600405"/>
    <w:rsid w:val="529B4319"/>
    <w:rsid w:val="56574192"/>
    <w:rsid w:val="575D44B2"/>
    <w:rsid w:val="57773DD6"/>
    <w:rsid w:val="578B79AB"/>
    <w:rsid w:val="5A227D5B"/>
    <w:rsid w:val="5CCD3FD5"/>
    <w:rsid w:val="61FA5F9D"/>
    <w:rsid w:val="64CD6910"/>
    <w:rsid w:val="6789158D"/>
    <w:rsid w:val="67D81BA4"/>
    <w:rsid w:val="6AAF1C96"/>
    <w:rsid w:val="75681757"/>
    <w:rsid w:val="75832BC4"/>
    <w:rsid w:val="75A346A8"/>
    <w:rsid w:val="78B61736"/>
    <w:rsid w:val="795C6F66"/>
    <w:rsid w:val="79B9382C"/>
    <w:rsid w:val="7B043B76"/>
    <w:rsid w:val="7C041A6A"/>
    <w:rsid w:val="7E327570"/>
    <w:rsid w:val="7F2E59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字符"/>
    <w:basedOn w:val="8"/>
    <w:link w:val="5"/>
    <w:qFormat/>
    <w:uiPriority w:val="99"/>
    <w:rPr>
      <w:rFonts w:asciiTheme="minorHAnsi" w:hAnsiTheme="minorHAnsi" w:eastAsiaTheme="minorEastAsia"/>
      <w:sz w:val="18"/>
      <w:szCs w:val="18"/>
    </w:rPr>
  </w:style>
  <w:style w:type="character" w:customStyle="1" w:styleId="10">
    <w:name w:val="页脚 字符"/>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image" Target="media/image3.png"/><Relationship Id="rId31" Type="http://schemas.openxmlformats.org/officeDocument/2006/relationships/chart" Target="charts/chart1.xml"/><Relationship Id="rId30" Type="http://schemas.openxmlformats.org/officeDocument/2006/relationships/image" Target="media/image2.bmp"/><Relationship Id="rId3" Type="http://schemas.openxmlformats.org/officeDocument/2006/relationships/header" Target="header1.xml"/><Relationship Id="rId29" Type="http://schemas.openxmlformats.org/officeDocument/2006/relationships/theme" Target="theme/theme1.xml"/><Relationship Id="rId28" Type="http://schemas.openxmlformats.org/officeDocument/2006/relationships/footer" Target="footer10.xml"/><Relationship Id="rId27" Type="http://schemas.openxmlformats.org/officeDocument/2006/relationships/header" Target="header16.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lenovo\Desktop\&#26032;&#24314;%20Microsoft%20Excel%20&#24037;&#20316;&#34920;%20(2).xls" TargetMode="External"/></Relationships>
</file>

<file path=word/charts/_rels/chart2.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defRPr>
            </a:pPr>
            <a:r>
              <a:rPr>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rPr>
              <a:t>图</a:t>
            </a:r>
            <a:r>
              <a:rPr lang="en-US" altLang="zh-CN">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rPr>
              <a:t>1</a:t>
            </a:r>
            <a:r>
              <a:rPr altLang="en-US">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rPr>
              <a:t>：</a:t>
            </a:r>
            <a:r>
              <a:rPr>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rPr>
              <a:t>收入构成情况</a:t>
            </a:r>
            <a:endParaRPr>
              <a:latin typeface="仿宋" panose="02010609060101010101" pitchFamily="3" charset="-122"/>
              <a:ea typeface="仿宋" panose="02010609060101010101" pitchFamily="3" charset="-122"/>
              <a:cs typeface="仿宋" panose="02010609060101010101" pitchFamily="3" charset="-122"/>
              <a:sym typeface="仿宋" panose="02010609060101010101" pitchFamily="3" charset="-122"/>
            </a:endParaRPr>
          </a:p>
        </c:rich>
      </c:tx>
      <c:layout>
        <c:manualLayout>
          <c:xMode val="edge"/>
          <c:yMode val="edge"/>
          <c:x val="0.330972222222222"/>
          <c:y val="0.857638888888889"/>
        </c:manualLayout>
      </c:layout>
      <c:overlay val="0"/>
      <c:spPr>
        <a:noFill/>
        <a:ln>
          <a:noFill/>
        </a:ln>
        <a:effectLst/>
      </c:spPr>
    </c:title>
    <c:autoTitleDeleted val="0"/>
    <c:plotArea>
      <c:layout>
        <c:manualLayout>
          <c:layoutTarget val="inner"/>
          <c:xMode val="edge"/>
          <c:yMode val="edge"/>
          <c:x val="0.0327777777777778"/>
          <c:y val="0.0997685185185186"/>
          <c:w val="0.938888888888889"/>
          <c:h val="0.771990740740741"/>
        </c:manualLayout>
      </c:layout>
      <c:pieChart>
        <c:varyColors val="1"/>
        <c:ser>
          <c:idx val="0"/>
          <c:order val="0"/>
          <c:tx>
            <c:strRef>
              <c:f>'[新建 Microsoft Excel 工作表 (2).xls]Sheet1'!$A$4</c:f>
              <c:strCache>
                <c:ptCount val="1"/>
                <c:pt idx="0">
                  <c:v>财政拨款收入</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0.00208243281781973"/>
                  <c:y val="-0.322467178661123"/>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rPr sz="1000"/>
                      <a:t>财政拨款收入100%</a:t>
                    </a:r>
                    <a:endParaRPr sz="1000"/>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Microsoft Excel 工作表 (2).xls]Sheet1'!$B$4</c:f>
              <c:numCache>
                <c:formatCode>General</c:formatCode>
                <c:ptCount val="1"/>
                <c:pt idx="0">
                  <c:v>24839.96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latin typeface="黑体" panose="02010609060101010101" charset="-122"/>
                <a:ea typeface="黑体" panose="02010609060101010101" charset="-122"/>
              </a:rPr>
              <a:t>财政拨款收支与上年决算对比图</a:t>
            </a:r>
            <a:endParaRPr lang="zh-CN" altLang="en-US">
              <a:latin typeface="黑体" panose="02010609060101010101" charset="-122"/>
              <a:ea typeface="黑体" panose="02010609060101010101" charset="-122"/>
            </a:endParaRPr>
          </a:p>
        </c:rich>
      </c:tx>
      <c:layout>
        <c:manualLayout>
          <c:xMode val="edge"/>
          <c:yMode val="edge"/>
          <c:x val="0.226908849980278"/>
          <c:y val="0.0297495174924646"/>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Lbl>
              <c:idx val="0"/>
              <c:layout>
                <c:manualLayout>
                  <c:x val="-0.00572761985574883"/>
                  <c:y val="-0.10136307311028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5485.05</a:t>
                    </a:r>
                    <a:endParaRPr lang="en-US" altLang="zh-CN"/>
                  </a:p>
                  <a:p>
                    <a:pPr defTabSz="914400">
                      <a:defRPr lang="zh-CN" sz="900" b="0" i="0" u="none" strike="noStrike" kern="1200" baseline="0">
                        <a:solidFill>
                          <a:schemeClr val="tx1">
                            <a:lumMod val="75000"/>
                            <a:lumOff val="25000"/>
                          </a:schemeClr>
                        </a:solidFill>
                        <a:latin typeface="+mn-lt"/>
                        <a:ea typeface="+mn-ea"/>
                        <a:cs typeface="+mn-cs"/>
                      </a:defRPr>
                    </a:pPr>
                    <a:endParaRPr lang="en-US" altLang="zh-CN"/>
                  </a:p>
                </c:rich>
              </c:tx>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6987696224014"/>
                  <c:y val="-0.097893432465923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5845.05</c:v>
                </c:pt>
                <c:pt idx="1">
                  <c:v>5845.05</c:v>
                </c:pt>
              </c:numCache>
            </c:numRef>
          </c:val>
        </c:ser>
        <c:ser>
          <c:idx val="1"/>
          <c:order val="1"/>
          <c:tx>
            <c:strRef>
              <c:f>Sheet1!$C$1</c:f>
              <c:strCache>
                <c:ptCount val="1"/>
                <c:pt idx="0">
                  <c:v>2019年</c:v>
                </c:pt>
              </c:strCache>
            </c:strRef>
          </c:tx>
          <c:spPr>
            <a:solidFill>
              <a:schemeClr val="accent2"/>
            </a:solidFill>
            <a:ln>
              <a:noFill/>
            </a:ln>
            <a:effectLst/>
          </c:spPr>
          <c:invertIfNegative val="0"/>
          <c:dLbls>
            <c:dLbl>
              <c:idx val="0"/>
              <c:layout>
                <c:manualLayout>
                  <c:x val="0.00572761985574883"/>
                  <c:y val="-0.10830235439900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3905.18</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577428935087"/>
                  <c:y val="-0.10483271375464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3905.18</c:v>
                </c:pt>
                <c:pt idx="1">
                  <c:v>3897.66</c:v>
                </c:pt>
              </c:numCache>
            </c:numRef>
          </c:val>
        </c:ser>
        <c:dLbls>
          <c:showLegendKey val="0"/>
          <c:showVal val="1"/>
          <c:showCatName val="0"/>
          <c:showSerName val="0"/>
          <c:showPercent val="0"/>
          <c:showBubbleSize val="0"/>
        </c:dLbls>
        <c:gapWidth val="219"/>
        <c:overlap val="-27"/>
        <c:axId val="113401216"/>
        <c:axId val="113431680"/>
      </c:barChart>
      <c:catAx>
        <c:axId val="1134012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431680"/>
        <c:crosses val="autoZero"/>
        <c:auto val="1"/>
        <c:lblAlgn val="ctr"/>
        <c:lblOffset val="100"/>
        <c:noMultiLvlLbl val="0"/>
      </c:catAx>
      <c:valAx>
        <c:axId val="113431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40121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latin typeface="黑体" panose="02010609060101010101" charset="-122"/>
                <a:ea typeface="黑体" panose="02010609060101010101" charset="-122"/>
              </a:rPr>
              <a:t>财政拨款收支与年初预算对比图</a:t>
            </a:r>
            <a:endParaRPr lang="zh-CN" altLang="en-US">
              <a:latin typeface="黑体" panose="02010609060101010101" charset="-122"/>
              <a:ea typeface="黑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dLbl>
              <c:idx val="0"/>
              <c:layout>
                <c:manualLayout>
                  <c:x val="-0.0230125523012552"/>
                  <c:y val="0.005207203297895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292887029288703"/>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预算</c:v>
                </c:pt>
                <c:pt idx="1">
                  <c:v>决算</c:v>
                </c:pt>
              </c:strCache>
            </c:strRef>
          </c:cat>
          <c:val>
            <c:numRef>
              <c:f>Sheet1!$B$2:$B$5</c:f>
              <c:numCache>
                <c:formatCode>General</c:formatCode>
                <c:ptCount val="4"/>
                <c:pt idx="0">
                  <c:v>4340.38</c:v>
                </c:pt>
                <c:pt idx="1">
                  <c:v>3905.18</c:v>
                </c:pt>
              </c:numCache>
            </c:numRef>
          </c:val>
        </c:ser>
        <c:ser>
          <c:idx val="1"/>
          <c:order val="1"/>
          <c:tx>
            <c:strRef>
              <c:f>Sheet1!$C$1</c:f>
              <c:strCache>
                <c:ptCount val="1"/>
                <c:pt idx="0">
                  <c:v>支出</c:v>
                </c:pt>
              </c:strCache>
            </c:strRef>
          </c:tx>
          <c:spPr>
            <a:solidFill>
              <a:schemeClr val="accent2"/>
            </a:solidFill>
            <a:ln>
              <a:noFill/>
            </a:ln>
            <a:effectLst/>
          </c:spPr>
          <c:invertIfNegative val="0"/>
          <c:dLbls>
            <c:dLbl>
              <c:idx val="0"/>
              <c:layout>
                <c:manualLayout>
                  <c:x val="0.0418410041841004"/>
                  <c:y val="0.005207203297895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60251046025105"/>
                  <c:y val="-0.0078108049468431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预算</c:v>
                </c:pt>
                <c:pt idx="1">
                  <c:v>决算</c:v>
                </c:pt>
              </c:strCache>
            </c:strRef>
          </c:cat>
          <c:val>
            <c:numRef>
              <c:f>Sheet1!$C$2:$C$5</c:f>
              <c:numCache>
                <c:formatCode>General</c:formatCode>
                <c:ptCount val="4"/>
                <c:pt idx="0">
                  <c:v>4340.38</c:v>
                </c:pt>
                <c:pt idx="1">
                  <c:v>3897.66</c:v>
                </c:pt>
              </c:numCache>
            </c:numRef>
          </c:val>
        </c:ser>
        <c:dLbls>
          <c:showLegendKey val="0"/>
          <c:showVal val="1"/>
          <c:showCatName val="0"/>
          <c:showSerName val="0"/>
          <c:showPercent val="0"/>
          <c:showBubbleSize val="0"/>
        </c:dLbls>
        <c:gapWidth val="219"/>
        <c:overlap val="-27"/>
        <c:axId val="113347968"/>
        <c:axId val="11335385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Sheet1!$A$2:$A$5</c15:sqref>
                        </c15:formulaRef>
                      </c:ext>
                    </c:extLst>
                    <c:strCache>
                      <c:ptCount val="4"/>
                      <c:pt idx="0">
                        <c:v>预算</c:v>
                      </c:pt>
                      <c:pt idx="1">
                        <c:v>决算</c:v>
                      </c:pt>
                    </c:strCache>
                  </c:strRef>
                </c:cat>
              </c15:ser>
            </c15:filteredBarSeries>
          </c:ext>
        </c:extLst>
      </c:barChart>
      <c:catAx>
        <c:axId val="11334796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353856"/>
        <c:crosses val="autoZero"/>
        <c:auto val="1"/>
        <c:lblAlgn val="ctr"/>
        <c:lblOffset val="100"/>
        <c:noMultiLvlLbl val="0"/>
      </c:catAx>
      <c:valAx>
        <c:axId val="113353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34796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金额（万元）</a:t>
            </a:r>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公共服务</c:v>
                </c:pt>
                <c:pt idx="1">
                  <c:v>教育</c:v>
                </c:pt>
              </c:strCache>
            </c:strRef>
          </c:cat>
          <c:val>
            <c:numRef>
              <c:f>Sheet1!$B$2:$B$3</c:f>
              <c:numCache>
                <c:formatCode>General</c:formatCode>
                <c:ptCount val="2"/>
                <c:pt idx="0">
                  <c:v>794.21</c:v>
                </c:pt>
                <c:pt idx="1">
                  <c:v>3103.45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625625"/>
          <c:y val="0.934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36</Pages>
  <Words>2592</Words>
  <Characters>14775</Characters>
  <Lines>123</Lines>
  <Paragraphs>34</Paragraphs>
  <TotalTime>1</TotalTime>
  <ScaleCrop>false</ScaleCrop>
  <LinksUpToDate>false</LinksUpToDate>
  <CharactersWithSpaces>17333</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2020-10-24T04:45:00Z</dcterms:created>
  <dc:creator>王明新TIAD</dc:creator>
  <cp:lastModifiedBy>光影精灵</cp:lastModifiedBy>
  <cp:lastPrinted>2020-07-30T02:37:00Z</cp:lastPrinted>
  <dcterms:modified xsi:type="dcterms:W3CDTF">2021-06-21T07:58:27Z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C739BF69F205477FB08C9EEA0DCA324C</vt:lpwstr>
  </property>
</Properties>
</file>