
<file path=[Content_Types].xml><?xml version="1.0" encoding="utf-8"?>
<Types xmlns="http://schemas.openxmlformats.org/package/2006/content-types">
  <Default Extension="xml" ContentType="application/xml"/>
  <Default Extension="xlsx" ContentType="application/vnd.openxmlformats-officedocument.spreadsheetml.sheet"/>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7456"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二十一日</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745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二十一日</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2336;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78720"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78720;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77696"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77696;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5408;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9744"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36736;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643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石家庄市藁城区供销合作总社</w:t>
      </w:r>
    </w:p>
    <w:p>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二十一日</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75449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754496;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focussize="0,0" r:id="rId23"/>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主要职责内容</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1、负责对所属企业行政、业务的领导与管理。</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2、负责对所属企业生产加工、经营销售等活动的督导与管理。</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3、负责对全系统人事调配、劳动工资、离休退休人事管理。</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4、负责对所属企业党支部、领导班子的组织、思想作风建设及党员教育、党员发展等工作的管理。</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5、负责全系统所属企业资产的管理。</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6、负责企业经营销售、财务数字的审计、统计及月报、季报等工作的管理。</w:t>
      </w:r>
    </w:p>
    <w:p>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7、负责全系统综合治理、安全生产、安全保卫工作管理。</w:t>
      </w:r>
    </w:p>
    <w:p>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仿宋" w:eastAsia="仿宋_GB2312"/>
          <w:sz w:val="32"/>
          <w:szCs w:val="32"/>
        </w:rPr>
        <w:t>8、负责对农合联经济组织的协调、服务工作的管理。</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石家庄市藁城区供销合作总社</w:t>
            </w:r>
            <w:r>
              <w:rPr>
                <w:rFonts w:hint="eastAsia" w:ascii="仿宋_GB2312" w:hAnsi="Calibri" w:eastAsia="仿宋_GB2312" w:cs="ArialUnicodeMS"/>
                <w:kern w:val="0"/>
                <w:sz w:val="28"/>
                <w:szCs w:val="28"/>
              </w:rPr>
              <w:t>(本级)</w:t>
            </w:r>
          </w:p>
        </w:tc>
        <w:tc>
          <w:tcPr>
            <w:tcW w:w="2445" w:type="dxa"/>
          </w:tcPr>
          <w:p>
            <w:pPr>
              <w:spacing w:line="560" w:lineRule="exact"/>
              <w:jc w:val="left"/>
              <w:rPr>
                <w:rFonts w:ascii="仿宋_GB2312" w:hAnsi="Calibri" w:eastAsia="仿宋_GB2312" w:cs="ArialUnicodeMS"/>
                <w:kern w:val="0"/>
                <w:sz w:val="28"/>
                <w:szCs w:val="28"/>
              </w:rPr>
            </w:pPr>
            <w:r>
              <w:rPr>
                <w:rFonts w:hint="eastAsia" w:ascii="仿宋_GB2312" w:hAnsi="Cambria" w:eastAsia="仿宋_GB2312" w:cs="ArialUnicodeMS"/>
                <w:kern w:val="0"/>
                <w:sz w:val="28"/>
                <w:szCs w:val="28"/>
                <w:lang w:eastAsia="zh-CN"/>
              </w:rPr>
              <w:t>财政补助事业单位</w:t>
            </w:r>
          </w:p>
        </w:tc>
        <w:tc>
          <w:tcPr>
            <w:tcW w:w="2665" w:type="dxa"/>
          </w:tcPr>
          <w:p>
            <w:pPr>
              <w:spacing w:line="560" w:lineRule="exact"/>
              <w:jc w:val="left"/>
              <w:rPr>
                <w:rFonts w:ascii="仿宋_GB2312" w:hAnsi="Calibri" w:eastAsia="仿宋_GB2312" w:cs="ArialUnicodeMS"/>
                <w:kern w:val="0"/>
                <w:sz w:val="28"/>
                <w:szCs w:val="28"/>
              </w:rPr>
            </w:pPr>
            <w:r>
              <w:rPr>
                <w:rFonts w:hint="eastAsia" w:ascii="仿宋_GB2312" w:hAnsi="Cambria" w:eastAsia="仿宋_GB2312" w:cs="ArialUnicodeMS"/>
                <w:kern w:val="0"/>
                <w:sz w:val="28"/>
                <w:szCs w:val="28"/>
                <w:lang w:eastAsia="zh-CN"/>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14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85280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85280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437279744"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437279744;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focussize="0,0" r:id="rId23"/>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snapToGrid w:val="0"/>
        <w:spacing w:line="52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74.49</w:t>
      </w:r>
      <w:r>
        <w:rPr>
          <w:rFonts w:hint="eastAsia" w:ascii="仿宋_GB2312" w:hAnsi="Times New Roman" w:eastAsia="仿宋_GB2312" w:cs="DengXian-Regular"/>
          <w:sz w:val="32"/>
          <w:szCs w:val="32"/>
        </w:rPr>
        <w:t>万元。与2018年度决算相比，收支各增加</w:t>
      </w:r>
      <w:r>
        <w:rPr>
          <w:rFonts w:hint="eastAsia" w:ascii="仿宋_GB2312" w:hAnsi="Times New Roman" w:eastAsia="仿宋_GB2312" w:cs="DengXian-Regular"/>
          <w:sz w:val="32"/>
          <w:szCs w:val="32"/>
          <w:lang w:val="en-US" w:eastAsia="zh-CN"/>
        </w:rPr>
        <w:t>19.01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34.26</w:t>
      </w:r>
      <w:r>
        <w:rPr>
          <w:rFonts w:hint="eastAsia" w:ascii="仿宋_GB2312" w:hAnsi="Times New Roman" w:eastAsia="仿宋_GB2312" w:cs="DengXian-Regular"/>
          <w:sz w:val="32"/>
          <w:szCs w:val="32"/>
        </w:rPr>
        <w:t>%，主要原因是</w:t>
      </w:r>
      <w:r>
        <w:rPr>
          <w:rFonts w:hint="eastAsia" w:ascii="仿宋_GB2312" w:hAnsi="仿宋" w:eastAsia="仿宋_GB2312"/>
          <w:sz w:val="32"/>
          <w:szCs w:val="32"/>
          <w:lang w:val="en-US" w:eastAsia="zh-CN"/>
        </w:rPr>
        <w:t>人员工资、社保费公积金增加。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keepNext/>
        <w:keepLines/>
        <w:snapToGrid w:val="0"/>
        <w:spacing w:line="580" w:lineRule="exact"/>
        <w:ind w:firstLine="640" w:firstLineChars="200"/>
        <w:outlineLvl w:val="1"/>
        <w:rPr>
          <w:rFonts w:ascii="黑体" w:hAnsi="Calibri" w:eastAsia="黑体" w:cs="Times New Roman"/>
          <w:b/>
          <w:bCs/>
          <w:sz w:val="32"/>
          <w:szCs w:val="32"/>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74.49</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74.49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keepNext/>
        <w:keepLines/>
        <w:snapToGrid w:val="0"/>
        <w:spacing w:line="580" w:lineRule="exact"/>
        <w:ind w:firstLine="640" w:firstLineChars="200"/>
        <w:outlineLvl w:val="1"/>
        <w:rPr>
          <w:rFonts w:ascii="黑体" w:hAnsi="Calibri" w:eastAsia="黑体" w:cs="Times New Roman"/>
          <w:b/>
          <w:bCs/>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74.49</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74.49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snapToGrid w:val="0"/>
        <w:spacing w:line="52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74.49</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19.01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34.26</w:t>
      </w:r>
      <w:r>
        <w:rPr>
          <w:rFonts w:hint="eastAsia" w:ascii="仿宋_GB2312" w:hAnsi="Times New Roman" w:eastAsia="仿宋_GB2312" w:cs="DengXian-Regular"/>
          <w:sz w:val="32"/>
          <w:szCs w:val="32"/>
        </w:rPr>
        <w:t>%，主要是</w:t>
      </w:r>
      <w:r>
        <w:rPr>
          <w:rFonts w:hint="eastAsia" w:ascii="仿宋_GB2312" w:hAnsi="仿宋" w:eastAsia="仿宋_GB2312"/>
          <w:sz w:val="32"/>
          <w:szCs w:val="32"/>
          <w:lang w:val="en-US" w:eastAsia="zh-CN"/>
        </w:rPr>
        <w:t>人员工资、社保费公积金增加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74.49</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19.01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34.26</w:t>
      </w:r>
      <w:r>
        <w:rPr>
          <w:rFonts w:hint="eastAsia" w:ascii="仿宋_GB2312" w:hAnsi="Times New Roman" w:eastAsia="仿宋_GB2312" w:cs="DengXian-Regular"/>
          <w:sz w:val="32"/>
          <w:szCs w:val="32"/>
        </w:rPr>
        <w:t>%，主要是</w:t>
      </w:r>
      <w:r>
        <w:rPr>
          <w:rFonts w:hint="eastAsia" w:ascii="仿宋_GB2312" w:hAnsi="仿宋" w:eastAsia="仿宋_GB2312"/>
          <w:sz w:val="32"/>
          <w:szCs w:val="32"/>
          <w:lang w:val="en-US" w:eastAsia="zh-CN"/>
        </w:rPr>
        <w:t>人员工资、社保费公积金增加</w:t>
      </w:r>
      <w:r>
        <w:rPr>
          <w:rFonts w:hint="eastAsia" w:ascii="仿宋_GB2312" w:hAnsi="Times New Roman" w:eastAsia="仿宋_GB2312" w:cs="DengXian-Regular"/>
          <w:sz w:val="32"/>
          <w:szCs w:val="32"/>
        </w:rPr>
        <w:t>。</w:t>
      </w:r>
    </w:p>
    <w:p>
      <w:pPr>
        <w:snapToGrid w:val="0"/>
        <w:spacing w:line="520" w:lineRule="exact"/>
        <w:ind w:firstLine="640" w:firstLineChars="200"/>
        <w:rPr>
          <w:rFonts w:hint="eastAsia" w:ascii="仿宋_GB2312" w:hAnsi="Times New Roman" w:eastAsia="仿宋_GB2312" w:cs="DengXian-Regular"/>
          <w:sz w:val="32"/>
          <w:szCs w:val="32"/>
        </w:rPr>
      </w:pPr>
    </w:p>
    <w:p>
      <w:pPr>
        <w:snapToGrid w:val="0"/>
        <w:spacing w:line="520" w:lineRule="exact"/>
        <w:ind w:firstLine="640" w:firstLineChars="200"/>
        <w:rPr>
          <w:rFonts w:hint="eastAsia" w:ascii="仿宋_GB2312" w:hAnsi="Times New Roman" w:eastAsia="仿宋_GB2312" w:cs="DengXian-Regular"/>
          <w:sz w:val="32"/>
          <w:szCs w:val="32"/>
        </w:rPr>
      </w:pPr>
    </w:p>
    <w:p>
      <w:pPr>
        <w:snapToGrid w:val="0"/>
        <w:spacing w:line="520" w:lineRule="exact"/>
        <w:ind w:firstLine="640" w:firstLineChars="200"/>
        <w:rPr>
          <w:rFonts w:hint="eastAsia" w:ascii="仿宋_GB2312" w:hAnsi="Times New Roman" w:eastAsia="仿宋_GB2312" w:cs="DengXian-Regular"/>
          <w:sz w:val="32"/>
          <w:szCs w:val="32"/>
        </w:rPr>
      </w:pPr>
    </w:p>
    <w:p>
      <w:pPr>
        <w:snapToGrid w:val="0"/>
        <w:spacing w:line="520" w:lineRule="exact"/>
        <w:ind w:firstLine="640" w:firstLineChars="200"/>
        <w:rPr>
          <w:rFonts w:hint="eastAsia" w:ascii="仿宋_GB2312" w:hAnsi="Times New Roman" w:eastAsia="仿宋_GB2312" w:cs="DengXian-Regular"/>
          <w:sz w:val="32"/>
          <w:szCs w:val="32"/>
        </w:rPr>
      </w:pPr>
    </w:p>
    <w:p>
      <w:pPr>
        <w:snapToGrid w:val="0"/>
        <w:spacing w:line="520" w:lineRule="exact"/>
        <w:ind w:firstLine="640" w:firstLineChars="200"/>
        <w:rPr>
          <w:rFonts w:hint="eastAsia" w:ascii="仿宋_GB2312" w:hAnsi="Times New Roman" w:eastAsia="仿宋_GB2312" w:cs="DengXian-Regular"/>
          <w:sz w:val="32"/>
          <w:szCs w:val="32"/>
        </w:rPr>
      </w:pPr>
      <w:r>
        <w:rPr>
          <w:rFonts w:hint="eastAsia" w:ascii="仿宋_GB2312" w:hAnsi="仿宋" w:eastAsia="仿宋_GB2312"/>
          <w:sz w:val="32"/>
          <w:szCs w:val="32"/>
          <w:lang w:val="en-US" w:eastAsia="zh-CN"/>
        </w:rPr>
        <w:drawing>
          <wp:anchor distT="0" distB="0" distL="114300" distR="114300" simplePos="0" relativeHeight="437489664" behindDoc="0" locked="0" layoutInCell="1" allowOverlap="1">
            <wp:simplePos x="0" y="0"/>
            <wp:positionH relativeFrom="column">
              <wp:posOffset>920115</wp:posOffset>
            </wp:positionH>
            <wp:positionV relativeFrom="paragraph">
              <wp:posOffset>205740</wp:posOffset>
            </wp:positionV>
            <wp:extent cx="4223385" cy="2742565"/>
            <wp:effectExtent l="4445" t="4445" r="20320" b="15240"/>
            <wp:wrapTopAndBottom/>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p>
    <w:p>
      <w:pPr>
        <w:snapToGrid w:val="0"/>
        <w:spacing w:line="580" w:lineRule="exact"/>
        <w:ind w:firstLine="643" w:firstLineChars="200"/>
        <w:rPr>
          <w:rFonts w:hint="eastAsia" w:ascii="仿宋_GB2312" w:hAnsi="Times New Roman" w:eastAsia="仿宋_GB2312" w:cs="DengXian-Regular"/>
          <w:sz w:val="32"/>
          <w:szCs w:val="32"/>
        </w:rPr>
      </w:pPr>
      <w:r>
        <w:rPr>
          <w:rFonts w:hint="eastAsia" w:ascii="楷体_GB2312" w:hAnsi="Times New Roman" w:eastAsia="楷体_GB2312" w:cs="DengXian-Bold"/>
          <w:b/>
          <w:bCs/>
          <w:sz w:val="32"/>
          <w:szCs w:val="32"/>
        </w:rPr>
        <w:t>（二）财政拨款收支与年初预算数对比情况</w:t>
      </w:r>
    </w:p>
    <w:p>
      <w:pPr>
        <w:snapToGrid w:val="0"/>
        <w:spacing w:line="520" w:lineRule="exact"/>
        <w:ind w:firstLine="640" w:firstLineChars="200"/>
        <w:rPr>
          <w:rFonts w:hint="eastAsia" w:ascii="仿宋_GB2312" w:hAnsi="Times New Roman" w:eastAsia="仿宋_GB2312" w:cs="DengXian-Regular"/>
          <w:sz w:val="32"/>
          <w:szCs w:val="32"/>
        </w:rPr>
      </w:pPr>
      <w:r>
        <w:rPr>
          <w:rFonts w:hint="eastAsia" w:ascii="仿宋_GB2312" w:hAnsi="仿宋" w:eastAsia="仿宋_GB2312"/>
          <w:sz w:val="32"/>
          <w:szCs w:val="32"/>
          <w:lang w:val="en-US" w:eastAsia="zh-CN"/>
        </w:rPr>
        <w:drawing>
          <wp:anchor distT="0" distB="0" distL="114300" distR="114300" simplePos="0" relativeHeight="437643264" behindDoc="0" locked="0" layoutInCell="1" allowOverlap="1">
            <wp:simplePos x="0" y="0"/>
            <wp:positionH relativeFrom="column">
              <wp:posOffset>758190</wp:posOffset>
            </wp:positionH>
            <wp:positionV relativeFrom="paragraph">
              <wp:posOffset>2446655</wp:posOffset>
            </wp:positionV>
            <wp:extent cx="4176395" cy="1866265"/>
            <wp:effectExtent l="4445" t="5080" r="10160" b="14605"/>
            <wp:wrapTopAndBottom/>
            <wp:docPr id="34" name="图表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74.49</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102.39</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1.74</w:t>
      </w:r>
      <w:r>
        <w:rPr>
          <w:rFonts w:hint="eastAsia" w:ascii="仿宋_GB2312" w:hAnsi="Times New Roman" w:eastAsia="仿宋_GB2312" w:cs="DengXian-Regular"/>
          <w:sz w:val="32"/>
          <w:szCs w:val="32"/>
        </w:rPr>
        <w:t>万元，决算数大于预算数主要原因是</w:t>
      </w:r>
      <w:r>
        <w:rPr>
          <w:rFonts w:hint="eastAsia" w:ascii="仿宋_GB2312" w:hAnsi="仿宋" w:eastAsia="仿宋_GB2312"/>
          <w:sz w:val="32"/>
          <w:szCs w:val="32"/>
          <w:lang w:val="en-US" w:eastAsia="zh-CN"/>
        </w:rPr>
        <w:t>人员工资、社保费公积金增加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74.49</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102.39</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1.74</w:t>
      </w:r>
      <w:r>
        <w:rPr>
          <w:rFonts w:hint="eastAsia" w:ascii="仿宋_GB2312" w:hAnsi="Times New Roman" w:eastAsia="仿宋_GB2312" w:cs="DengXian-Regular"/>
          <w:sz w:val="32"/>
          <w:szCs w:val="32"/>
        </w:rPr>
        <w:t>万元，决算数大于预算数主要原因是主要是</w:t>
      </w:r>
      <w:r>
        <w:rPr>
          <w:rFonts w:hint="eastAsia" w:ascii="仿宋_GB2312" w:hAnsi="仿宋" w:eastAsia="仿宋_GB2312"/>
          <w:sz w:val="32"/>
          <w:szCs w:val="32"/>
          <w:lang w:val="en-US" w:eastAsia="zh-CN"/>
        </w:rPr>
        <w:t>人员工资、社保费公积金增加</w:t>
      </w:r>
      <w:r>
        <w:rPr>
          <w:rFonts w:hint="eastAsia" w:ascii="仿宋_GB2312" w:hAnsi="Times New Roman" w:eastAsia="仿宋_GB2312" w:cs="DengXian-Regular"/>
          <w:sz w:val="32"/>
          <w:szCs w:val="32"/>
        </w:rPr>
        <w:t>。</w:t>
      </w:r>
    </w:p>
    <w:p>
      <w:pPr>
        <w:snapToGrid w:val="0"/>
        <w:spacing w:line="520" w:lineRule="exact"/>
        <w:rPr>
          <w:rFonts w:hint="eastAsia" w:ascii="仿宋_GB2312" w:hAnsi="Times New Roman" w:eastAsia="仿宋_GB2312" w:cs="DengXian-Regular"/>
          <w:sz w:val="32"/>
          <w:szCs w:val="32"/>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74.49</w:t>
      </w:r>
      <w:r>
        <w:rPr>
          <w:rFonts w:hint="eastAsia" w:ascii="仿宋_GB2312" w:hAnsi="Times New Roman" w:eastAsia="仿宋_GB2312" w:cs="DengXian-Regular"/>
          <w:sz w:val="32"/>
          <w:szCs w:val="32"/>
        </w:rPr>
        <w:t>万元，主要用于以下方面一般公共服务（类）支出</w:t>
      </w:r>
      <w:r>
        <w:rPr>
          <w:rFonts w:hint="eastAsia" w:ascii="仿宋_GB2312" w:hAnsi="Times New Roman" w:eastAsia="仿宋_GB2312" w:cs="DengXian-Regular"/>
          <w:sz w:val="32"/>
          <w:szCs w:val="32"/>
          <w:lang w:val="en-US" w:eastAsia="zh-CN"/>
        </w:rPr>
        <w:t>74.49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74.49</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71.25</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抚恤金、生活补助、医疗费补助、奖励金、其他对个人和家庭的补助支出；公用经费 </w:t>
      </w:r>
      <w:r>
        <w:rPr>
          <w:rFonts w:hint="eastAsia" w:ascii="仿宋_GB2312" w:hAnsi="Times New Roman" w:eastAsia="仿宋_GB2312" w:cs="DengXian-Regular"/>
          <w:sz w:val="32"/>
          <w:szCs w:val="32"/>
          <w:lang w:val="en-US" w:eastAsia="zh-CN"/>
        </w:rPr>
        <w:t>3.24</w:t>
      </w:r>
      <w:r>
        <w:rPr>
          <w:rFonts w:hint="eastAsia" w:ascii="仿宋_GB2312" w:hAnsi="Times New Roman" w:eastAsia="仿宋_GB2312" w:cs="DengXian-Regular"/>
          <w:sz w:val="32"/>
          <w:szCs w:val="32"/>
        </w:rPr>
        <w:t>万元，主要包括办公费、印刷费、咨询费、手续费、水费、电费、邮电费、取暖费、物业管理费、专用材料费、劳务费、委托业务费、工会经费、福利费、其他交通费用、税金及附加费用、其他商品和服务支出。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hint="eastAsia" w:ascii="仿宋_GB2312" w:hAnsi="Times New Roman" w:eastAsia="仿宋_GB2312" w:cs="DengXian-Regular"/>
          <w:color w:val="auto"/>
          <w:sz w:val="32"/>
          <w:szCs w:val="32"/>
          <w:highlight w:val="none"/>
          <w:lang w:eastAsia="zh-CN"/>
        </w:rPr>
      </w:pPr>
      <w:r>
        <w:rPr>
          <w:rFonts w:hint="eastAsia" w:ascii="仿宋_GB2312" w:hAnsi="Times New Roman" w:eastAsia="仿宋_GB2312" w:cs="DengXian-Regular"/>
          <w:color w:val="auto"/>
          <w:sz w:val="32"/>
          <w:szCs w:val="32"/>
          <w:highlight w:val="none"/>
        </w:rPr>
        <w:t>本部门2019年度“三公”经费支出共计</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万元</w:t>
      </w:r>
      <w:r>
        <w:rPr>
          <w:rFonts w:hint="eastAsia" w:ascii="仿宋_GB2312" w:hAnsi="Times New Roman" w:eastAsia="仿宋_GB2312" w:cs="DengXian-Regular"/>
          <w:color w:val="auto"/>
          <w:sz w:val="32"/>
          <w:szCs w:val="32"/>
          <w:highlight w:val="none"/>
          <w:lang w:eastAsia="zh-CN"/>
        </w:rPr>
        <w:t>，</w:t>
      </w:r>
      <w:r>
        <w:rPr>
          <w:rFonts w:hint="eastAsia" w:ascii="仿宋_GB2312" w:hAnsi="Times New Roman" w:eastAsia="仿宋_GB2312" w:cs="DengXian-Regular"/>
          <w:sz w:val="32"/>
          <w:szCs w:val="32"/>
        </w:rPr>
        <w:t>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%,较预算增减少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color w:val="auto"/>
          <w:sz w:val="32"/>
          <w:szCs w:val="32"/>
          <w:highlight w:val="none"/>
          <w:lang w:eastAsia="zh-CN"/>
        </w:rPr>
        <w:t>未发生有关业务</w:t>
      </w:r>
      <w:r>
        <w:rPr>
          <w:rFonts w:hint="eastAsia" w:ascii="仿宋_GB2312" w:hAnsi="Times New Roman" w:eastAsia="仿宋_GB2312" w:cs="DengXian-Regular"/>
          <w:sz w:val="32"/>
          <w:szCs w:val="32"/>
        </w:rPr>
        <w:t>；较2018年度减少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color w:val="auto"/>
          <w:sz w:val="32"/>
          <w:szCs w:val="32"/>
          <w:highlight w:val="none"/>
          <w:lang w:eastAsia="zh-CN"/>
        </w:rPr>
        <w:t>未发生有关业务</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color w:val="auto"/>
          <w:sz w:val="32"/>
          <w:szCs w:val="32"/>
          <w:highlight w:val="none"/>
        </w:rPr>
      </w:pPr>
      <w:r>
        <w:rPr>
          <w:rFonts w:hint="eastAsia" w:ascii="楷体_GB2312" w:hAnsi="Times New Roman" w:eastAsia="楷体_GB2312" w:cs="DengXian-Bold"/>
          <w:b/>
          <w:bCs/>
          <w:color w:val="auto"/>
          <w:sz w:val="32"/>
          <w:szCs w:val="32"/>
          <w:highlight w:val="none"/>
        </w:rPr>
        <w:t>（一）因公出国（境）费支出</w:t>
      </w:r>
      <w:r>
        <w:rPr>
          <w:rFonts w:hint="eastAsia" w:ascii="楷体_GB2312" w:hAnsi="Times New Roman" w:eastAsia="楷体_GB2312" w:cs="DengXian-Bold"/>
          <w:b/>
          <w:bCs/>
          <w:color w:val="auto"/>
          <w:sz w:val="32"/>
          <w:szCs w:val="32"/>
          <w:highlight w:val="none"/>
          <w:lang w:val="en-US" w:eastAsia="zh-CN"/>
        </w:rPr>
        <w:t>0</w:t>
      </w:r>
      <w:r>
        <w:rPr>
          <w:rFonts w:hint="eastAsia" w:ascii="楷体_GB2312" w:hAnsi="Times New Roman" w:eastAsia="楷体_GB2312" w:cs="DengXian-Bold"/>
          <w:b/>
          <w:bCs/>
          <w:color w:val="auto"/>
          <w:sz w:val="32"/>
          <w:szCs w:val="32"/>
          <w:highlight w:val="none"/>
        </w:rPr>
        <w:t>万元。</w:t>
      </w:r>
      <w:r>
        <w:rPr>
          <w:rFonts w:hint="eastAsia" w:ascii="仿宋_GB2312" w:hAnsi="Times New Roman" w:eastAsia="仿宋_GB2312" w:cs="DengXian-Regular"/>
          <w:color w:val="auto"/>
          <w:sz w:val="32"/>
          <w:szCs w:val="32"/>
          <w:highlight w:val="none"/>
        </w:rPr>
        <w:t>本部门2019年度因公出国（境）团组</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个、共</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人/参加其他单位组织的因公出国（境）团组</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个、共</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人/无本单位组织的出国（境）团组。因公出国（境）费支出较预算增加</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万元，增长</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%,主要是</w:t>
      </w:r>
      <w:r>
        <w:rPr>
          <w:rFonts w:hint="eastAsia" w:ascii="仿宋_GB2312" w:hAnsi="Times New Roman" w:eastAsia="仿宋_GB2312" w:cs="DengXian-Regular"/>
          <w:color w:val="auto"/>
          <w:sz w:val="32"/>
          <w:szCs w:val="32"/>
          <w:highlight w:val="none"/>
          <w:lang w:val="en-US" w:eastAsia="zh-CN"/>
        </w:rPr>
        <w:t>2019</w:t>
      </w:r>
      <w:r>
        <w:rPr>
          <w:rFonts w:hint="eastAsia" w:ascii="仿宋_GB2312" w:eastAsia="仿宋_GB2312" w:cs="DengXian-Regular"/>
          <w:color w:val="auto"/>
          <w:sz w:val="32"/>
          <w:szCs w:val="32"/>
          <w:highlight w:val="none"/>
        </w:rPr>
        <w:t>年无因公出国事项</w:t>
      </w:r>
      <w:r>
        <w:rPr>
          <w:rFonts w:hint="eastAsia" w:ascii="仿宋_GB2312" w:hAnsi="Times New Roman" w:eastAsia="仿宋_GB2312" w:cs="DengXian-Regular"/>
          <w:color w:val="auto"/>
          <w:sz w:val="32"/>
          <w:szCs w:val="32"/>
          <w:highlight w:val="none"/>
        </w:rPr>
        <w:t>。</w:t>
      </w:r>
    </w:p>
    <w:p>
      <w:pPr>
        <w:adjustRightInd w:val="0"/>
        <w:snapToGrid w:val="0"/>
        <w:spacing w:line="580" w:lineRule="exact"/>
        <w:ind w:firstLine="643" w:firstLineChars="200"/>
        <w:rPr>
          <w:rFonts w:ascii="仿宋_GB2312" w:hAnsi="Times New Roman" w:eastAsia="仿宋_GB2312" w:cs="DengXian-Bold"/>
          <w:b/>
          <w:bCs/>
          <w:color w:val="auto"/>
          <w:sz w:val="32"/>
          <w:szCs w:val="32"/>
          <w:highlight w:val="none"/>
        </w:rPr>
      </w:pPr>
      <w:r>
        <w:rPr>
          <w:rFonts w:hint="eastAsia" w:ascii="楷体_GB2312" w:hAnsi="Times New Roman" w:eastAsia="楷体_GB2312" w:cs="DengXian-Bold"/>
          <w:b/>
          <w:bCs/>
          <w:color w:val="auto"/>
          <w:sz w:val="32"/>
          <w:szCs w:val="32"/>
          <w:highlight w:val="none"/>
        </w:rPr>
        <w:t>（二）公务用车购置及运行维护费支出</w:t>
      </w:r>
      <w:r>
        <w:rPr>
          <w:rFonts w:hint="eastAsia" w:ascii="楷体_GB2312" w:hAnsi="Times New Roman" w:eastAsia="楷体_GB2312" w:cs="DengXian-Bold"/>
          <w:b/>
          <w:bCs/>
          <w:color w:val="auto"/>
          <w:sz w:val="32"/>
          <w:szCs w:val="32"/>
          <w:highlight w:val="none"/>
          <w:lang w:val="en-US" w:eastAsia="zh-CN"/>
        </w:rPr>
        <w:t>0</w:t>
      </w:r>
      <w:r>
        <w:rPr>
          <w:rFonts w:hint="eastAsia" w:ascii="楷体_GB2312" w:hAnsi="Times New Roman" w:eastAsia="楷体_GB2312" w:cs="DengXian-Bold"/>
          <w:b/>
          <w:bCs/>
          <w:color w:val="auto"/>
          <w:sz w:val="32"/>
          <w:szCs w:val="32"/>
          <w:highlight w:val="none"/>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color w:val="auto"/>
          <w:sz w:val="32"/>
          <w:szCs w:val="32"/>
          <w:highlight w:val="none"/>
          <w:lang w:eastAsia="zh-CN"/>
        </w:rPr>
        <w:t>未发生有关业务</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color w:val="auto"/>
          <w:sz w:val="32"/>
          <w:szCs w:val="32"/>
          <w:highlight w:val="none"/>
          <w:lang w:eastAsia="zh-CN"/>
        </w:rPr>
        <w:t>未发生有关业务</w:t>
      </w:r>
      <w:r>
        <w:rPr>
          <w:rFonts w:hint="eastAsia" w:ascii="仿宋_GB2312" w:hAnsi="Times New Roman" w:eastAsia="仿宋_GB2312" w:cs="DengXian-Regular"/>
          <w:color w:val="auto"/>
          <w:sz w:val="32"/>
          <w:szCs w:val="32"/>
          <w:highlight w:val="none"/>
        </w:rPr>
        <w:t>。</w:t>
      </w:r>
      <w:r>
        <w:rPr>
          <w:rFonts w:hint="eastAsia" w:ascii="仿宋_GB2312" w:hAnsi="Times New Roman" w:eastAsia="仿宋_GB2312" w:cs="DengXian-Bold"/>
          <w:b/>
          <w:bCs/>
          <w:color w:val="auto"/>
          <w:sz w:val="32"/>
          <w:szCs w:val="32"/>
          <w:highlight w:val="none"/>
        </w:rPr>
        <w:t>其中：</w:t>
      </w:r>
    </w:p>
    <w:p>
      <w:pPr>
        <w:adjustRightInd w:val="0"/>
        <w:snapToGrid w:val="0"/>
        <w:spacing w:line="580" w:lineRule="exact"/>
        <w:ind w:firstLine="643" w:firstLineChars="200"/>
        <w:rPr>
          <w:rFonts w:ascii="仿宋_GB2312" w:hAnsi="Times New Roman" w:eastAsia="仿宋_GB2312" w:cs="DengXian-Regular"/>
          <w:color w:val="auto"/>
          <w:sz w:val="32"/>
          <w:szCs w:val="32"/>
          <w:highlight w:val="none"/>
        </w:rPr>
      </w:pPr>
      <w:r>
        <w:rPr>
          <w:rFonts w:hint="eastAsia" w:ascii="仿宋_GB2312" w:hAnsi="Times New Roman" w:eastAsia="仿宋_GB2312" w:cs="DengXian-Regular"/>
          <w:b/>
          <w:color w:val="auto"/>
          <w:sz w:val="32"/>
          <w:szCs w:val="32"/>
          <w:highlight w:val="none"/>
        </w:rPr>
        <w:t>公务用车购置费：</w:t>
      </w:r>
      <w:r>
        <w:rPr>
          <w:rFonts w:hint="eastAsia" w:ascii="仿宋_GB2312" w:hAnsi="Times New Roman" w:eastAsia="仿宋_GB2312" w:cs="DengXian-Regular"/>
          <w:color w:val="auto"/>
          <w:sz w:val="32"/>
          <w:szCs w:val="32"/>
          <w:highlight w:val="none"/>
        </w:rPr>
        <w:t>本部门2019年度公务用车购置量</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辆，发生“公务用车购置”经费支出</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万元。公务用车购置费支出较预算增加</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万元，增长</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%,主要是</w:t>
      </w:r>
      <w:r>
        <w:rPr>
          <w:rFonts w:hint="eastAsia" w:ascii="仿宋_GB2312" w:hAnsi="Times New Roman" w:eastAsia="仿宋_GB2312" w:cs="DengXian-Regular"/>
          <w:color w:val="auto"/>
          <w:sz w:val="32"/>
          <w:szCs w:val="32"/>
          <w:highlight w:val="none"/>
          <w:lang w:eastAsia="zh-CN"/>
        </w:rPr>
        <w:t>未发生有关业务</w:t>
      </w:r>
      <w:r>
        <w:rPr>
          <w:rFonts w:hint="eastAsia" w:ascii="仿宋_GB2312" w:hAnsi="Times New Roman" w:eastAsia="仿宋_GB2312" w:cs="DengXian-Regular"/>
          <w:color w:val="auto"/>
          <w:sz w:val="32"/>
          <w:szCs w:val="32"/>
          <w:highlight w:val="none"/>
        </w:rPr>
        <w:t>。</w:t>
      </w:r>
    </w:p>
    <w:p>
      <w:pPr>
        <w:adjustRightInd w:val="0"/>
        <w:snapToGrid w:val="0"/>
        <w:spacing w:line="580" w:lineRule="exact"/>
        <w:ind w:firstLine="643" w:firstLineChars="200"/>
        <w:rPr>
          <w:rFonts w:hint="eastAsia" w:ascii="仿宋_GB2312" w:hAnsi="Times New Roman" w:eastAsia="仿宋_GB2312" w:cs="DengXian-Regular"/>
          <w:color w:val="auto"/>
          <w:sz w:val="32"/>
          <w:szCs w:val="32"/>
          <w:highlight w:val="none"/>
          <w:lang w:eastAsia="zh-CN"/>
        </w:rPr>
      </w:pPr>
      <w:r>
        <w:rPr>
          <w:rFonts w:hint="eastAsia" w:ascii="仿宋_GB2312" w:hAnsi="Times New Roman" w:eastAsia="仿宋_GB2312" w:cs="DengXian-Regular"/>
          <w:b/>
          <w:color w:val="auto"/>
          <w:sz w:val="32"/>
          <w:szCs w:val="32"/>
          <w:highlight w:val="none"/>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color w:val="auto"/>
          <w:sz w:val="32"/>
          <w:szCs w:val="32"/>
          <w:highlight w:val="none"/>
          <w:lang w:eastAsia="zh-CN"/>
        </w:rPr>
        <w:t>未发生有关业务</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color w:val="auto"/>
          <w:sz w:val="32"/>
          <w:szCs w:val="32"/>
          <w:highlight w:val="none"/>
          <w:lang w:eastAsia="zh-CN"/>
        </w:rPr>
        <w:t>未发生有关业务</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hint="eastAsia" w:ascii="仿宋_GB2312" w:hAnsi="Times New Roman" w:eastAsia="仿宋_GB2312" w:cs="DengXian-Regular"/>
          <w:color w:val="auto"/>
          <w:sz w:val="32"/>
          <w:szCs w:val="32"/>
          <w:highlight w:val="none"/>
          <w:lang w:val="en-US" w:eastAsia="zh-CN"/>
        </w:rPr>
      </w:pPr>
      <w:r>
        <w:rPr>
          <w:rFonts w:hint="eastAsia" w:ascii="楷体_GB2312" w:hAnsi="Times New Roman" w:eastAsia="楷体_GB2312" w:cs="DengXian-Bold"/>
          <w:b/>
          <w:bCs/>
          <w:color w:val="auto"/>
          <w:sz w:val="32"/>
          <w:szCs w:val="32"/>
          <w:highlight w:val="none"/>
        </w:rPr>
        <w:t>（三）公务接待费支出</w:t>
      </w:r>
      <w:r>
        <w:rPr>
          <w:rFonts w:hint="eastAsia" w:ascii="楷体_GB2312" w:hAnsi="Times New Roman" w:eastAsia="楷体_GB2312" w:cs="DengXian-Bold"/>
          <w:b/>
          <w:bCs/>
          <w:color w:val="auto"/>
          <w:sz w:val="32"/>
          <w:szCs w:val="32"/>
          <w:highlight w:val="none"/>
          <w:lang w:val="en-US" w:eastAsia="zh-CN"/>
        </w:rPr>
        <w:t>0</w:t>
      </w:r>
      <w:r>
        <w:rPr>
          <w:rFonts w:hint="eastAsia" w:ascii="楷体_GB2312" w:hAnsi="Times New Roman" w:eastAsia="楷体_GB2312" w:cs="DengXian-Bold"/>
          <w:b/>
          <w:bCs/>
          <w:color w:val="auto"/>
          <w:sz w:val="32"/>
          <w:szCs w:val="32"/>
          <w:highlight w:val="none"/>
        </w:rPr>
        <w:t>万元。</w:t>
      </w:r>
      <w:r>
        <w:rPr>
          <w:rFonts w:hint="eastAsia" w:ascii="仿宋_GB2312" w:hAnsi="Times New Roman" w:eastAsia="仿宋_GB2312" w:cs="DengXian-Regular"/>
          <w:color w:val="auto"/>
          <w:sz w:val="32"/>
          <w:szCs w:val="32"/>
          <w:highlight w:val="none"/>
        </w:rPr>
        <w:t>本部门2019年度公务接待共</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批次、</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人次。公务接待费支出较预算减少</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万元，降低</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%,主要是</w:t>
      </w:r>
      <w:r>
        <w:rPr>
          <w:rFonts w:hint="eastAsia" w:ascii="仿宋_GB2312" w:hAnsi="Times New Roman" w:eastAsia="仿宋_GB2312" w:cs="DengXian-Regular"/>
          <w:color w:val="auto"/>
          <w:sz w:val="32"/>
          <w:szCs w:val="32"/>
          <w:highlight w:val="none"/>
          <w:lang w:eastAsia="zh-CN"/>
        </w:rPr>
        <w:t>未发生有关业务</w:t>
      </w:r>
      <w:r>
        <w:rPr>
          <w:rFonts w:hint="eastAsia" w:ascii="仿宋_GB2312" w:hAnsi="Times New Roman" w:eastAsia="仿宋_GB2312" w:cs="DengXian-Regular"/>
          <w:color w:val="auto"/>
          <w:sz w:val="32"/>
          <w:szCs w:val="32"/>
          <w:highlight w:val="none"/>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w:t>
      </w:r>
      <w:r>
        <w:rPr>
          <w:rFonts w:hint="eastAsia" w:ascii="仿宋_GB2312" w:eastAsia="仿宋_GB2312" w:cs="DengXian-Regular"/>
          <w:sz w:val="32"/>
          <w:szCs w:val="32"/>
          <w:shd w:val="clear" w:color="auto" w:fill="auto"/>
          <w:lang w:eastAsia="zh-CN"/>
        </w:rPr>
        <w:t>本年度项目支出</w:t>
      </w:r>
      <w:r>
        <w:rPr>
          <w:rFonts w:hint="eastAsia" w:ascii="仿宋_GB2312" w:eastAsia="仿宋_GB2312" w:cs="DengXian-Regular"/>
          <w:sz w:val="32"/>
          <w:szCs w:val="32"/>
          <w:shd w:val="clear" w:color="auto" w:fill="auto"/>
          <w:lang w:val="en-US" w:eastAsia="zh-CN"/>
        </w:rPr>
        <w:t>0万元</w:t>
      </w:r>
      <w:r>
        <w:rPr>
          <w:rFonts w:hint="eastAsia" w:ascii="仿宋_GB2312" w:eastAsia="仿宋_GB2312" w:cs="DengXian-Regular"/>
          <w:sz w:val="32"/>
          <w:szCs w:val="32"/>
          <w:shd w:val="clear" w:color="auto" w:fill="auto"/>
          <w:lang w:eastAsia="zh-CN"/>
        </w:rPr>
        <w:t>。</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keepNext/>
        <w:keepLines/>
        <w:snapToGrid w:val="0"/>
        <w:spacing w:line="580" w:lineRule="exact"/>
        <w:ind w:firstLine="640" w:firstLineChars="200"/>
        <w:outlineLvl w:val="1"/>
        <w:rPr>
          <w:rFonts w:hint="eastAsia" w:ascii="仿宋_GB2312" w:eastAsia="仿宋_GB2312" w:cs="DengXian-Regular"/>
          <w:sz w:val="32"/>
          <w:szCs w:val="32"/>
          <w:shd w:val="clear" w:color="auto" w:fill="auto"/>
          <w:lang w:eastAsia="zh-CN"/>
        </w:rPr>
      </w:pPr>
      <w:r>
        <w:rPr>
          <w:rFonts w:hint="eastAsia" w:ascii="仿宋_GB2312" w:eastAsia="仿宋_GB2312" w:cs="DengXian-Regular"/>
          <w:sz w:val="32"/>
          <w:szCs w:val="32"/>
          <w:shd w:val="clear" w:color="auto" w:fill="auto"/>
        </w:rPr>
        <w:t>本</w:t>
      </w:r>
      <w:r>
        <w:rPr>
          <w:rFonts w:hint="eastAsia" w:ascii="仿宋_GB2312" w:eastAsia="仿宋_GB2312" w:cs="DengXian-Regular"/>
          <w:sz w:val="32"/>
          <w:szCs w:val="32"/>
          <w:shd w:val="clear" w:color="auto" w:fill="auto"/>
          <w:lang w:eastAsia="zh-CN"/>
        </w:rPr>
        <w:t>部门</w:t>
      </w:r>
      <w:r>
        <w:rPr>
          <w:rFonts w:hint="eastAsia" w:ascii="仿宋_GB2312" w:eastAsia="仿宋_GB2312" w:cs="DengXian-Regular"/>
          <w:sz w:val="32"/>
          <w:szCs w:val="32"/>
          <w:shd w:val="clear" w:color="auto" w:fill="auto"/>
        </w:rPr>
        <w:t>组织对201</w:t>
      </w:r>
      <w:r>
        <w:rPr>
          <w:rFonts w:hint="eastAsia" w:ascii="仿宋_GB2312" w:eastAsia="仿宋_GB2312" w:cs="DengXian-Regular"/>
          <w:sz w:val="32"/>
          <w:szCs w:val="32"/>
          <w:shd w:val="clear" w:color="auto" w:fill="auto"/>
          <w:lang w:val="en-US" w:eastAsia="zh-CN"/>
        </w:rPr>
        <w:t>9</w:t>
      </w:r>
      <w:r>
        <w:rPr>
          <w:rFonts w:hint="eastAsia" w:ascii="仿宋_GB2312" w:eastAsia="仿宋_GB2312" w:cs="DengXian-Regular"/>
          <w:sz w:val="32"/>
          <w:szCs w:val="32"/>
          <w:shd w:val="clear" w:color="auto" w:fill="auto"/>
        </w:rPr>
        <w:t>年度一般公共预算项目支出全面开展绩效自评，</w:t>
      </w:r>
      <w:r>
        <w:rPr>
          <w:rFonts w:hint="eastAsia" w:ascii="仿宋_GB2312" w:eastAsia="仿宋_GB2312" w:cs="DengXian-Regular"/>
          <w:sz w:val="32"/>
          <w:szCs w:val="32"/>
          <w:shd w:val="clear" w:color="auto" w:fill="auto"/>
          <w:lang w:eastAsia="zh-CN"/>
        </w:rPr>
        <w:t>本年度项目支出</w:t>
      </w:r>
      <w:r>
        <w:rPr>
          <w:rFonts w:hint="eastAsia" w:ascii="仿宋_GB2312" w:eastAsia="仿宋_GB2312" w:cs="DengXian-Regular"/>
          <w:sz w:val="32"/>
          <w:szCs w:val="32"/>
          <w:shd w:val="clear" w:color="auto" w:fill="auto"/>
          <w:lang w:val="en-US" w:eastAsia="zh-CN"/>
        </w:rPr>
        <w:t>0万元,本部门无预算绩效</w:t>
      </w:r>
      <w:r>
        <w:rPr>
          <w:rFonts w:hint="eastAsia" w:ascii="仿宋_GB2312" w:eastAsia="仿宋_GB2312" w:cs="DengXian-Regular"/>
          <w:sz w:val="32"/>
          <w:szCs w:val="32"/>
          <w:shd w:val="clear" w:color="auto" w:fill="auto"/>
          <w:lang w:eastAsia="zh-CN"/>
        </w:rPr>
        <w:t>。</w:t>
      </w:r>
    </w:p>
    <w:p>
      <w:pPr>
        <w:adjustRightInd w:val="0"/>
        <w:snapToGrid w:val="0"/>
        <w:spacing w:line="580" w:lineRule="exact"/>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 财政评价项目绩效评价结果</w:t>
      </w:r>
      <w:r>
        <w:rPr>
          <w:rFonts w:hint="eastAsia" w:ascii="仿宋_GB2312" w:hAnsi="仿宋_GB2312" w:eastAsia="仿宋_GB2312" w:cs="仿宋_GB2312"/>
          <w:b/>
          <w:bCs/>
          <w:sz w:val="32"/>
          <w:szCs w:val="32"/>
          <w:lang w:eastAsia="zh-CN"/>
        </w:rPr>
        <w:t>。</w:t>
      </w:r>
    </w:p>
    <w:p>
      <w:pPr>
        <w:adjustRightInd w:val="0"/>
        <w:snapToGrid w:val="0"/>
        <w:spacing w:line="580" w:lineRule="exact"/>
        <w:rPr>
          <w:rFonts w:hint="eastAsia" w:ascii="仿宋_GB2312" w:eastAsia="仿宋_GB2312" w:cs="DengXian-Regular"/>
          <w:sz w:val="32"/>
          <w:szCs w:val="32"/>
          <w:shd w:val="clear" w:color="auto" w:fill="auto"/>
          <w:lang w:val="en-US" w:eastAsia="zh-CN"/>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b w:val="0"/>
          <w:bCs w:val="0"/>
          <w:sz w:val="32"/>
          <w:szCs w:val="32"/>
          <w:lang w:val="en-US" w:eastAsia="zh-CN"/>
        </w:rPr>
        <w:t>本部门无财政评价项目。</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rPr>
        <w:t>比2018年度减少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color w:val="auto"/>
          <w:sz w:val="32"/>
          <w:szCs w:val="32"/>
          <w:highlight w:val="none"/>
          <w:lang w:eastAsia="zh-CN"/>
        </w:rPr>
        <w:t>未发生有关业务</w:t>
      </w:r>
      <w:r>
        <w:rPr>
          <w:rFonts w:hint="eastAsia" w:ascii="仿宋_GB2312" w:hAnsi="Times New Roman" w:eastAsia="仿宋_GB2312" w:cs="DengXian-Regular"/>
          <w:sz w:val="32"/>
          <w:szCs w:val="32"/>
        </w:rPr>
        <w:t>。</w:t>
      </w:r>
      <w:bookmarkStart w:id="0" w:name="_GoBack"/>
      <w:bookmarkEnd w:id="0"/>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color w:val="auto"/>
          <w:sz w:val="32"/>
          <w:szCs w:val="32"/>
          <w:highlight w:val="none"/>
        </w:rPr>
        <w:t>本部门2019年度政府采购支出总额</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万元，从采购类型来看，</w:t>
      </w:r>
      <w:r>
        <w:rPr>
          <w:rFonts w:ascii="仿宋_GB2312" w:hAnsi="仿宋_GB2312" w:eastAsia="仿宋_GB2312" w:cs="仿宋_GB2312"/>
          <w:color w:val="auto"/>
          <w:kern w:val="0"/>
          <w:sz w:val="32"/>
          <w:szCs w:val="32"/>
          <w:highlight w:val="none"/>
          <w:lang w:bidi="ar"/>
        </w:rPr>
        <w:t>政府采购货物支出</w:t>
      </w:r>
      <w:r>
        <w:rPr>
          <w:rFonts w:hint="eastAsia" w:ascii="仿宋_GB2312" w:hAnsi="仿宋_GB2312" w:eastAsia="仿宋_GB2312" w:cs="仿宋_GB2312"/>
          <w:color w:val="auto"/>
          <w:kern w:val="0"/>
          <w:sz w:val="32"/>
          <w:szCs w:val="32"/>
          <w:highlight w:val="none"/>
          <w:lang w:val="en-US" w:eastAsia="zh-CN" w:bidi="ar"/>
        </w:rPr>
        <w:t>0</w:t>
      </w:r>
      <w:r>
        <w:rPr>
          <w:rFonts w:ascii="仿宋_GB2312" w:hAnsi="仿宋_GB2312" w:eastAsia="仿宋_GB2312" w:cs="仿宋_GB2312"/>
          <w:color w:val="auto"/>
          <w:kern w:val="0"/>
          <w:sz w:val="32"/>
          <w:szCs w:val="32"/>
          <w:highlight w:val="none"/>
          <w:lang w:bidi="ar"/>
        </w:rPr>
        <w:t xml:space="preserve"> 万元、政府采购工程支出</w:t>
      </w:r>
      <w:r>
        <w:rPr>
          <w:rFonts w:hint="eastAsia" w:ascii="仿宋_GB2312" w:hAnsi="仿宋_GB2312" w:eastAsia="仿宋_GB2312" w:cs="仿宋_GB2312"/>
          <w:color w:val="auto"/>
          <w:kern w:val="0"/>
          <w:sz w:val="32"/>
          <w:szCs w:val="32"/>
          <w:highlight w:val="none"/>
          <w:lang w:val="en-US" w:eastAsia="zh-CN" w:bidi="ar"/>
        </w:rPr>
        <w:t>0</w:t>
      </w:r>
      <w:r>
        <w:rPr>
          <w:rFonts w:ascii="仿宋_GB2312" w:hAnsi="仿宋_GB2312" w:eastAsia="仿宋_GB2312" w:cs="仿宋_GB2312"/>
          <w:color w:val="auto"/>
          <w:kern w:val="0"/>
          <w:sz w:val="32"/>
          <w:szCs w:val="32"/>
          <w:highlight w:val="none"/>
          <w:lang w:bidi="ar"/>
        </w:rPr>
        <w:t xml:space="preserve">万元、政府采购服务支出 </w:t>
      </w:r>
      <w:r>
        <w:rPr>
          <w:rFonts w:hint="eastAsia" w:ascii="仿宋_GB2312" w:hAnsi="仿宋_GB2312" w:eastAsia="仿宋_GB2312" w:cs="仿宋_GB2312"/>
          <w:color w:val="auto"/>
          <w:kern w:val="0"/>
          <w:sz w:val="32"/>
          <w:szCs w:val="32"/>
          <w:highlight w:val="none"/>
          <w:lang w:val="en-US" w:eastAsia="zh-CN" w:bidi="ar"/>
        </w:rPr>
        <w:t>0</w:t>
      </w:r>
      <w:r>
        <w:rPr>
          <w:rFonts w:ascii="仿宋_GB2312" w:hAnsi="仿宋_GB2312" w:eastAsia="仿宋_GB2312" w:cs="仿宋_GB2312"/>
          <w:color w:val="auto"/>
          <w:kern w:val="0"/>
          <w:sz w:val="32"/>
          <w:szCs w:val="32"/>
          <w:highlight w:val="none"/>
          <w:lang w:bidi="ar"/>
        </w:rPr>
        <w:t>万元。授予中小企业合同金</w:t>
      </w:r>
      <w:r>
        <w:rPr>
          <w:rFonts w:hint="eastAsia" w:ascii="仿宋_GB2312" w:hAnsi="仿宋_GB2312" w:eastAsia="仿宋_GB2312" w:cs="仿宋_GB2312"/>
          <w:color w:val="auto"/>
          <w:kern w:val="0"/>
          <w:sz w:val="32"/>
          <w:szCs w:val="32"/>
          <w:highlight w:val="none"/>
          <w:lang w:val="en-US" w:eastAsia="zh-CN" w:bidi="ar"/>
        </w:rPr>
        <w:t>0</w:t>
      </w:r>
      <w:r>
        <w:rPr>
          <w:rFonts w:ascii="仿宋_GB2312" w:hAnsi="仿宋_GB2312" w:eastAsia="仿宋_GB2312" w:cs="仿宋_GB2312"/>
          <w:color w:val="auto"/>
          <w:kern w:val="0"/>
          <w:sz w:val="32"/>
          <w:szCs w:val="32"/>
          <w:highlight w:val="none"/>
          <w:lang w:bidi="ar"/>
        </w:rPr>
        <w:t>万元，占政府采购支出总额的</w:t>
      </w:r>
      <w:r>
        <w:rPr>
          <w:rFonts w:hint="eastAsia" w:ascii="仿宋_GB2312" w:hAnsi="仿宋_GB2312" w:eastAsia="仿宋_GB2312" w:cs="仿宋_GB2312"/>
          <w:color w:val="auto"/>
          <w:kern w:val="0"/>
          <w:sz w:val="32"/>
          <w:szCs w:val="32"/>
          <w:highlight w:val="none"/>
          <w:lang w:val="en-US" w:eastAsia="zh-CN" w:bidi="ar"/>
        </w:rPr>
        <w:t>0</w:t>
      </w:r>
      <w:r>
        <w:rPr>
          <w:rFonts w:hint="eastAsia" w:ascii="仿宋_GB2312" w:hAnsi="仿宋_GB2312" w:eastAsia="仿宋_GB2312" w:cs="仿宋_GB2312"/>
          <w:color w:val="auto"/>
          <w:kern w:val="0"/>
          <w:sz w:val="32"/>
          <w:szCs w:val="32"/>
          <w:highlight w:val="none"/>
          <w:lang w:bidi="ar"/>
        </w:rPr>
        <w:t>%，</w:t>
      </w:r>
      <w:r>
        <w:rPr>
          <w:rFonts w:ascii="仿宋_GB2312" w:hAnsi="仿宋_GB2312" w:eastAsia="仿宋_GB2312" w:cs="仿宋_GB2312"/>
          <w:color w:val="auto"/>
          <w:kern w:val="0"/>
          <w:sz w:val="32"/>
          <w:szCs w:val="32"/>
          <w:highlight w:val="none"/>
          <w:lang w:bidi="ar"/>
        </w:rPr>
        <w:t>其中授予小微企业合同金额</w:t>
      </w:r>
      <w:r>
        <w:rPr>
          <w:rFonts w:hint="eastAsia" w:ascii="仿宋_GB2312" w:hAnsi="仿宋_GB2312" w:eastAsia="仿宋_GB2312" w:cs="仿宋_GB2312"/>
          <w:color w:val="auto"/>
          <w:kern w:val="0"/>
          <w:sz w:val="32"/>
          <w:szCs w:val="32"/>
          <w:highlight w:val="none"/>
          <w:lang w:val="en-US" w:eastAsia="zh-CN" w:bidi="ar"/>
        </w:rPr>
        <w:t>0</w:t>
      </w:r>
      <w:r>
        <w:rPr>
          <w:rFonts w:ascii="仿宋_GB2312" w:hAnsi="仿宋_GB2312" w:eastAsia="仿宋_GB2312" w:cs="仿宋_GB2312"/>
          <w:color w:val="auto"/>
          <w:kern w:val="0"/>
          <w:sz w:val="32"/>
          <w:szCs w:val="32"/>
          <w:highlight w:val="none"/>
          <w:lang w:bidi="ar"/>
        </w:rPr>
        <w:t xml:space="preserve">万元，占政府采购支出总额的 </w:t>
      </w:r>
      <w:r>
        <w:rPr>
          <w:rFonts w:hint="eastAsia" w:ascii="仿宋_GB2312" w:hAnsi="仿宋_GB2312" w:eastAsia="仿宋_GB2312" w:cs="仿宋_GB2312"/>
          <w:color w:val="auto"/>
          <w:kern w:val="0"/>
          <w:sz w:val="32"/>
          <w:szCs w:val="32"/>
          <w:highlight w:val="none"/>
          <w:lang w:val="en-US" w:eastAsia="zh-CN" w:bidi="ar"/>
        </w:rPr>
        <w:t>0</w:t>
      </w:r>
      <w:r>
        <w:rPr>
          <w:rFonts w:ascii="仿宋_GB2312" w:hAnsi="仿宋_GB2312" w:eastAsia="仿宋_GB2312" w:cs="仿宋_GB2312"/>
          <w:color w:val="auto"/>
          <w:kern w:val="0"/>
          <w:sz w:val="32"/>
          <w:szCs w:val="32"/>
          <w:highlight w:val="none"/>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color w:val="auto"/>
          <w:sz w:val="32"/>
          <w:szCs w:val="32"/>
          <w:highlight w:val="none"/>
        </w:rPr>
      </w:pPr>
      <w:r>
        <w:rPr>
          <w:rFonts w:hint="eastAsia" w:ascii="仿宋_GB2312" w:hAnsi="Times New Roman" w:eastAsia="仿宋_GB2312" w:cs="DengXian-Regular"/>
          <w:color w:val="auto"/>
          <w:sz w:val="32"/>
          <w:szCs w:val="32"/>
          <w:highlight w:val="none"/>
        </w:rPr>
        <w:t>截至2019年12月31日，本部门共有车辆</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辆，比上年增加</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辆，主要是</w:t>
      </w:r>
      <w:r>
        <w:rPr>
          <w:rFonts w:ascii="仿宋_GB2312" w:eastAsia="仿宋_GB2312" w:cs="DengXian-Regular"/>
          <w:color w:val="auto"/>
          <w:sz w:val="32"/>
          <w:szCs w:val="32"/>
          <w:highlight w:val="none"/>
        </w:rPr>
        <w:t>201</w:t>
      </w:r>
      <w:r>
        <w:rPr>
          <w:rFonts w:hint="eastAsia" w:ascii="仿宋_GB2312" w:eastAsia="仿宋_GB2312" w:cs="DengXian-Regular"/>
          <w:color w:val="auto"/>
          <w:sz w:val="32"/>
          <w:szCs w:val="32"/>
          <w:highlight w:val="none"/>
          <w:lang w:val="en-US" w:eastAsia="zh-CN"/>
        </w:rPr>
        <w:t>9</w:t>
      </w:r>
      <w:r>
        <w:rPr>
          <w:rFonts w:hint="eastAsia" w:ascii="仿宋_GB2312" w:eastAsia="仿宋_GB2312" w:cs="DengXian-Regular"/>
          <w:color w:val="auto"/>
          <w:sz w:val="32"/>
          <w:szCs w:val="32"/>
          <w:highlight w:val="none"/>
        </w:rPr>
        <w:t>年度严格执行车改安排</w:t>
      </w:r>
      <w:r>
        <w:rPr>
          <w:rFonts w:hint="eastAsia" w:ascii="仿宋_GB2312" w:hAnsi="Times New Roman" w:eastAsia="仿宋_GB2312" w:cs="DengXian-Regular"/>
          <w:color w:val="auto"/>
          <w:sz w:val="32"/>
          <w:szCs w:val="32"/>
          <w:highlight w:val="none"/>
        </w:rPr>
        <w:t>。其中，副部（省）级及以上领导用车</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辆，主要领导干部用车</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辆，机要通信用车</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辆，应急保障用车</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辆，执法执勤用车</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辆，特种专业技术用车</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辆，离退休干部用车</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辆，其他用车</w:t>
      </w:r>
      <w:r>
        <w:rPr>
          <w:rFonts w:hint="eastAsia" w:ascii="仿宋_GB2312" w:hAnsi="Times New Roman" w:eastAsia="仿宋_GB2312" w:cs="DengXian-Regular"/>
          <w:color w:val="auto"/>
          <w:sz w:val="32"/>
          <w:szCs w:val="32"/>
          <w:highlight w:val="none"/>
          <w:lang w:val="en-US" w:eastAsia="zh-CN"/>
        </w:rPr>
        <w:t>0辆。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color w:val="auto"/>
          <w:sz w:val="32"/>
          <w:szCs w:val="32"/>
          <w:highlight w:val="none"/>
        </w:rPr>
        <w:t>单位价值</w:t>
      </w:r>
      <w:r>
        <w:rPr>
          <w:rFonts w:hint="eastAsia" w:ascii="仿宋_GB2312" w:hAnsi="TimesNewRomanPSMT" w:eastAsia="仿宋_GB2312" w:cs="TimesNewRomanPSMT"/>
          <w:color w:val="auto"/>
          <w:sz w:val="32"/>
          <w:szCs w:val="32"/>
          <w:highlight w:val="none"/>
        </w:rPr>
        <w:t>50</w:t>
      </w:r>
      <w:r>
        <w:rPr>
          <w:rFonts w:hint="eastAsia" w:ascii="仿宋_GB2312" w:hAnsi="Times New Roman" w:eastAsia="仿宋_GB2312" w:cs="DengXian-Regular"/>
          <w:color w:val="auto"/>
          <w:sz w:val="32"/>
          <w:szCs w:val="32"/>
          <w:highlight w:val="none"/>
        </w:rPr>
        <w:t>万元以上通用设备</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台（套），比上年增加</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套，主要是</w:t>
      </w:r>
      <w:r>
        <w:rPr>
          <w:rFonts w:ascii="仿宋_GB2312" w:eastAsia="仿宋_GB2312" w:cs="DengXian-Regular"/>
          <w:color w:val="auto"/>
          <w:sz w:val="32"/>
          <w:szCs w:val="32"/>
          <w:highlight w:val="none"/>
        </w:rPr>
        <w:t>201</w:t>
      </w:r>
      <w:r>
        <w:rPr>
          <w:rFonts w:hint="eastAsia" w:ascii="仿宋_GB2312" w:eastAsia="仿宋_GB2312" w:cs="DengXian-Regular"/>
          <w:color w:val="auto"/>
          <w:sz w:val="32"/>
          <w:szCs w:val="32"/>
          <w:highlight w:val="none"/>
          <w:lang w:val="en-US" w:eastAsia="zh-CN"/>
        </w:rPr>
        <w:t>9</w:t>
      </w:r>
      <w:r>
        <w:rPr>
          <w:rFonts w:hint="eastAsia" w:ascii="仿宋_GB2312" w:eastAsia="仿宋_GB2312" w:cs="DengXian-Regular"/>
          <w:color w:val="auto"/>
          <w:sz w:val="32"/>
          <w:szCs w:val="32"/>
          <w:highlight w:val="none"/>
        </w:rPr>
        <w:t>年度无购置安排</w:t>
      </w:r>
      <w:r>
        <w:rPr>
          <w:rFonts w:hint="eastAsia" w:ascii="仿宋_GB2312" w:hAnsi="Times New Roman" w:eastAsia="仿宋_GB2312" w:cs="DengXian-Regular"/>
          <w:color w:val="auto"/>
          <w:sz w:val="32"/>
          <w:szCs w:val="32"/>
          <w:highlight w:val="none"/>
        </w:rPr>
        <w:t>，单位价值</w:t>
      </w:r>
      <w:r>
        <w:rPr>
          <w:rFonts w:hint="eastAsia" w:ascii="仿宋_GB2312" w:hAnsi="TimesNewRomanPSMT" w:eastAsia="仿宋_GB2312" w:cs="TimesNewRomanPSMT"/>
          <w:color w:val="auto"/>
          <w:sz w:val="32"/>
          <w:szCs w:val="32"/>
          <w:highlight w:val="none"/>
        </w:rPr>
        <w:t>100</w:t>
      </w:r>
      <w:r>
        <w:rPr>
          <w:rFonts w:hint="eastAsia" w:ascii="仿宋_GB2312" w:hAnsi="Times New Roman" w:eastAsia="仿宋_GB2312" w:cs="DengXian-Regular"/>
          <w:color w:val="auto"/>
          <w:sz w:val="32"/>
          <w:szCs w:val="32"/>
          <w:highlight w:val="none"/>
        </w:rPr>
        <w:t>万元以上专用设备</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台（套）比上年增加</w:t>
      </w:r>
      <w:r>
        <w:rPr>
          <w:rFonts w:hint="eastAsia" w:ascii="仿宋_GB2312" w:hAnsi="Times New Roman" w:eastAsia="仿宋_GB2312" w:cs="DengXian-Regular"/>
          <w:color w:val="auto"/>
          <w:sz w:val="32"/>
          <w:szCs w:val="32"/>
          <w:highlight w:val="none"/>
          <w:lang w:val="en-US" w:eastAsia="zh-CN"/>
        </w:rPr>
        <w:t>0</w:t>
      </w:r>
      <w:r>
        <w:rPr>
          <w:rFonts w:hint="eastAsia" w:ascii="仿宋_GB2312" w:hAnsi="Times New Roman" w:eastAsia="仿宋_GB2312" w:cs="DengXian-Regular"/>
          <w:color w:val="auto"/>
          <w:sz w:val="32"/>
          <w:szCs w:val="32"/>
          <w:highlight w:val="none"/>
        </w:rPr>
        <w:t>套，主要是</w:t>
      </w:r>
      <w:r>
        <w:rPr>
          <w:rFonts w:ascii="仿宋_GB2312" w:eastAsia="仿宋_GB2312" w:cs="DengXian-Regular"/>
          <w:color w:val="auto"/>
          <w:sz w:val="32"/>
          <w:szCs w:val="32"/>
          <w:highlight w:val="none"/>
        </w:rPr>
        <w:t>201</w:t>
      </w:r>
      <w:r>
        <w:rPr>
          <w:rFonts w:hint="eastAsia" w:ascii="仿宋_GB2312" w:eastAsia="仿宋_GB2312" w:cs="DengXian-Regular"/>
          <w:color w:val="auto"/>
          <w:sz w:val="32"/>
          <w:szCs w:val="32"/>
          <w:highlight w:val="none"/>
          <w:lang w:val="en-US" w:eastAsia="zh-CN"/>
        </w:rPr>
        <w:t>9</w:t>
      </w:r>
      <w:r>
        <w:rPr>
          <w:rFonts w:hint="eastAsia" w:ascii="仿宋_GB2312" w:eastAsia="仿宋_GB2312" w:cs="DengXian-Regular"/>
          <w:color w:val="auto"/>
          <w:sz w:val="32"/>
          <w:szCs w:val="32"/>
          <w:highlight w:val="none"/>
        </w:rPr>
        <w:t>年度无购置安排</w:t>
      </w:r>
      <w:r>
        <w:rPr>
          <w:rFonts w:hint="eastAsia" w:ascii="仿宋_GB2312" w:hAnsi="Times New Roman" w:eastAsia="仿宋_GB2312" w:cs="DengXian-Regular"/>
          <w:color w:val="auto"/>
          <w:sz w:val="32"/>
          <w:szCs w:val="32"/>
          <w:highlight w:val="none"/>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w:t>
      </w:r>
      <w:r>
        <w:rPr>
          <w:rFonts w:hint="eastAsia" w:ascii="仿宋_GB2312" w:hAnsi="Times New Roman" w:eastAsia="仿宋_GB2312" w:cs="DengXian-Regular"/>
          <w:sz w:val="32"/>
          <w:szCs w:val="32"/>
          <w:lang w:val="en-US" w:eastAsia="zh-CN"/>
        </w:rPr>
        <w:t xml:space="preserve"> </w:t>
      </w:r>
      <w:r>
        <w:rPr>
          <w:rFonts w:hint="eastAsia" w:ascii="仿宋_GB2312" w:hAnsi="Times New Roman" w:eastAsia="仿宋_GB2312" w:cs="DengXian-Regular"/>
          <w:color w:val="auto"/>
          <w:sz w:val="32"/>
          <w:szCs w:val="32"/>
          <w:highlight w:val="none"/>
        </w:rPr>
        <w:t>本部门2019年度</w:t>
      </w:r>
      <w:r>
        <w:rPr>
          <w:rFonts w:hint="eastAsia" w:ascii="仿宋_GB2312" w:hAnsi="Times New Roman" w:eastAsia="仿宋_GB2312" w:cs="DengXian-Regular"/>
          <w:color w:val="auto"/>
          <w:sz w:val="32"/>
          <w:szCs w:val="32"/>
          <w:highlight w:val="none"/>
          <w:lang w:eastAsia="zh-CN"/>
        </w:rPr>
        <w:t>国有资本经营</w:t>
      </w:r>
      <w:r>
        <w:rPr>
          <w:rFonts w:hint="eastAsia" w:ascii="仿宋_GB2312" w:hAnsi="Times New Roman" w:eastAsia="仿宋_GB2312" w:cs="DengXian-Regular"/>
          <w:color w:val="auto"/>
          <w:sz w:val="32"/>
          <w:szCs w:val="32"/>
          <w:highlight w:val="none"/>
        </w:rPr>
        <w:t>无收支及结转结余情况，故</w:t>
      </w:r>
      <w:r>
        <w:rPr>
          <w:rFonts w:hint="eastAsia" w:ascii="仿宋_GB2312" w:hAnsi="Times New Roman" w:eastAsia="仿宋_GB2312" w:cs="DengXian-Regular"/>
          <w:color w:val="auto"/>
          <w:sz w:val="32"/>
          <w:szCs w:val="32"/>
          <w:highlight w:val="none"/>
          <w:lang w:eastAsia="zh-CN"/>
        </w:rPr>
        <w:t>“国有资本经营预算财政拨款支出决算”</w:t>
      </w:r>
      <w:r>
        <w:rPr>
          <w:rFonts w:hint="eastAsia" w:ascii="仿宋_GB2312" w:hAnsi="Times New Roman" w:eastAsia="仿宋_GB2312" w:cs="DengXian-Regular"/>
          <w:color w:val="auto"/>
          <w:sz w:val="32"/>
          <w:szCs w:val="32"/>
          <w:highlight w:val="none"/>
        </w:rPr>
        <w:t>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4" w:type="first"/>
          <w:footerReference r:id="rId16" w:type="first"/>
          <w:headerReference r:id="rId13" w:type="default"/>
          <w:footerReference r:id="rId15"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437280768"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437280768;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focussize="0,0" r:id="rId23"/>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17"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
      <w:pPr>
        <w:tabs>
          <w:tab w:val="left" w:pos="235"/>
        </w:tabs>
        <w:jc w:val="left"/>
        <w:sectPr>
          <w:headerReference r:id="rId18"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437281792"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437281792;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focussize="0,0" r:id="rId23"/>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r>
        <mc:AlternateContent>
          <mc:Choice Requires="wps">
            <w:drawing>
              <wp:anchor distT="0" distB="0" distL="114300" distR="114300" simplePos="0" relativeHeight="437282816"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437282816;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0" w:type="first"/>
      <w:headerReference r:id="rId19" w:type="default"/>
      <w:footerReference r:id="rId21"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Meiryo UI">
    <w:panose1 w:val="020B0604030504040204"/>
    <w:charset w:val="80"/>
    <w:family w:val="auto"/>
    <w:pitch w:val="default"/>
    <w:sig w:usb0="E10102FF" w:usb1="EAC7FFFF" w:usb2="00010012" w:usb3="00000000" w:csb0="6002009F" w:csb1="DFD7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592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82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824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2832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7063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7053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7544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7555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75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75756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5654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75654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1246973"/>
    <w:rsid w:val="01F27FFE"/>
    <w:rsid w:val="03422510"/>
    <w:rsid w:val="05B00A30"/>
    <w:rsid w:val="07D7618C"/>
    <w:rsid w:val="0B011416"/>
    <w:rsid w:val="0EC52E84"/>
    <w:rsid w:val="16594CCC"/>
    <w:rsid w:val="196C4E69"/>
    <w:rsid w:val="251042D8"/>
    <w:rsid w:val="26A0198A"/>
    <w:rsid w:val="27931042"/>
    <w:rsid w:val="29FC12D9"/>
    <w:rsid w:val="2A2D62E1"/>
    <w:rsid w:val="2CE93196"/>
    <w:rsid w:val="2F78617D"/>
    <w:rsid w:val="31C2036A"/>
    <w:rsid w:val="320D02A5"/>
    <w:rsid w:val="348E566F"/>
    <w:rsid w:val="358A52BB"/>
    <w:rsid w:val="35CF3DF6"/>
    <w:rsid w:val="39371C23"/>
    <w:rsid w:val="39F0180C"/>
    <w:rsid w:val="3A226944"/>
    <w:rsid w:val="3AEE6A48"/>
    <w:rsid w:val="3C1620AA"/>
    <w:rsid w:val="3CB918A3"/>
    <w:rsid w:val="3D8F080F"/>
    <w:rsid w:val="42284E89"/>
    <w:rsid w:val="42462257"/>
    <w:rsid w:val="43A01417"/>
    <w:rsid w:val="44CE1FA4"/>
    <w:rsid w:val="44F8724F"/>
    <w:rsid w:val="487F73ED"/>
    <w:rsid w:val="4A347EAE"/>
    <w:rsid w:val="4C07478B"/>
    <w:rsid w:val="4C2B29C8"/>
    <w:rsid w:val="50083DCD"/>
    <w:rsid w:val="52600405"/>
    <w:rsid w:val="529B4319"/>
    <w:rsid w:val="55C345B5"/>
    <w:rsid w:val="57773DD6"/>
    <w:rsid w:val="578B79AB"/>
    <w:rsid w:val="593769CF"/>
    <w:rsid w:val="5CCD3FD5"/>
    <w:rsid w:val="605B7CED"/>
    <w:rsid w:val="61FA5F9D"/>
    <w:rsid w:val="64CD6910"/>
    <w:rsid w:val="6789158D"/>
    <w:rsid w:val="67D81BA4"/>
    <w:rsid w:val="6A3A11F0"/>
    <w:rsid w:val="6AAF1C96"/>
    <w:rsid w:val="6CC33EA8"/>
    <w:rsid w:val="719634BD"/>
    <w:rsid w:val="72737EA4"/>
    <w:rsid w:val="75681757"/>
    <w:rsid w:val="75A346A8"/>
    <w:rsid w:val="76DF03CA"/>
    <w:rsid w:val="775E7625"/>
    <w:rsid w:val="78232B54"/>
    <w:rsid w:val="79B9382C"/>
    <w:rsid w:val="7A5E51C9"/>
    <w:rsid w:val="7B043B76"/>
    <w:rsid w:val="7C041A6A"/>
    <w:rsid w:val="7E327570"/>
    <w:rsid w:val="7EB11A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9" Type="http://schemas.openxmlformats.org/officeDocument/2006/relationships/fontTable" Target="fontTable.xml"/><Relationship Id="rId28" Type="http://schemas.openxmlformats.org/officeDocument/2006/relationships/customXml" Target="../customXml/item2.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chart" Target="charts/chart2.xml"/><Relationship Id="rId24" Type="http://schemas.openxmlformats.org/officeDocument/2006/relationships/chart" Target="charts/chart1.xml"/><Relationship Id="rId23" Type="http://schemas.openxmlformats.org/officeDocument/2006/relationships/image" Target="media/image1.bmp"/><Relationship Id="rId22" Type="http://schemas.openxmlformats.org/officeDocument/2006/relationships/theme" Target="theme/theme1.xml"/><Relationship Id="rId21" Type="http://schemas.openxmlformats.org/officeDocument/2006/relationships/footer" Target="footer7.xml"/><Relationship Id="rId20" Type="http://schemas.openxmlformats.org/officeDocument/2006/relationships/header" Target="header12.xml"/><Relationship Id="rId2" Type="http://schemas.openxmlformats.org/officeDocument/2006/relationships/settings" Target="settings.xml"/><Relationship Id="rId19" Type="http://schemas.openxmlformats.org/officeDocument/2006/relationships/header" Target="header11.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footer" Target="footer6.xml"/><Relationship Id="rId15" Type="http://schemas.openxmlformats.org/officeDocument/2006/relationships/footer" Target="footer5.xml"/><Relationship Id="rId14" Type="http://schemas.openxmlformats.org/officeDocument/2006/relationships/header" Target="header8.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2481981410357"/>
          <c:y val="0.0336883537855985"/>
          <c:w val="0.873007418679855"/>
          <c:h val="0.596441032798325"/>
        </c:manualLayout>
      </c:layout>
      <c:barChart>
        <c:barDir val="col"/>
        <c:grouping val="clustered"/>
        <c:varyColors val="0"/>
        <c:ser>
          <c:idx val="0"/>
          <c:order val="0"/>
          <c:tx>
            <c:strRef>
              <c:f>Sheet1!$B$1</c:f>
              <c:strCache>
                <c:ptCount val="1"/>
                <c:pt idx="0">
                  <c:v>2018年</c:v>
                </c:pt>
              </c:strCache>
            </c:strRef>
          </c:tx>
          <c:spPr>
            <a:solidFill>
              <a:schemeClr val="accent1"/>
            </a:solidFill>
            <a:ln>
              <a:noFill/>
            </a:ln>
            <a:effectLst/>
          </c:spPr>
          <c:invertIfNegative val="0"/>
          <c:dLbls>
            <c:delete val="1"/>
          </c:dLbls>
          <c:cat>
            <c:strRef>
              <c:f>Sheet1!$A$2</c:f>
              <c:strCache>
                <c:ptCount val="1"/>
                <c:pt idx="0">
                  <c:v>决算收入</c:v>
                </c:pt>
              </c:strCache>
            </c:strRef>
          </c:cat>
          <c:val>
            <c:numRef>
              <c:f>Sheet1!$B$2</c:f>
              <c:numCache>
                <c:formatCode>General</c:formatCode>
                <c:ptCount val="1"/>
                <c:pt idx="0">
                  <c:v>55.48</c:v>
                </c:pt>
              </c:numCache>
            </c:numRef>
          </c:val>
        </c:ser>
        <c:ser>
          <c:idx val="1"/>
          <c:order val="1"/>
          <c:tx>
            <c:strRef>
              <c:f>Sheet1!$C$1</c:f>
              <c:strCache>
                <c:ptCount val="1"/>
                <c:pt idx="0">
                  <c:v>2019年</c:v>
                </c:pt>
              </c:strCache>
            </c:strRef>
          </c:tx>
          <c:spPr>
            <a:solidFill>
              <a:schemeClr val="accent2"/>
            </a:solidFill>
            <a:ln>
              <a:noFill/>
            </a:ln>
            <a:effectLst/>
          </c:spPr>
          <c:invertIfNegative val="0"/>
          <c:dLbls>
            <c:delete val="1"/>
          </c:dLbls>
          <c:cat>
            <c:strRef>
              <c:f>Sheet1!$A$2</c:f>
              <c:strCache>
                <c:ptCount val="1"/>
                <c:pt idx="0">
                  <c:v>决算收入</c:v>
                </c:pt>
              </c:strCache>
            </c:strRef>
          </c:cat>
          <c:val>
            <c:numRef>
              <c:f>Sheet1!$C$2</c:f>
              <c:numCache>
                <c:formatCode>General</c:formatCode>
                <c:ptCount val="1"/>
                <c:pt idx="0">
                  <c:v>74.49</c:v>
                </c:pt>
              </c:numCache>
            </c:numRef>
          </c:val>
        </c:ser>
        <c:dLbls>
          <c:showLegendKey val="0"/>
          <c:showVal val="0"/>
          <c:showCatName val="0"/>
          <c:showSerName val="0"/>
          <c:showPercent val="0"/>
          <c:showBubbleSize val="0"/>
        </c:dLbls>
        <c:gapWidth val="219"/>
        <c:overlap val="-27"/>
        <c:axId val="104378563"/>
        <c:axId val="731553535"/>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delete val="1"/>
                </c:dLbls>
                <c:cat>
                  <c:strRef>
                    <c:extLst>
                      <c:ext uri="{02D57815-91ED-43cb-92C2-25804820EDAC}">
                        <c15:fullRef>
                          <c15:sqref/>
                        </c15:fullRef>
                        <c15:formulaRef>
                          <c15:sqref>Sheet1!$A$2</c15:sqref>
                        </c15:formulaRef>
                      </c:ext>
                    </c:extLst>
                    <c:strCache>
                      <c:ptCount val="1"/>
                      <c:pt idx="0">
                        <c:v>决算收入</c:v>
                      </c:pt>
                    </c:strCache>
                  </c:strRef>
                </c:cat>
                <c:val>
                  <c:numRef>
                    <c:extLst>
                      <c:ext uri="{02D57815-91ED-43cb-92C2-25804820EDAC}">
                        <c15:formulaRef>
                          <c15:sqref>Sheet1!#REF!</c15:sqref>
                        </c15:formulaRef>
                      </c:ext>
                    </c:extLst>
                    <c:numCache>
                      <c:formatCode>General</c:formatCode>
                      <c:ptCount val="1"/>
                      <c:pt idx="0">
                        <c:v>1</c:v>
                      </c:pt>
                    </c:numCache>
                  </c:numRef>
                </c:val>
              </c15:ser>
            </c15:filteredBarSeries>
          </c:ext>
        </c:extLst>
      </c:barChart>
      <c:catAx>
        <c:axId val="10437856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31553535"/>
        <c:crosses val="autoZero"/>
        <c:auto val="1"/>
        <c:lblAlgn val="ctr"/>
        <c:lblOffset val="100"/>
        <c:noMultiLvlLbl val="0"/>
      </c:catAx>
      <c:valAx>
        <c:axId val="7315535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04378563"/>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905580051695298"/>
          <c:y val="0.0495066349098333"/>
          <c:w val="0.904880644670823"/>
          <c:h val="0.686083701939435"/>
        </c:manualLayout>
      </c:layout>
      <c:barChart>
        <c:barDir val="col"/>
        <c:grouping val="clustered"/>
        <c:varyColors val="0"/>
        <c:ser>
          <c:idx val="0"/>
          <c:order val="0"/>
          <c:tx>
            <c:strRef>
              <c:f>Sheet1!$B$1</c:f>
              <c:strCache>
                <c:ptCount val="1"/>
                <c:pt idx="0">
                  <c:v>2018年</c:v>
                </c:pt>
              </c:strCache>
            </c:strRef>
          </c:tx>
          <c:spPr>
            <a:solidFill>
              <a:schemeClr val="accent1"/>
            </a:solidFill>
            <a:ln>
              <a:noFill/>
            </a:ln>
            <a:effectLst/>
          </c:spPr>
          <c:invertIfNegative val="0"/>
          <c:dLbls>
            <c:delete val="1"/>
          </c:dLbls>
          <c:cat>
            <c:strRef>
              <c:extLst>
                <c:ext xmlns:c15="http://schemas.microsoft.com/office/drawing/2012/chart" uri="{02D57815-91ED-43cb-92C2-25804820EDAC}">
                  <c15:fullRef>
                    <c15:sqref>Sheet1!$A$2</c15:sqref>
                  </c15:fullRef>
                </c:ext>
              </c:extLst>
              <c:f>Sheet1!$A$2</c:f>
              <c:strCache>
                <c:ptCount val="1"/>
                <c:pt idx="0">
                  <c:v>预算执行</c:v>
                </c:pt>
              </c:strCache>
            </c:strRef>
          </c:cat>
          <c:val>
            <c:numRef>
              <c:extLst>
                <c:ext xmlns:c15="http://schemas.microsoft.com/office/drawing/2012/chart" uri="{02D57815-91ED-43cb-92C2-25804820EDAC}">
                  <c15:fullRef>
                    <c15:sqref>Sheet1!$B$2</c15:sqref>
                  </c15:fullRef>
                </c:ext>
              </c:extLst>
              <c:f>Sheet1!$B$2</c:f>
              <c:numCache>
                <c:formatCode>General</c:formatCode>
                <c:ptCount val="1"/>
                <c:pt idx="0">
                  <c:v>55.48</c:v>
                </c:pt>
              </c:numCache>
            </c:numRef>
          </c:val>
        </c:ser>
        <c:ser>
          <c:idx val="1"/>
          <c:order val="1"/>
          <c:tx>
            <c:strRef>
              <c:f>Sheet1!$C$1</c:f>
              <c:strCache>
                <c:ptCount val="1"/>
                <c:pt idx="0">
                  <c:v>2019年</c:v>
                </c:pt>
              </c:strCache>
            </c:strRef>
          </c:tx>
          <c:spPr>
            <a:solidFill>
              <a:schemeClr val="accent2"/>
            </a:solidFill>
            <a:ln>
              <a:noFill/>
            </a:ln>
            <a:effectLst/>
          </c:spPr>
          <c:invertIfNegative val="0"/>
          <c:dLbls>
            <c:delete val="1"/>
          </c:dLbls>
          <c:cat>
            <c:strRef>
              <c:extLst>
                <c:ext xmlns:c15="http://schemas.microsoft.com/office/drawing/2012/chart" uri="{02D57815-91ED-43cb-92C2-25804820EDAC}">
                  <c15:fullRef>
                    <c15:sqref>Sheet1!$A$2</c15:sqref>
                  </c15:fullRef>
                </c:ext>
              </c:extLst>
              <c:f>Sheet1!$A$2</c:f>
              <c:strCache>
                <c:ptCount val="1"/>
                <c:pt idx="0">
                  <c:v>预算执行</c:v>
                </c:pt>
              </c:strCache>
            </c:strRef>
          </c:cat>
          <c:val>
            <c:numRef>
              <c:extLst>
                <c:ext xmlns:c15="http://schemas.microsoft.com/office/drawing/2012/chart" uri="{02D57815-91ED-43cb-92C2-25804820EDAC}">
                  <c15:fullRef>
                    <c15:sqref>Sheet1!$C$2</c15:sqref>
                  </c15:fullRef>
                </c:ext>
              </c:extLst>
              <c:f>Sheet1!$C$2</c:f>
              <c:numCache>
                <c:formatCode>General</c:formatCode>
                <c:ptCount val="1"/>
                <c:pt idx="0">
                  <c:v>74.49</c:v>
                </c:pt>
              </c:numCache>
            </c:numRef>
          </c:val>
        </c:ser>
        <c:dLbls>
          <c:showLegendKey val="0"/>
          <c:showVal val="0"/>
          <c:showCatName val="0"/>
          <c:showSerName val="0"/>
          <c:showPercent val="0"/>
          <c:showBubbleSize val="0"/>
        </c:dLbls>
        <c:gapWidth val="219"/>
        <c:overlap val="-27"/>
        <c:axId val="898626417"/>
        <c:axId val="676712284"/>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delete val="1"/>
                </c:dLbls>
                <c:cat>
                  <c:strRef>
                    <c:extLst>
                      <c:ext uri="{02D57815-91ED-43cb-92C2-25804820EDAC}">
                        <c15:fullRef>
                          <c15:sqref>Sheet1!$A$2</c15:sqref>
                        </c15:fullRef>
                        <c15:formulaRef>
                          <c15:sqref>Sheet1!$A$2</c15:sqref>
                        </c15:formulaRef>
                      </c:ext>
                    </c:extLst>
                    <c:strCache>
                      <c:ptCount val="1"/>
                      <c:pt idx="0">
                        <c:v>预算执行</c:v>
                      </c:pt>
                    </c:strCache>
                  </c:strRef>
                </c:cat>
              </c15:ser>
            </c15:filteredBarSeries>
          </c:ext>
        </c:extLst>
      </c:barChart>
      <c:catAx>
        <c:axId val="89862641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76712284"/>
        <c:crosses val="autoZero"/>
        <c:auto val="1"/>
        <c:lblAlgn val="ctr"/>
        <c:lblOffset val="100"/>
        <c:noMultiLvlLbl val="0"/>
      </c:catAx>
      <c:valAx>
        <c:axId val="6767122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8626417"/>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0</TotalTime>
  <ScaleCrop>false</ScaleCrop>
  <LinksUpToDate>false</LinksUpToDate>
  <CharactersWithSpaces>11119</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2021-06-19T02:50:08Z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