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bmp" ContentType="image/bmp"/>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color w:val="auto"/>
          <w:highlight w:val="none"/>
        </w:r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rPr>
          <w:color w:val="auto"/>
          <w:highlight w:val="none"/>
        </w:rPr>
        <mc:AlternateContent>
          <mc:Choice Requires="wps">
            <w:drawing>
              <wp:anchor distT="0" distB="0" distL="114300" distR="114300" simplePos="0" relativeHeight="25166950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二十号</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950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二十号</w:t>
                      </w:r>
                    </w:p>
                  </w:txbxContent>
                </v:textbox>
              </v:shape>
            </w:pict>
          </mc:Fallback>
        </mc:AlternateContent>
      </w:r>
      <w:r>
        <w:rPr>
          <w:color w:val="auto"/>
          <w:highlight w:val="none"/>
        </w:rP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w:rPr>
          <w:color w:val="auto"/>
          <w:highlight w:val="none"/>
        </w:rPr>
        <mc:AlternateContent>
          <mc:Choice Requires="wps">
            <w:drawing>
              <wp:anchor distT="0" distB="0" distL="114300" distR="114300" simplePos="0" relativeHeight="25167155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155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w:rPr>
          <w:color w:val="auto"/>
          <w:highlight w:val="none"/>
        </w:rPr>
        <mc:AlternateContent>
          <mc:Choice Requires="wps">
            <w:drawing>
              <wp:anchor distT="0" distB="0" distL="114300" distR="114300" simplePos="0" relativeHeight="25167052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052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w:rPr>
          <w:color w:val="auto"/>
          <w:highlight w:val="none"/>
        </w:rPr>
        <mc:AlternateContent>
          <mc:Choice Requires="wpg">
            <w:drawing>
              <wp:anchor distT="0" distB="0" distL="114300" distR="114300" simplePos="0" relativeHeight="25166745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745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w:rPr>
          <w:color w:val="auto"/>
          <w:highlight w:val="none"/>
        </w:rPr>
        <mc:AlternateContent>
          <mc:Choice Requires="wpg">
            <w:drawing>
              <wp:anchor distT="0" distB="0" distL="114300" distR="114300" simplePos="0" relativeHeight="25167257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390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w:rPr>
          <w:color w:val="auto"/>
          <w:highlight w:val="none"/>
        </w:rPr>
        <mc:AlternateContent>
          <mc:Choice Requires="wps">
            <w:drawing>
              <wp:anchor distT="0" distB="0" distL="114300" distR="114300" simplePos="0" relativeHeight="25166848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848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Pr>
        <w:rPr>
          <w:color w:val="auto"/>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rPr>
          <w:rFonts w:ascii="黑体" w:hAnsi="Times New Roman" w:eastAsia="黑体" w:cs="Times New Roman"/>
          <w:color w:val="auto"/>
          <w:sz w:val="48"/>
          <w:szCs w:val="48"/>
          <w:highlight w:val="none"/>
        </w:rPr>
      </w:pPr>
      <w:r>
        <w:rPr>
          <w:rFonts w:hint="eastAsia" w:ascii="黑体" w:hAnsi="Times New Roman" w:eastAsia="黑体" w:cs="Times New Roman"/>
          <w:color w:val="auto"/>
          <w:sz w:val="48"/>
          <w:szCs w:val="48"/>
          <w:highlight w:val="none"/>
        </w:rPr>
        <w:br w:type="page"/>
      </w:r>
    </w:p>
    <w:p>
      <w:pPr>
        <w:tabs>
          <w:tab w:val="left" w:pos="2728"/>
        </w:tabs>
        <w:rPr>
          <w:rFonts w:ascii="黑体" w:hAnsi="Times New Roman" w:eastAsia="黑体" w:cs="Times New Roman"/>
          <w:color w:val="auto"/>
          <w:sz w:val="48"/>
          <w:szCs w:val="48"/>
          <w:highlight w:val="none"/>
        </w:rPr>
      </w:pPr>
      <w:r>
        <w:rPr>
          <w:rFonts w:hint="eastAsia" w:ascii="黑体" w:hAnsi="Times New Roman" w:eastAsia="黑体" w:cs="Times New Roman"/>
          <w:color w:val="auto"/>
          <w:sz w:val="48"/>
          <w:szCs w:val="48"/>
          <w:highlight w:val="none"/>
        </w:rPr>
        <w:tab/>
      </w:r>
    </w:p>
    <w:p>
      <w:pPr>
        <w:rPr>
          <w:rFonts w:ascii="黑体" w:hAnsi="黑体" w:eastAsia="黑体" w:cs="黑体"/>
          <w:color w:val="auto"/>
          <w:sz w:val="56"/>
          <w:szCs w:val="72"/>
          <w:highlight w:val="none"/>
        </w:rPr>
      </w:pPr>
    </w:p>
    <w:p>
      <w:pPr>
        <w:rPr>
          <w:rFonts w:ascii="黑体" w:hAnsi="黑体" w:eastAsia="黑体" w:cs="黑体"/>
          <w:b/>
          <w:bCs/>
          <w:color w:val="auto"/>
          <w:sz w:val="72"/>
          <w:szCs w:val="96"/>
          <w:highlight w:val="none"/>
        </w:rPr>
      </w:pPr>
      <w:r>
        <w:rPr>
          <w:rFonts w:hint="eastAsia" w:ascii="黑体" w:hAnsi="黑体" w:eastAsia="黑体" w:cs="黑体"/>
          <w:b/>
          <w:bCs/>
          <w:color w:val="auto"/>
          <w:sz w:val="72"/>
          <w:szCs w:val="96"/>
          <w:highlight w:val="none"/>
        </w:rPr>
        <w:t>2019年度部门决算公开文本</w:t>
      </w:r>
    </w:p>
    <w:p>
      <w:pPr>
        <w:spacing w:line="360" w:lineRule="auto"/>
        <w:jc w:val="center"/>
        <w:rPr>
          <w:rFonts w:ascii="黑体" w:hAnsi="黑体" w:eastAsia="黑体" w:cs="黑体"/>
          <w:color w:val="auto"/>
          <w:sz w:val="56"/>
          <w:szCs w:val="72"/>
          <w:highlight w:val="none"/>
        </w:rPr>
      </w:pPr>
    </w:p>
    <w:p>
      <w:pPr>
        <w:spacing w:line="600" w:lineRule="auto"/>
        <w:jc w:val="center"/>
        <w:rPr>
          <w:rFonts w:ascii="黑体" w:hAnsi="黑体" w:eastAsia="黑体" w:cs="黑体"/>
          <w:color w:val="auto"/>
          <w:sz w:val="56"/>
          <w:szCs w:val="72"/>
          <w:highlight w:val="none"/>
        </w:rPr>
      </w:pPr>
    </w:p>
    <w:p>
      <w:pPr>
        <w:spacing w:line="600" w:lineRule="auto"/>
        <w:jc w:val="center"/>
        <w:rPr>
          <w:rFonts w:ascii="黑体" w:hAnsi="黑体" w:eastAsia="黑体" w:cs="黑体"/>
          <w:color w:val="auto"/>
          <w:sz w:val="56"/>
          <w:szCs w:val="72"/>
          <w:highlight w:val="none"/>
        </w:rPr>
      </w:pPr>
    </w:p>
    <w:p>
      <w:pPr>
        <w:spacing w:line="600" w:lineRule="auto"/>
        <w:jc w:val="center"/>
        <w:rPr>
          <w:rFonts w:ascii="黑体" w:hAnsi="黑体" w:eastAsia="黑体" w:cs="黑体"/>
          <w:color w:val="auto"/>
          <w:sz w:val="56"/>
          <w:szCs w:val="72"/>
          <w:highlight w:val="none"/>
        </w:rPr>
      </w:pPr>
    </w:p>
    <w:p>
      <w:pPr>
        <w:spacing w:line="600" w:lineRule="auto"/>
        <w:jc w:val="center"/>
        <w:rPr>
          <w:rFonts w:ascii="黑体" w:hAnsi="黑体" w:eastAsia="黑体" w:cs="黑体"/>
          <w:color w:val="auto"/>
          <w:sz w:val="56"/>
          <w:szCs w:val="72"/>
          <w:highlight w:val="none"/>
        </w:rPr>
      </w:pPr>
    </w:p>
    <w:p>
      <w:pPr>
        <w:spacing w:line="480" w:lineRule="auto"/>
        <w:jc w:val="center"/>
        <w:rPr>
          <w:rFonts w:ascii="黑体" w:hAnsi="黑体" w:eastAsia="黑体" w:cs="黑体"/>
          <w:color w:val="auto"/>
          <w:sz w:val="56"/>
          <w:szCs w:val="72"/>
          <w:highlight w:val="none"/>
        </w:rPr>
      </w:pPr>
    </w:p>
    <w:p>
      <w:pPr>
        <w:spacing w:line="480" w:lineRule="auto"/>
        <w:jc w:val="center"/>
        <w:rPr>
          <w:rFonts w:ascii="黑体" w:hAnsi="黑体" w:eastAsia="黑体" w:cs="黑体"/>
          <w:color w:val="auto"/>
          <w:sz w:val="56"/>
          <w:szCs w:val="72"/>
          <w:highlight w:val="none"/>
        </w:rPr>
      </w:pPr>
    </w:p>
    <w:p>
      <w:pPr>
        <w:spacing w:line="480" w:lineRule="auto"/>
        <w:jc w:val="center"/>
        <w:rPr>
          <w:rFonts w:ascii="黑体" w:hAnsi="黑体" w:eastAsia="黑体" w:cs="黑体"/>
          <w:color w:val="auto"/>
          <w:sz w:val="56"/>
          <w:szCs w:val="72"/>
          <w:highlight w:val="none"/>
        </w:rPr>
      </w:pPr>
    </w:p>
    <w:p>
      <w:pPr>
        <w:snapToGrid w:val="0"/>
        <w:spacing w:line="480" w:lineRule="auto"/>
        <w:jc w:val="center"/>
        <w:rPr>
          <w:rFonts w:ascii="黑体" w:hAnsi="黑体" w:eastAsia="黑体" w:cs="黑体"/>
          <w:color w:val="auto"/>
          <w:sz w:val="56"/>
          <w:szCs w:val="72"/>
          <w:highlight w:val="none"/>
        </w:rPr>
      </w:pPr>
    </w:p>
    <w:p>
      <w:pPr>
        <w:snapToGrid w:val="0"/>
        <w:jc w:val="cente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pPr>
      <w: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t>石家庄市藁城区工业和信息化局</w:t>
      </w:r>
    </w:p>
    <w:p>
      <w:pPr>
        <w:snapToGrid w:val="0"/>
        <w:jc w:val="center"/>
        <w:rPr>
          <w:rFonts w:ascii="楷体_GB2312" w:hAnsi="楷体_GB2312" w:eastAsia="楷体_GB2312" w:cs="楷体_GB2312"/>
          <w:color w:val="auto"/>
          <w:kern w:val="0"/>
          <w:sz w:val="44"/>
          <w:szCs w:val="44"/>
          <w:highlight w:val="none"/>
          <w14:shadow w14:blurRad="38100" w14:dist="19050" w14:dir="2700000" w14:sx="100000" w14:sy="100000" w14:kx="0" w14:ky="0" w14:algn="tl">
            <w14:schemeClr w14:val="dk1">
              <w14:alpha w14:val="60000"/>
            </w14:schemeClr>
          </w14:shadow>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auto"/>
          <w:kern w:val="0"/>
          <w:sz w:val="44"/>
          <w:szCs w:val="44"/>
          <w:highlight w:val="none"/>
          <w14:shadow w14:blurRad="38100" w14:dist="19050" w14:dir="2700000" w14:sx="100000" w14:sy="100000" w14:kx="0" w14:ky="0" w14:algn="tl">
            <w14:schemeClr w14:val="dk1">
              <w14:alpha w14:val="60000"/>
            </w14:schemeClr>
          </w14:shadow>
          <w14:props3d w14:extrusionH="0" w14:contourW="0" w14:prstMaterial="clear"/>
        </w:rPr>
        <w:t>二〇二〇年</w:t>
      </w:r>
      <w:r>
        <w:rPr>
          <w:rFonts w:hint="eastAsia" w:ascii="楷体_GB2312" w:hAnsi="楷体_GB2312" w:eastAsia="楷体_GB2312" w:cs="楷体_GB2312"/>
          <w:color w:val="auto"/>
          <w:kern w:val="0"/>
          <w:sz w:val="44"/>
          <w:szCs w:val="44"/>
          <w:highlight w:val="none"/>
          <w:lang w:eastAsia="zh-CN"/>
          <w14:shadow w14:blurRad="38100" w14:dist="19050" w14:dir="2700000" w14:sx="100000" w14:sy="100000" w14:kx="0" w14:ky="0" w14:algn="tl">
            <w14:schemeClr w14:val="dk1">
              <w14:alpha w14:val="60000"/>
            </w14:schemeClr>
          </w14:shadow>
          <w14:props3d w14:extrusionH="0" w14:contourW="0" w14:prstMaterial="clear"/>
        </w:rPr>
        <w:t>十</w:t>
      </w:r>
      <w:r>
        <w:rPr>
          <w:rFonts w:hint="eastAsia" w:ascii="楷体_GB2312" w:hAnsi="楷体_GB2312" w:eastAsia="楷体_GB2312" w:cs="楷体_GB2312"/>
          <w:color w:val="auto"/>
          <w:kern w:val="0"/>
          <w:sz w:val="44"/>
          <w:szCs w:val="44"/>
          <w:highlight w:val="none"/>
          <w14:shadow w14:blurRad="38100" w14:dist="19050" w14:dir="2700000" w14:sx="100000" w14:sy="100000" w14:kx="0" w14:ky="0" w14:algn="tl">
            <w14:schemeClr w14:val="dk1">
              <w14:alpha w14:val="60000"/>
            </w14:schemeClr>
          </w14:shadow>
          <w14:props3d w14:extrusionH="0" w14:contourW="0" w14:prstMaterial="clear"/>
        </w:rPr>
        <w:t>月</w:t>
      </w:r>
    </w:p>
    <w:p>
      <w:pPr>
        <w:rPr>
          <w:rFonts w:ascii="黑体" w:hAnsi="Times New Roman" w:eastAsia="黑体" w:cs="Times New Roman"/>
          <w:color w:val="auto"/>
          <w:sz w:val="48"/>
          <w:szCs w:val="48"/>
          <w:highlight w:val="none"/>
        </w:rPr>
      </w:pPr>
      <w:r>
        <w:rPr>
          <w:rFonts w:hint="eastAsia" w:ascii="黑体" w:hAnsi="Times New Roman" w:eastAsia="黑体" w:cs="Times New Roman"/>
          <w:color w:val="auto"/>
          <w:sz w:val="48"/>
          <w:szCs w:val="48"/>
          <w:highlight w:val="none"/>
        </w:rPr>
        <w:br w:type="page"/>
      </w:r>
    </w:p>
    <w:p>
      <w:pPr>
        <w:tabs>
          <w:tab w:val="left" w:pos="2728"/>
        </w:tabs>
        <w:jc w:val="center"/>
        <w:rPr>
          <w:rFonts w:ascii="黑体" w:hAnsi="Times New Roman" w:eastAsia="黑体" w:cs="Times New Roman"/>
          <w:color w:val="auto"/>
          <w:sz w:val="48"/>
          <w:szCs w:val="48"/>
          <w:highlight w:val="none"/>
        </w:rPr>
      </w:pPr>
    </w:p>
    <w:p>
      <w:pPr>
        <w:tabs>
          <w:tab w:val="left" w:pos="2728"/>
        </w:tabs>
        <w:jc w:val="center"/>
        <w:rPr>
          <w:rFonts w:ascii="黑体" w:hAnsi="Times New Roman" w:eastAsia="黑体" w:cs="Times New Roman"/>
          <w:color w:val="auto"/>
          <w:sz w:val="48"/>
          <w:szCs w:val="48"/>
          <w:highlight w:val="none"/>
        </w:rPr>
      </w:pPr>
      <w:r>
        <w:rPr>
          <w:rFonts w:hint="eastAsia" w:ascii="黑体" w:hAnsi="Times New Roman" w:eastAsia="黑体" w:cs="Times New Roman"/>
          <w:color w:val="auto"/>
          <w:sz w:val="48"/>
          <w:szCs w:val="48"/>
          <w:highlight w:val="none"/>
        </w:rPr>
        <w:t>目    录</w:t>
      </w:r>
    </w:p>
    <w:p>
      <w:pPr>
        <w:widowControl/>
        <w:spacing w:after="160" w:line="580" w:lineRule="exact"/>
        <w:ind w:firstLine="640" w:firstLineChars="200"/>
        <w:rPr>
          <w:rFonts w:ascii="Times New Roman" w:hAnsi="Times New Roman" w:eastAsia="黑体" w:cs="Times New Roman"/>
          <w:color w:val="auto"/>
          <w:sz w:val="32"/>
          <w:szCs w:val="32"/>
          <w:highlight w:val="none"/>
        </w:rPr>
      </w:pPr>
    </w:p>
    <w:p>
      <w:pPr>
        <w:widowControl/>
        <w:spacing w:after="160" w:line="580" w:lineRule="exact"/>
        <w:ind w:firstLine="640" w:firstLineChars="200"/>
        <w:rPr>
          <w:rFonts w:ascii="Times New Roman" w:hAnsi="Times New Roman" w:eastAsia="仿宋_GB2312" w:cs="Times New Roman"/>
          <w:color w:val="auto"/>
          <w:sz w:val="24"/>
          <w:szCs w:val="32"/>
          <w:highlight w:val="none"/>
        </w:rPr>
      </w:pPr>
      <w:r>
        <w:rPr>
          <w:rFonts w:ascii="Times New Roman" w:hAnsi="Times New Roman" w:eastAsia="黑体" w:cs="Times New Roman"/>
          <w:color w:val="auto"/>
          <w:sz w:val="32"/>
          <w:szCs w:val="32"/>
          <w:highlight w:val="none"/>
        </w:rPr>
        <w:t>第一部分   部门概况</w:t>
      </w:r>
    </w:p>
    <w:p>
      <w:pPr>
        <w:widowControl/>
        <w:spacing w:after="160" w:line="580" w:lineRule="exact"/>
        <w:ind w:firstLine="1273" w:firstLineChars="398"/>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一、部门</w:t>
      </w:r>
      <w:r>
        <w:rPr>
          <w:rFonts w:hint="eastAsia" w:ascii="Times New Roman" w:hAnsi="Times New Roman" w:eastAsia="仿宋_GB2312" w:cs="Times New Roman"/>
          <w:color w:val="auto"/>
          <w:sz w:val="32"/>
          <w:szCs w:val="32"/>
          <w:highlight w:val="none"/>
        </w:rPr>
        <w:t>职责</w:t>
      </w:r>
    </w:p>
    <w:p>
      <w:pPr>
        <w:widowControl/>
        <w:spacing w:after="160" w:line="580" w:lineRule="exact"/>
        <w:ind w:firstLine="1273" w:firstLineChars="398"/>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二、</w:t>
      </w:r>
      <w:r>
        <w:rPr>
          <w:rFonts w:hint="eastAsia" w:ascii="Times New Roman" w:hAnsi="Times New Roman" w:eastAsia="仿宋_GB2312" w:cs="Times New Roman"/>
          <w:color w:val="auto"/>
          <w:sz w:val="32"/>
          <w:szCs w:val="32"/>
          <w:highlight w:val="none"/>
        </w:rPr>
        <w:t>机构设置</w:t>
      </w:r>
    </w:p>
    <w:p>
      <w:pPr>
        <w:widowControl/>
        <w:spacing w:after="160" w:line="580" w:lineRule="exact"/>
        <w:ind w:firstLine="640" w:firstLineChars="200"/>
        <w:rPr>
          <w:rFonts w:ascii="Times New Roman" w:hAnsi="Times New Roman" w:eastAsia="黑体" w:cs="Times New Roman"/>
          <w:color w:val="auto"/>
          <w:sz w:val="32"/>
          <w:szCs w:val="32"/>
          <w:highlight w:val="none"/>
        </w:rPr>
      </w:pPr>
      <w:r>
        <w:rPr>
          <w:rFonts w:ascii="Times New Roman" w:hAnsi="Times New Roman" w:eastAsia="黑体" w:cs="Times New Roman"/>
          <w:color w:val="auto"/>
          <w:sz w:val="32"/>
          <w:szCs w:val="32"/>
          <w:highlight w:val="none"/>
        </w:rPr>
        <w:t>第二部分   201</w:t>
      </w:r>
      <w:r>
        <w:rPr>
          <w:rFonts w:hint="eastAsia" w:ascii="Times New Roman" w:hAnsi="Times New Roman" w:eastAsia="黑体" w:cs="Times New Roman"/>
          <w:color w:val="auto"/>
          <w:sz w:val="32"/>
          <w:szCs w:val="32"/>
          <w:highlight w:val="none"/>
        </w:rPr>
        <w:t>9</w:t>
      </w:r>
      <w:r>
        <w:rPr>
          <w:rFonts w:ascii="Times New Roman" w:hAnsi="Times New Roman" w:eastAsia="黑体" w:cs="Times New Roman"/>
          <w:color w:val="auto"/>
          <w:sz w:val="32"/>
          <w:szCs w:val="32"/>
          <w:highlight w:val="none"/>
        </w:rPr>
        <w:t>年部门决算情况说明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一、收入支出决算总体情况说明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二、收入决算情况说明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三、支出决算情况说明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color w:val="auto"/>
          <w:sz w:val="32"/>
          <w:szCs w:val="32"/>
          <w:highlight w:val="none"/>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五、一般公共预算</w:t>
      </w:r>
      <w:r>
        <w:rPr>
          <w:rFonts w:ascii="Times New Roman" w:hAnsi="Times New Roman" w:eastAsia="仿宋_GB2312" w:cs="Times New Roman"/>
          <w:color w:val="auto"/>
          <w:sz w:val="32"/>
          <w:szCs w:val="32"/>
          <w:highlight w:val="none"/>
        </w:rPr>
        <w:t>“三公”经费支出决算情况说明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六</w:t>
      </w:r>
      <w:r>
        <w:rPr>
          <w:rFonts w:ascii="Times New Roman" w:hAnsi="Times New Roman" w:eastAsia="仿宋_GB2312" w:cs="Times New Roman"/>
          <w:color w:val="auto"/>
          <w:sz w:val="32"/>
          <w:szCs w:val="32"/>
          <w:highlight w:val="none"/>
        </w:rPr>
        <w:t>、预算绩效情况说明</w:t>
      </w:r>
    </w:p>
    <w:p>
      <w:pPr>
        <w:widowControl/>
        <w:spacing w:after="160" w:line="580" w:lineRule="exact"/>
        <w:ind w:left="640" w:firstLine="640" w:firstLineChars="200"/>
        <w:rPr>
          <w:rFonts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rPr>
        <w:t>七</w:t>
      </w:r>
      <w:r>
        <w:rPr>
          <w:rFonts w:ascii="Times New Roman" w:hAnsi="Times New Roman" w:eastAsia="仿宋_GB2312" w:cs="Times New Roman"/>
          <w:color w:val="auto"/>
          <w:sz w:val="32"/>
          <w:szCs w:val="32"/>
          <w:highlight w:val="none"/>
        </w:rPr>
        <w:t>、其他重要事项的说明</w:t>
      </w:r>
    </w:p>
    <w:p>
      <w:pPr>
        <w:widowControl/>
        <w:spacing w:after="160" w:line="580" w:lineRule="exact"/>
        <w:ind w:firstLine="640" w:firstLineChars="200"/>
        <w:rPr>
          <w:rFonts w:ascii="Times New Roman" w:hAnsi="Times New Roman" w:eastAsia="黑体" w:cs="Times New Roman"/>
          <w:color w:val="auto"/>
          <w:sz w:val="32"/>
          <w:szCs w:val="32"/>
          <w:highlight w:val="none"/>
        </w:rPr>
      </w:pPr>
      <w:r>
        <w:rPr>
          <w:rFonts w:ascii="Times New Roman" w:hAnsi="Times New Roman" w:eastAsia="黑体" w:cs="Times New Roman"/>
          <w:color w:val="auto"/>
          <w:sz w:val="32"/>
          <w:szCs w:val="32"/>
          <w:highlight w:val="none"/>
        </w:rPr>
        <w:t>第三部分</w:t>
      </w:r>
      <w:r>
        <w:rPr>
          <w:rFonts w:hint="eastAsia" w:ascii="Times New Roman" w:hAnsi="Times New Roman" w:eastAsia="黑体" w:cs="Times New Roman"/>
          <w:color w:val="auto"/>
          <w:sz w:val="32"/>
          <w:szCs w:val="32"/>
          <w:highlight w:val="none"/>
        </w:rPr>
        <w:t xml:space="preserve">  </w:t>
      </w:r>
      <w:r>
        <w:rPr>
          <w:rFonts w:ascii="Times New Roman" w:hAnsi="Times New Roman" w:eastAsia="黑体" w:cs="Times New Roman"/>
          <w:color w:val="auto"/>
          <w:sz w:val="32"/>
          <w:szCs w:val="32"/>
          <w:highlight w:val="none"/>
        </w:rPr>
        <w:t>名词解释</w:t>
      </w:r>
    </w:p>
    <w:p>
      <w:pPr>
        <w:widowControl/>
        <w:spacing w:after="160" w:line="580" w:lineRule="exact"/>
        <w:ind w:firstLine="640" w:firstLineChars="200"/>
        <w:rPr>
          <w:rFonts w:ascii="Times New Roman" w:hAnsi="Times New Roman" w:eastAsia="仿宋_GB2312" w:cs="Times New Roman"/>
          <w:color w:val="auto"/>
          <w:sz w:val="20"/>
          <w:szCs w:val="32"/>
          <w:highlight w:val="none"/>
        </w:rPr>
      </w:pPr>
      <w:r>
        <w:rPr>
          <w:rFonts w:ascii="Times New Roman" w:hAnsi="Times New Roman" w:eastAsia="黑体" w:cs="Times New Roman"/>
          <w:color w:val="auto"/>
          <w:sz w:val="32"/>
          <w:szCs w:val="32"/>
          <w:highlight w:val="none"/>
        </w:rPr>
        <w:t>第</w:t>
      </w:r>
      <w:r>
        <w:rPr>
          <w:rFonts w:hint="eastAsia" w:ascii="Times New Roman" w:hAnsi="Times New Roman" w:eastAsia="黑体" w:cs="Times New Roman"/>
          <w:color w:val="auto"/>
          <w:sz w:val="32"/>
          <w:szCs w:val="32"/>
          <w:highlight w:val="none"/>
        </w:rPr>
        <w:t>四</w:t>
      </w:r>
      <w:r>
        <w:rPr>
          <w:rFonts w:ascii="Times New Roman" w:hAnsi="Times New Roman" w:eastAsia="黑体" w:cs="Times New Roman"/>
          <w:color w:val="auto"/>
          <w:sz w:val="32"/>
          <w:szCs w:val="32"/>
          <w:highlight w:val="none"/>
        </w:rPr>
        <w:t>部分</w:t>
      </w:r>
      <w:r>
        <w:rPr>
          <w:rFonts w:hint="eastAsia" w:ascii="Times New Roman" w:hAnsi="Times New Roman" w:eastAsia="黑体" w:cs="Times New Roman"/>
          <w:color w:val="auto"/>
          <w:sz w:val="32"/>
          <w:szCs w:val="32"/>
          <w:highlight w:val="none"/>
        </w:rPr>
        <w:t xml:space="preserve">  </w:t>
      </w:r>
      <w:r>
        <w:rPr>
          <w:rFonts w:ascii="Times New Roman" w:hAnsi="Times New Roman" w:eastAsia="黑体" w:cs="Times New Roman"/>
          <w:color w:val="auto"/>
          <w:sz w:val="32"/>
          <w:szCs w:val="32"/>
          <w:highlight w:val="none"/>
        </w:rPr>
        <w:t>201</w:t>
      </w:r>
      <w:r>
        <w:rPr>
          <w:rFonts w:hint="eastAsia" w:ascii="Times New Roman" w:hAnsi="Times New Roman" w:eastAsia="黑体" w:cs="Times New Roman"/>
          <w:color w:val="auto"/>
          <w:sz w:val="32"/>
          <w:szCs w:val="32"/>
          <w:highlight w:val="none"/>
        </w:rPr>
        <w:t>9</w:t>
      </w:r>
      <w:r>
        <w:rPr>
          <w:rFonts w:ascii="Times New Roman" w:hAnsi="Times New Roman" w:eastAsia="黑体" w:cs="Times New Roman"/>
          <w:color w:val="auto"/>
          <w:sz w:val="32"/>
          <w:szCs w:val="32"/>
          <w:highlight w:val="none"/>
        </w:rPr>
        <w:t>年度部门决算报表</w:t>
      </w:r>
    </w:p>
    <w:p>
      <w:pPr>
        <w:widowControl/>
        <w:spacing w:after="160" w:line="580" w:lineRule="exact"/>
        <w:ind w:firstLine="640" w:firstLineChars="200"/>
        <w:rPr>
          <w:rFonts w:ascii="Times New Roman" w:hAnsi="Times New Roman" w:eastAsia="黑体" w:cs="Times New Roman"/>
          <w:color w:val="auto"/>
          <w:sz w:val="32"/>
          <w:szCs w:val="32"/>
          <w:highlight w:val="none"/>
        </w:rPr>
      </w:pPr>
    </w:p>
    <w:p>
      <w:pPr>
        <w:widowControl/>
        <w:spacing w:after="160" w:line="580" w:lineRule="exact"/>
        <w:ind w:firstLine="640" w:firstLineChars="200"/>
        <w:rPr>
          <w:rFonts w:ascii="Times New Roman" w:hAnsi="Times New Roman" w:eastAsia="黑体" w:cs="Times New Roman"/>
          <w:color w:val="auto"/>
          <w:sz w:val="32"/>
          <w:szCs w:val="32"/>
          <w:highlight w:val="none"/>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color w:val="auto"/>
          <w:sz w:val="32"/>
          <w:szCs w:val="32"/>
          <w:highlight w:val="none"/>
        </w:rPr>
      </w:pPr>
    </w:p>
    <w:p>
      <w:pPr>
        <w:widowControl/>
        <w:spacing w:line="580" w:lineRule="exact"/>
        <w:ind w:firstLine="640" w:firstLineChars="200"/>
        <w:rPr>
          <w:rFonts w:eastAsia="黑体"/>
          <w:color w:val="auto"/>
          <w:sz w:val="32"/>
          <w:szCs w:val="32"/>
          <w:highlight w:val="none"/>
        </w:rPr>
      </w:pPr>
    </w:p>
    <w:p>
      <w:pPr>
        <w:widowControl/>
        <w:spacing w:line="580" w:lineRule="exact"/>
        <w:ind w:firstLine="640" w:firstLineChars="200"/>
        <w:rPr>
          <w:rFonts w:eastAsia="黑体"/>
          <w:color w:val="auto"/>
          <w:sz w:val="32"/>
          <w:szCs w:val="32"/>
          <w:highlight w:val="none"/>
        </w:rPr>
      </w:pPr>
    </w:p>
    <w:p>
      <w:pPr>
        <w:rPr>
          <w:color w:val="auto"/>
          <w:highlight w:val="none"/>
        </w:rPr>
      </w:pPr>
      <w:r>
        <w:rPr>
          <w:color w:val="auto"/>
          <w:sz w:val="72"/>
          <w:highlight w:val="none"/>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360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rPr>
          <w:color w:val="auto"/>
          <w:highlight w:val="none"/>
        </w:rPr>
        <w:br w:type="page"/>
      </w:r>
    </w:p>
    <w:p>
      <w:pPr>
        <w:pStyle w:val="2"/>
        <w:spacing w:before="0" w:after="0" w:line="580" w:lineRule="exact"/>
        <w:ind w:firstLine="640" w:firstLineChars="200"/>
        <w:jc w:val="left"/>
        <w:rPr>
          <w:rFonts w:ascii="黑体" w:eastAsia="黑体" w:cs="黑体"/>
          <w:b w:val="0"/>
          <w:bCs w:val="0"/>
          <w:color w:val="auto"/>
          <w:kern w:val="0"/>
          <w:sz w:val="32"/>
          <w:szCs w:val="32"/>
          <w:highlight w:val="none"/>
        </w:rPr>
      </w:pPr>
      <w:r>
        <w:rPr>
          <w:rFonts w:hint="eastAsia" w:ascii="黑体" w:eastAsia="黑体" w:cs="黑体"/>
          <w:b w:val="0"/>
          <w:bCs w:val="0"/>
          <w:color w:val="auto"/>
          <w:kern w:val="0"/>
          <w:sz w:val="32"/>
          <w:szCs w:val="32"/>
          <w:highlight w:val="none"/>
        </w:rPr>
        <w:t>一、部门职责</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（一）研究提出扶持工业企业发展政策和措施，对全市工业企业进行综合协调、指导和服务。</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（二）研究拟订全市工业企业发展中长期规划及年度计划、工业经济运行调控方案并组织实施。</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三）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（四）指导和推进工业企业产业结构、组织结构和产品结构的调整；指导工业企业发展技术进步、新产品开发和技术改造工作；负责国有工业企业的改革工作。</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（五）指导工业企业开展国内经济技术交流与合作；指导工业企业参与国际贸易和开拓国际市场；指导企业间的协作联合；协调落实企业项目建设。加强对工业利税大户的培育；协调推进工业系统名牌战略。</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（六）指导工业企业服务体系、担保体系和信用体系建设；承担市政府减轻企业负担的日常工作。</w:t>
      </w:r>
    </w:p>
    <w:p>
      <w:pPr>
        <w:widowControl/>
        <w:spacing w:line="580" w:lineRule="exact"/>
        <w:ind w:firstLine="640" w:firstLineChars="200"/>
        <w:rPr>
          <w:rFonts w:hint="eastAsia" w:ascii="仿宋_GB2312" w:eastAsia="仿宋_GB2312"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（七）统筹推进全区信息化工作和负责协调维护全区信息安全保障体系建设。</w:t>
      </w:r>
    </w:p>
    <w:p>
      <w:pPr>
        <w:widowControl/>
        <w:spacing w:line="580" w:lineRule="exact"/>
        <w:ind w:firstLine="640" w:firstLineChars="200"/>
        <w:rPr>
          <w:rFonts w:hint="eastAsia" w:ascii="仿宋_GB2312" w:hAnsi="Calibri" w:eastAsia="仿宋_GB2312" w:cs="ArialUnicodeMS"/>
          <w:color w:val="auto"/>
          <w:kern w:val="0"/>
          <w:sz w:val="32"/>
          <w:szCs w:val="32"/>
          <w:highlight w:val="none"/>
          <w:lang w:val="en-US" w:eastAsia="zh-CN"/>
        </w:rPr>
      </w:pPr>
      <w:r>
        <w:rPr>
          <w:rFonts w:hint="eastAsia" w:ascii="仿宋_GB2312" w:hAnsi="Calibri" w:eastAsia="仿宋_GB2312" w:cs="ArialUnicodeMS"/>
          <w:color w:val="auto"/>
          <w:kern w:val="0"/>
          <w:sz w:val="32"/>
          <w:szCs w:val="32"/>
          <w:highlight w:val="none"/>
          <w:lang w:val="en-US" w:eastAsia="zh-CN"/>
        </w:rPr>
        <w:t>（八）贯彻国家政策和标准，拟订高新技术产业中涉及生物医药、新材料、信息产业等规划并组织实施；指导行业技术创新和技术进步，以先进适用技术改造提升传统产业。</w:t>
      </w:r>
    </w:p>
    <w:p>
      <w:pPr>
        <w:widowControl/>
        <w:spacing w:line="580" w:lineRule="exact"/>
        <w:ind w:firstLine="640" w:firstLineChars="200"/>
        <w:rPr>
          <w:rFonts w:hint="eastAsia" w:ascii="仿宋_GB2312" w:hAnsi="Calibri" w:eastAsia="仿宋_GB2312" w:cs="ArialUnicodeMS"/>
          <w:color w:val="auto"/>
          <w:kern w:val="0"/>
          <w:sz w:val="32"/>
          <w:szCs w:val="32"/>
          <w:highlight w:val="none"/>
          <w:lang w:val="en-US" w:eastAsia="zh-CN"/>
        </w:rPr>
      </w:pPr>
      <w:r>
        <w:rPr>
          <w:rFonts w:hint="eastAsia" w:ascii="仿宋_GB2312" w:hAnsi="Calibri" w:eastAsia="仿宋_GB2312" w:cs="ArialUnicodeMS"/>
          <w:color w:val="auto"/>
          <w:kern w:val="0"/>
          <w:sz w:val="32"/>
          <w:szCs w:val="32"/>
          <w:highlight w:val="none"/>
          <w:lang w:val="en-US" w:eastAsia="zh-CN"/>
        </w:rPr>
        <w:t>（九）牵头建立统一的区级科技管理平台和科研项目资金协调、评估、监管机制。会同有关部门提出优化配置科技资源的措施建议，推动多元化科技投入体系建设。</w:t>
      </w:r>
    </w:p>
    <w:p>
      <w:pPr>
        <w:keepNext/>
        <w:keepLines/>
        <w:spacing w:line="580" w:lineRule="exact"/>
        <w:ind w:firstLine="640" w:firstLineChars="200"/>
        <w:jc w:val="left"/>
        <w:outlineLvl w:val="0"/>
        <w:rPr>
          <w:rFonts w:ascii="黑体" w:hAnsi="Calibri" w:eastAsia="黑体" w:cs="黑体"/>
          <w:color w:val="auto"/>
          <w:kern w:val="0"/>
          <w:sz w:val="32"/>
          <w:szCs w:val="32"/>
          <w:highlight w:val="none"/>
        </w:rPr>
      </w:pPr>
      <w:r>
        <w:rPr>
          <w:rFonts w:hint="eastAsia" w:ascii="黑体" w:hAnsi="Calibri" w:eastAsia="黑体" w:cs="黑体"/>
          <w:color w:val="auto"/>
          <w:kern w:val="0"/>
          <w:sz w:val="32"/>
          <w:szCs w:val="32"/>
          <w:highlight w:val="none"/>
        </w:rPr>
        <w:t>二、机构设置</w:t>
      </w:r>
    </w:p>
    <w:p>
      <w:pPr>
        <w:spacing w:line="580" w:lineRule="exact"/>
        <w:ind w:firstLine="640" w:firstLineChars="200"/>
        <w:rPr>
          <w:rFonts w:ascii="仿宋_GB2312" w:hAnsi="Calibri" w:eastAsia="仿宋_GB2312" w:cs="ArialUnicodeMS"/>
          <w:color w:val="auto"/>
          <w:kern w:val="0"/>
          <w:sz w:val="32"/>
          <w:szCs w:val="32"/>
          <w:highlight w:val="none"/>
        </w:rPr>
      </w:pPr>
      <w:r>
        <w:rPr>
          <w:rFonts w:hint="eastAsia" w:ascii="仿宋_GB2312" w:hAnsi="Calibri" w:eastAsia="仿宋_GB2312" w:cs="ArialUnicodeMS"/>
          <w:color w:val="auto"/>
          <w:kern w:val="0"/>
          <w:sz w:val="32"/>
          <w:szCs w:val="32"/>
          <w:highlight w:val="none"/>
        </w:rPr>
        <w:t xml:space="preserve">从决算编报单位构成看，纳入2019 年度本部门决算汇编范围的独立核算单位（以下简称“单位”）共 </w:t>
      </w:r>
      <w:r>
        <w:rPr>
          <w:rFonts w:hint="eastAsia" w:ascii="仿宋_GB2312" w:hAnsi="Calibri" w:eastAsia="仿宋_GB2312" w:cs="ArialUnicodeMS"/>
          <w:color w:val="auto"/>
          <w:kern w:val="0"/>
          <w:sz w:val="32"/>
          <w:szCs w:val="32"/>
          <w:highlight w:val="none"/>
          <w:lang w:val="en-US" w:eastAsia="zh-CN"/>
        </w:rPr>
        <w:t>1</w:t>
      </w:r>
      <w:r>
        <w:rPr>
          <w:rFonts w:hint="eastAsia" w:ascii="仿宋_GB2312" w:hAnsi="Calibri" w:eastAsia="仿宋_GB2312" w:cs="ArialUnicodeMS"/>
          <w:color w:val="auto"/>
          <w:kern w:val="0"/>
          <w:sz w:val="32"/>
          <w:szCs w:val="32"/>
          <w:highlight w:val="none"/>
        </w:rPr>
        <w:t xml:space="preserve"> 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color w:val="auto"/>
                <w:kern w:val="0"/>
                <w:sz w:val="28"/>
                <w:szCs w:val="28"/>
                <w:highlight w:val="none"/>
              </w:rPr>
            </w:pPr>
            <w:r>
              <w:rPr>
                <w:rFonts w:hint="eastAsia" w:ascii="仿宋_GB2312" w:hAnsi="Calibri" w:eastAsia="仿宋_GB2312" w:cs="ArialUnicodeMS"/>
                <w:b/>
                <w:bCs/>
                <w:color w:val="auto"/>
                <w:kern w:val="0"/>
                <w:sz w:val="28"/>
                <w:szCs w:val="28"/>
                <w:highlight w:val="none"/>
              </w:rPr>
              <w:t>序号</w:t>
            </w:r>
          </w:p>
        </w:tc>
        <w:tc>
          <w:tcPr>
            <w:tcW w:w="3485" w:type="dxa"/>
            <w:vAlign w:val="center"/>
          </w:tcPr>
          <w:p>
            <w:pPr>
              <w:spacing w:line="560" w:lineRule="exact"/>
              <w:jc w:val="center"/>
              <w:rPr>
                <w:rFonts w:ascii="仿宋_GB2312" w:hAnsi="Calibri" w:eastAsia="仿宋_GB2312" w:cs="ArialUnicodeMS"/>
                <w:b/>
                <w:bCs/>
                <w:color w:val="auto"/>
                <w:kern w:val="0"/>
                <w:sz w:val="28"/>
                <w:szCs w:val="28"/>
                <w:highlight w:val="none"/>
              </w:rPr>
            </w:pPr>
            <w:r>
              <w:rPr>
                <w:rFonts w:hint="eastAsia" w:ascii="仿宋_GB2312" w:hAnsi="Calibri" w:eastAsia="仿宋_GB2312" w:cs="ArialUnicodeMS"/>
                <w:b/>
                <w:bCs/>
                <w:color w:val="auto"/>
                <w:kern w:val="0"/>
                <w:sz w:val="28"/>
                <w:szCs w:val="28"/>
                <w:highlight w:val="none"/>
              </w:rPr>
              <w:t>单位名称</w:t>
            </w:r>
          </w:p>
        </w:tc>
        <w:tc>
          <w:tcPr>
            <w:tcW w:w="2445" w:type="dxa"/>
            <w:vAlign w:val="center"/>
          </w:tcPr>
          <w:p>
            <w:pPr>
              <w:spacing w:line="560" w:lineRule="exact"/>
              <w:jc w:val="center"/>
              <w:rPr>
                <w:rFonts w:ascii="仿宋_GB2312" w:hAnsi="Calibri" w:eastAsia="仿宋_GB2312" w:cs="ArialUnicodeMS"/>
                <w:b/>
                <w:bCs/>
                <w:color w:val="auto"/>
                <w:kern w:val="0"/>
                <w:sz w:val="28"/>
                <w:szCs w:val="28"/>
                <w:highlight w:val="none"/>
              </w:rPr>
            </w:pPr>
            <w:r>
              <w:rPr>
                <w:rFonts w:hint="eastAsia" w:ascii="仿宋_GB2312" w:hAnsi="Calibri" w:eastAsia="仿宋_GB2312" w:cs="ArialUnicodeMS"/>
                <w:b/>
                <w:bCs/>
                <w:color w:val="auto"/>
                <w:kern w:val="0"/>
                <w:sz w:val="28"/>
                <w:szCs w:val="28"/>
                <w:highlight w:val="none"/>
              </w:rPr>
              <w:t>单位基本性质</w:t>
            </w:r>
          </w:p>
        </w:tc>
        <w:tc>
          <w:tcPr>
            <w:tcW w:w="2665" w:type="dxa"/>
            <w:vAlign w:val="center"/>
          </w:tcPr>
          <w:p>
            <w:pPr>
              <w:spacing w:line="560" w:lineRule="exact"/>
              <w:jc w:val="center"/>
              <w:rPr>
                <w:rFonts w:ascii="仿宋_GB2312" w:hAnsi="Calibri" w:eastAsia="仿宋_GB2312" w:cs="ArialUnicodeMS"/>
                <w:b/>
                <w:bCs/>
                <w:color w:val="auto"/>
                <w:kern w:val="0"/>
                <w:sz w:val="28"/>
                <w:szCs w:val="28"/>
                <w:highlight w:val="none"/>
              </w:rPr>
            </w:pPr>
            <w:r>
              <w:rPr>
                <w:rFonts w:hint="eastAsia" w:ascii="仿宋_GB2312" w:hAnsi="Calibri" w:eastAsia="仿宋_GB2312" w:cs="ArialUnicodeMS"/>
                <w:b/>
                <w:bCs/>
                <w:color w:val="auto"/>
                <w:kern w:val="0"/>
                <w:sz w:val="28"/>
                <w:szCs w:val="28"/>
                <w:highlight w:val="none"/>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color w:val="auto"/>
                <w:kern w:val="0"/>
                <w:sz w:val="28"/>
                <w:szCs w:val="28"/>
                <w:highlight w:val="none"/>
              </w:rPr>
            </w:pPr>
            <w:r>
              <w:rPr>
                <w:rFonts w:hint="eastAsia" w:ascii="仿宋_GB2312" w:hAnsi="Calibri" w:eastAsia="仿宋_GB2312" w:cs="ArialUnicodeMS"/>
                <w:color w:val="auto"/>
                <w:kern w:val="0"/>
                <w:sz w:val="28"/>
                <w:szCs w:val="28"/>
                <w:highlight w:val="none"/>
              </w:rPr>
              <w:t>1</w:t>
            </w:r>
          </w:p>
        </w:tc>
        <w:tc>
          <w:tcPr>
            <w:tcW w:w="3485" w:type="dxa"/>
          </w:tcPr>
          <w:p>
            <w:pPr>
              <w:spacing w:line="560" w:lineRule="exact"/>
              <w:rPr>
                <w:rFonts w:ascii="仿宋_GB2312" w:hAnsi="Calibri" w:eastAsia="仿宋_GB2312" w:cs="ArialUnicodeMS"/>
                <w:color w:val="auto"/>
                <w:kern w:val="0"/>
                <w:sz w:val="28"/>
                <w:szCs w:val="28"/>
                <w:highlight w:val="none"/>
              </w:rPr>
            </w:pPr>
            <w:r>
              <w:rPr>
                <w:rFonts w:hint="eastAsia" w:ascii="仿宋_GB2312" w:eastAsia="仿宋_GB2312"/>
                <w:color w:val="auto"/>
                <w:sz w:val="32"/>
                <w:szCs w:val="32"/>
                <w:highlight w:val="none"/>
              </w:rPr>
              <w:t>石家庄市藁城区工业和信息化局</w:t>
            </w:r>
            <w:r>
              <w:rPr>
                <w:rFonts w:hint="eastAsia" w:ascii="仿宋_GB2312" w:hAnsi="Calibri" w:eastAsia="仿宋_GB2312" w:cs="ArialUnicodeMS"/>
                <w:color w:val="auto"/>
                <w:kern w:val="0"/>
                <w:sz w:val="28"/>
                <w:szCs w:val="28"/>
                <w:highlight w:val="none"/>
              </w:rPr>
              <w:t>(本级)</w:t>
            </w:r>
          </w:p>
        </w:tc>
        <w:tc>
          <w:tcPr>
            <w:tcW w:w="2445" w:type="dxa"/>
          </w:tcPr>
          <w:p>
            <w:pPr>
              <w:spacing w:line="560" w:lineRule="exact"/>
              <w:jc w:val="center"/>
              <w:rPr>
                <w:rFonts w:hint="eastAsia" w:ascii="仿宋_GB2312" w:hAnsi="Calibri" w:eastAsia="仿宋_GB2312" w:cs="ArialUnicodeMS"/>
                <w:color w:val="auto"/>
                <w:kern w:val="0"/>
                <w:sz w:val="28"/>
                <w:szCs w:val="28"/>
                <w:highlight w:val="none"/>
                <w:lang w:eastAsia="zh-CN"/>
              </w:rPr>
            </w:pPr>
            <w:r>
              <w:rPr>
                <w:rFonts w:hint="eastAsia" w:ascii="仿宋_GB2312" w:hAnsi="Calibri" w:eastAsia="仿宋_GB2312" w:cs="ArialUnicodeMS"/>
                <w:color w:val="auto"/>
                <w:kern w:val="0"/>
                <w:sz w:val="28"/>
                <w:szCs w:val="28"/>
                <w:highlight w:val="none"/>
                <w:lang w:eastAsia="zh-CN"/>
              </w:rPr>
              <w:t>行政</w:t>
            </w:r>
          </w:p>
        </w:tc>
        <w:tc>
          <w:tcPr>
            <w:tcW w:w="2665" w:type="dxa"/>
          </w:tcPr>
          <w:p>
            <w:pPr>
              <w:spacing w:line="560" w:lineRule="exact"/>
              <w:jc w:val="center"/>
              <w:rPr>
                <w:rFonts w:hint="eastAsia" w:ascii="仿宋_GB2312" w:hAnsi="Calibri" w:eastAsia="仿宋_GB2312" w:cs="ArialUnicodeMS"/>
                <w:color w:val="auto"/>
                <w:kern w:val="0"/>
                <w:sz w:val="28"/>
                <w:szCs w:val="28"/>
                <w:highlight w:val="none"/>
                <w:lang w:eastAsia="zh-CN"/>
              </w:rPr>
            </w:pPr>
            <w:r>
              <w:rPr>
                <w:rFonts w:hint="eastAsia" w:ascii="仿宋_GB2312" w:hAnsi="Calibri" w:eastAsia="仿宋_GB2312" w:cs="ArialUnicodeMS"/>
                <w:color w:val="auto"/>
                <w:kern w:val="0"/>
                <w:sz w:val="28"/>
                <w:szCs w:val="28"/>
                <w:highlight w:val="none"/>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color w:val="auto"/>
                <w:kern w:val="0"/>
                <w:sz w:val="28"/>
                <w:szCs w:val="28"/>
                <w:highlight w:val="none"/>
              </w:rPr>
            </w:pPr>
          </w:p>
        </w:tc>
      </w:tr>
    </w:tbl>
    <w:p>
      <w:pPr>
        <w:widowControl/>
        <w:spacing w:after="160" w:line="580" w:lineRule="exact"/>
        <w:ind w:firstLine="640" w:firstLineChars="200"/>
        <w:rPr>
          <w:rFonts w:ascii="Times New Roman" w:hAnsi="Times New Roman" w:eastAsia="黑体" w:cs="Times New Roman"/>
          <w:color w:val="auto"/>
          <w:sz w:val="32"/>
          <w:szCs w:val="32"/>
          <w:highlight w:val="none"/>
        </w:rPr>
      </w:pPr>
    </w:p>
    <w:p>
      <w:pPr>
        <w:widowControl/>
        <w:spacing w:after="160" w:line="580" w:lineRule="exact"/>
        <w:ind w:firstLine="640" w:firstLineChars="200"/>
        <w:rPr>
          <w:rFonts w:ascii="Times New Roman" w:hAnsi="Times New Roman" w:eastAsia="黑体" w:cs="Times New Roman"/>
          <w:color w:val="auto"/>
          <w:sz w:val="32"/>
          <w:szCs w:val="32"/>
          <w:highlight w:val="none"/>
        </w:rPr>
      </w:pPr>
    </w:p>
    <w:p>
      <w:pPr>
        <w:widowControl/>
        <w:spacing w:after="160" w:line="580" w:lineRule="exact"/>
        <w:ind w:firstLine="640" w:firstLineChars="200"/>
        <w:rPr>
          <w:rFonts w:ascii="Times New Roman" w:hAnsi="Times New Roman" w:eastAsia="黑体" w:cs="Times New Roman"/>
          <w:color w:val="auto"/>
          <w:sz w:val="32"/>
          <w:szCs w:val="32"/>
          <w:highlight w:val="none"/>
        </w:rPr>
      </w:pPr>
    </w:p>
    <w:p>
      <w:pPr>
        <w:widowControl/>
        <w:spacing w:after="160" w:line="580" w:lineRule="exact"/>
        <w:ind w:firstLine="640" w:firstLineChars="200"/>
        <w:rPr>
          <w:rFonts w:ascii="Times New Roman" w:hAnsi="Times New Roman" w:eastAsia="黑体" w:cs="Times New Roman"/>
          <w:color w:val="auto"/>
          <w:sz w:val="32"/>
          <w:szCs w:val="32"/>
          <w:highlight w:val="none"/>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color w:val="auto"/>
          <w:sz w:val="32"/>
          <w:szCs w:val="32"/>
          <w:highlight w:val="none"/>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color w:val="auto"/>
          <w:sz w:val="32"/>
          <w:szCs w:val="32"/>
          <w:highlight w:val="none"/>
        </w:rPr>
        <w:sectPr>
          <w:pgSz w:w="11906" w:h="16838"/>
          <w:pgMar w:top="2041" w:right="1531" w:bottom="2041" w:left="1531" w:header="851" w:footer="992" w:gutter="0"/>
          <w:pgNumType w:fmt="numberInDash"/>
          <w:cols w:space="0" w:num="1"/>
          <w:titlePg/>
          <w:docGrid w:type="lines" w:linePitch="312" w:charSpace="0"/>
        </w:sectPr>
      </w:pPr>
      <w:r>
        <w:rPr>
          <w:color w:val="auto"/>
          <w:sz w:val="72"/>
          <w:highlight w:val="none"/>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color w:val="auto"/>
          <w:sz w:val="32"/>
          <w:szCs w:val="3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r>
        <w:rPr>
          <w:color w:val="auto"/>
          <w:sz w:val="72"/>
          <w:highlight w:val="none"/>
        </w:rPr>
        <mc:AlternateContent>
          <mc:Choice Requires="wps">
            <w:drawing>
              <wp:anchor distT="0" distB="0" distL="114300" distR="114300" simplePos="0" relativeHeight="25167769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769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keepNext/>
        <w:keepLines/>
        <w:snapToGrid w:val="0"/>
        <w:spacing w:line="580" w:lineRule="exact"/>
        <w:ind w:firstLine="640" w:firstLineChars="200"/>
        <w:outlineLvl w:val="1"/>
        <w:rPr>
          <w:rFonts w:ascii="黑体" w:hAnsi="Calibri" w:eastAsia="黑体" w:cs="Times New Roman"/>
          <w:color w:val="auto"/>
          <w:sz w:val="32"/>
          <w:szCs w:val="32"/>
          <w:highlight w:val="none"/>
        </w:rPr>
      </w:pPr>
      <w:r>
        <w:rPr>
          <w:rFonts w:hint="eastAsia" w:ascii="黑体" w:hAnsi="Calibri" w:eastAsia="黑体" w:cs="Times New Roman"/>
          <w:color w:val="auto"/>
          <w:sz w:val="32"/>
          <w:szCs w:val="32"/>
          <w:highlight w:val="none"/>
        </w:rPr>
        <w:t>一、收入</w:t>
      </w:r>
      <w:r>
        <w:rPr>
          <w:rFonts w:hint="eastAsia" w:ascii="黑体" w:hAnsi="Cambria" w:eastAsia="黑体" w:cs="黑体"/>
          <w:color w:val="auto"/>
          <w:kern w:val="0"/>
          <w:sz w:val="32"/>
          <w:szCs w:val="32"/>
          <w:highlight w:val="none"/>
        </w:rPr>
        <w:t>支出</w:t>
      </w:r>
      <w:r>
        <w:rPr>
          <w:rFonts w:hint="eastAsia" w:ascii="黑体" w:hAnsi="Calibri" w:eastAsia="黑体" w:cs="Times New Roman"/>
          <w:color w:val="auto"/>
          <w:sz w:val="32"/>
          <w:szCs w:val="32"/>
          <w:highlight w:val="none"/>
        </w:rPr>
        <w:t>决算总体情况说明</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本部门2019年度收支总计（含结转和结余）</w:t>
      </w:r>
      <w:r>
        <w:rPr>
          <w:rFonts w:hint="eastAsia" w:ascii="仿宋_GB2312" w:hAnsi="Times New Roman" w:eastAsia="仿宋_GB2312" w:cs="DengXian-Regular"/>
          <w:color w:val="auto"/>
          <w:sz w:val="32"/>
          <w:szCs w:val="32"/>
          <w:highlight w:val="none"/>
          <w:lang w:val="en-US" w:eastAsia="zh-CN"/>
        </w:rPr>
        <w:t>11773.16</w:t>
      </w:r>
      <w:r>
        <w:rPr>
          <w:rFonts w:hint="eastAsia" w:ascii="仿宋_GB2312" w:hAnsi="Times New Roman" w:eastAsia="仿宋_GB2312" w:cs="DengXian-Regular"/>
          <w:color w:val="auto"/>
          <w:sz w:val="32"/>
          <w:szCs w:val="32"/>
          <w:highlight w:val="none"/>
        </w:rPr>
        <w:t>万元。与2018年度决算相比，收支各</w:t>
      </w:r>
      <w:r>
        <w:rPr>
          <w:rFonts w:hint="eastAsia" w:ascii="仿宋_GB2312" w:hAnsi="Times New Roman" w:eastAsia="仿宋_GB2312" w:cs="DengXian-Regular"/>
          <w:color w:val="auto"/>
          <w:sz w:val="32"/>
          <w:szCs w:val="32"/>
          <w:highlight w:val="none"/>
          <w:lang w:eastAsia="zh-CN"/>
        </w:rPr>
        <w:t>增加</w:t>
      </w:r>
      <w:r>
        <w:rPr>
          <w:rFonts w:hint="eastAsia" w:ascii="仿宋_GB2312" w:hAnsi="Times New Roman" w:eastAsia="仿宋_GB2312" w:cs="DengXian-Regular"/>
          <w:color w:val="auto"/>
          <w:sz w:val="32"/>
          <w:szCs w:val="32"/>
          <w:highlight w:val="none"/>
          <w:lang w:val="en-US" w:eastAsia="zh-CN"/>
        </w:rPr>
        <w:t>206.23万元和465.42</w:t>
      </w:r>
      <w:r>
        <w:rPr>
          <w:rFonts w:hint="eastAsia" w:ascii="仿宋_GB2312" w:hAnsi="Times New Roman" w:eastAsia="仿宋_GB2312" w:cs="DengXian-Regular"/>
          <w:color w:val="auto"/>
          <w:sz w:val="32"/>
          <w:szCs w:val="32"/>
          <w:highlight w:val="none"/>
        </w:rPr>
        <w:t>万元，</w:t>
      </w:r>
      <w:r>
        <w:rPr>
          <w:rFonts w:hint="eastAsia" w:ascii="仿宋_GB2312" w:hAnsi="Times New Roman" w:eastAsia="仿宋_GB2312" w:cs="DengXian-Regular"/>
          <w:color w:val="auto"/>
          <w:sz w:val="32"/>
          <w:szCs w:val="32"/>
          <w:highlight w:val="none"/>
          <w:lang w:eastAsia="zh-CN"/>
        </w:rPr>
        <w:t>增长</w:t>
      </w:r>
      <w:r>
        <w:rPr>
          <w:rFonts w:hint="eastAsia" w:ascii="仿宋_GB2312" w:hAnsi="Times New Roman" w:eastAsia="仿宋_GB2312" w:cs="DengXian-Regular"/>
          <w:color w:val="auto"/>
          <w:sz w:val="32"/>
          <w:szCs w:val="32"/>
          <w:highlight w:val="none"/>
          <w:lang w:val="en-US" w:eastAsia="zh-CN"/>
        </w:rPr>
        <w:t>3.63</w:t>
      </w:r>
      <w:r>
        <w:rPr>
          <w:rFonts w:hint="eastAsia" w:ascii="仿宋_GB2312" w:hAnsi="Times New Roman" w:eastAsia="仿宋_GB2312" w:cs="DengXian-Regular"/>
          <w:color w:val="auto"/>
          <w:sz w:val="32"/>
          <w:szCs w:val="32"/>
          <w:highlight w:val="none"/>
        </w:rPr>
        <w:t>%</w:t>
      </w:r>
      <w:r>
        <w:rPr>
          <w:rFonts w:hint="eastAsia" w:ascii="仿宋_GB2312" w:hAnsi="Times New Roman" w:eastAsia="仿宋_GB2312" w:cs="DengXian-Regular"/>
          <w:color w:val="auto"/>
          <w:sz w:val="32"/>
          <w:szCs w:val="32"/>
          <w:highlight w:val="none"/>
          <w:lang w:eastAsia="zh-CN"/>
        </w:rPr>
        <w:t>和</w:t>
      </w:r>
      <w:r>
        <w:rPr>
          <w:rFonts w:hint="eastAsia" w:ascii="仿宋_GB2312" w:hAnsi="Times New Roman" w:eastAsia="仿宋_GB2312" w:cs="DengXian-Regular"/>
          <w:color w:val="auto"/>
          <w:sz w:val="32"/>
          <w:szCs w:val="32"/>
          <w:highlight w:val="none"/>
          <w:lang w:val="en-US" w:eastAsia="zh-CN"/>
        </w:rPr>
        <w:t>8.59%</w:t>
      </w:r>
      <w:r>
        <w:rPr>
          <w:rFonts w:hint="eastAsia" w:ascii="仿宋_GB2312" w:hAnsi="Times New Roman" w:eastAsia="仿宋_GB2312" w:cs="DengXian-Regular"/>
          <w:color w:val="auto"/>
          <w:sz w:val="32"/>
          <w:szCs w:val="32"/>
          <w:highlight w:val="none"/>
        </w:rPr>
        <w:t>，主要原因是财政拨款安排</w:t>
      </w:r>
      <w:r>
        <w:rPr>
          <w:rFonts w:hint="eastAsia" w:ascii="仿宋_GB2312" w:hAnsi="Times New Roman" w:eastAsia="仿宋_GB2312" w:cs="DengXian-Regular"/>
          <w:color w:val="auto"/>
          <w:sz w:val="32"/>
          <w:szCs w:val="32"/>
          <w:highlight w:val="none"/>
          <w:lang w:eastAsia="zh-CN"/>
        </w:rPr>
        <w:t>增加了</w:t>
      </w:r>
      <w:r>
        <w:rPr>
          <w:rFonts w:hint="eastAsia" w:ascii="仿宋_GB2312" w:hAnsi="Times New Roman" w:eastAsia="仿宋_GB2312" w:cs="DengXian-Regular"/>
          <w:color w:val="auto"/>
          <w:sz w:val="32"/>
          <w:szCs w:val="32"/>
          <w:highlight w:val="none"/>
        </w:rPr>
        <w:t>资金。</w:t>
      </w:r>
    </w:p>
    <w:p>
      <w:pPr>
        <w:keepNext/>
        <w:keepLines/>
        <w:snapToGrid w:val="0"/>
        <w:spacing w:line="580" w:lineRule="exact"/>
        <w:ind w:firstLine="640" w:firstLineChars="200"/>
        <w:outlineLvl w:val="1"/>
        <w:rPr>
          <w:rFonts w:ascii="黑体" w:hAnsi="Calibri" w:eastAsia="黑体" w:cs="Times New Roman"/>
          <w:color w:val="auto"/>
          <w:sz w:val="32"/>
          <w:szCs w:val="32"/>
          <w:highlight w:val="none"/>
        </w:rPr>
      </w:pPr>
      <w:r>
        <w:rPr>
          <w:rFonts w:hint="eastAsia" w:ascii="黑体" w:hAnsi="Calibri" w:eastAsia="黑体" w:cs="Times New Roman"/>
          <w:color w:val="auto"/>
          <w:sz w:val="32"/>
          <w:szCs w:val="32"/>
          <w:highlight w:val="none"/>
        </w:rPr>
        <w:t>二、收入决算情况说明</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本部门2019年度本年收入合计</w:t>
      </w:r>
      <w:r>
        <w:rPr>
          <w:rFonts w:hint="eastAsia" w:ascii="仿宋_GB2312" w:hAnsi="Times New Roman" w:eastAsia="仿宋_GB2312" w:cs="DengXian-Regular"/>
          <w:color w:val="auto"/>
          <w:sz w:val="32"/>
          <w:szCs w:val="32"/>
          <w:highlight w:val="none"/>
          <w:lang w:val="en-US" w:eastAsia="zh-CN"/>
        </w:rPr>
        <w:t>4858.43</w:t>
      </w:r>
      <w:r>
        <w:rPr>
          <w:rFonts w:hint="eastAsia" w:ascii="仿宋_GB2312" w:hAnsi="Times New Roman" w:eastAsia="仿宋_GB2312" w:cs="DengXian-Regular"/>
          <w:color w:val="auto"/>
          <w:sz w:val="32"/>
          <w:szCs w:val="32"/>
          <w:highlight w:val="none"/>
        </w:rPr>
        <w:t>万元，其中：财政拨款收入</w:t>
      </w:r>
      <w:r>
        <w:rPr>
          <w:rFonts w:hint="eastAsia" w:ascii="仿宋_GB2312" w:hAnsi="Times New Roman" w:eastAsia="仿宋_GB2312" w:cs="DengXian-Regular"/>
          <w:color w:val="auto"/>
          <w:sz w:val="32"/>
          <w:szCs w:val="32"/>
          <w:highlight w:val="none"/>
          <w:lang w:val="en-US" w:eastAsia="zh-CN"/>
        </w:rPr>
        <w:t>4858.43</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100</w:t>
      </w:r>
      <w:r>
        <w:rPr>
          <w:rFonts w:hint="eastAsia" w:ascii="仿宋_GB2312" w:hAnsi="Times New Roman" w:eastAsia="仿宋_GB2312" w:cs="DengXian-Regular"/>
          <w:color w:val="auto"/>
          <w:sz w:val="32"/>
          <w:szCs w:val="32"/>
          <w:highlight w:val="none"/>
        </w:rPr>
        <w:t>%；事业收入</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%；经营收入</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%；其他收入</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w:t>
      </w:r>
    </w:p>
    <w:p>
      <w:pPr>
        <w:keepNext/>
        <w:keepLines/>
        <w:snapToGrid w:val="0"/>
        <w:spacing w:line="580" w:lineRule="exact"/>
        <w:ind w:firstLine="640" w:firstLineChars="200"/>
        <w:outlineLvl w:val="1"/>
        <w:rPr>
          <w:rFonts w:ascii="黑体" w:hAnsi="Calibri" w:eastAsia="黑体" w:cs="Times New Roman"/>
          <w:color w:val="auto"/>
          <w:sz w:val="32"/>
          <w:szCs w:val="32"/>
          <w:highlight w:val="none"/>
        </w:rPr>
      </w:pPr>
      <w:r>
        <w:rPr>
          <w:rFonts w:hint="eastAsia" w:ascii="黑体" w:hAnsi="Calibri" w:eastAsia="黑体" w:cs="Times New Roman"/>
          <w:color w:val="auto"/>
          <w:sz w:val="32"/>
          <w:szCs w:val="32"/>
          <w:highlight w:val="none"/>
        </w:rPr>
        <w:t>三、支出决算情况说明</w:t>
      </w:r>
    </w:p>
    <w:p>
      <w:pPr>
        <w:adjustRightInd w:val="0"/>
        <w:snapToGrid w:val="0"/>
        <w:spacing w:line="580" w:lineRule="exact"/>
        <w:ind w:firstLine="640" w:firstLineChars="200"/>
        <w:rPr>
          <w:rFonts w:hint="default" w:ascii="仿宋_GB2312" w:hAnsi="Times New Roman" w:eastAsia="仿宋_GB2312" w:cs="DengXian-Regular"/>
          <w:color w:val="auto"/>
          <w:sz w:val="32"/>
          <w:szCs w:val="32"/>
          <w:highlight w:val="none"/>
          <w:lang w:val="en-US" w:eastAsia="zh-CN"/>
        </w:rPr>
      </w:pPr>
      <w:r>
        <w:rPr>
          <w:rFonts w:hint="eastAsia" w:ascii="仿宋_GB2312" w:hAnsi="Times New Roman" w:eastAsia="仿宋_GB2312" w:cs="DengXian-Regular"/>
          <w:color w:val="auto"/>
          <w:sz w:val="32"/>
          <w:szCs w:val="32"/>
          <w:highlight w:val="none"/>
        </w:rPr>
        <w:t>本部门2019年度本年支出合计</w:t>
      </w:r>
      <w:r>
        <w:rPr>
          <w:rFonts w:hint="eastAsia" w:ascii="仿宋_GB2312" w:hAnsi="Times New Roman" w:eastAsia="仿宋_GB2312" w:cs="DengXian-Regular"/>
          <w:color w:val="auto"/>
          <w:sz w:val="32"/>
          <w:szCs w:val="32"/>
          <w:highlight w:val="none"/>
          <w:lang w:val="en-US" w:eastAsia="zh-CN"/>
        </w:rPr>
        <w:t>5668.79</w:t>
      </w:r>
      <w:r>
        <w:rPr>
          <w:rFonts w:hint="eastAsia" w:ascii="仿宋_GB2312" w:hAnsi="Times New Roman" w:eastAsia="仿宋_GB2312" w:cs="DengXian-Regular"/>
          <w:color w:val="auto"/>
          <w:sz w:val="32"/>
          <w:szCs w:val="32"/>
          <w:highlight w:val="none"/>
        </w:rPr>
        <w:t>万元，其中：基本支出</w:t>
      </w:r>
      <w:r>
        <w:rPr>
          <w:rFonts w:hint="eastAsia" w:ascii="仿宋_GB2312" w:hAnsi="Times New Roman" w:eastAsia="仿宋_GB2312" w:cs="DengXian-Regular"/>
          <w:color w:val="auto"/>
          <w:sz w:val="32"/>
          <w:szCs w:val="32"/>
          <w:highlight w:val="none"/>
          <w:lang w:val="en-US" w:eastAsia="zh-CN"/>
        </w:rPr>
        <w:t>565.11</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9.97</w:t>
      </w:r>
      <w:r>
        <w:rPr>
          <w:rFonts w:hint="eastAsia" w:ascii="仿宋_GB2312" w:hAnsi="Times New Roman" w:eastAsia="仿宋_GB2312" w:cs="DengXian-Regular"/>
          <w:color w:val="auto"/>
          <w:sz w:val="32"/>
          <w:szCs w:val="32"/>
          <w:highlight w:val="none"/>
        </w:rPr>
        <w:t>%；项目支出</w:t>
      </w:r>
      <w:r>
        <w:rPr>
          <w:rFonts w:hint="eastAsia" w:ascii="仿宋_GB2312" w:hAnsi="Times New Roman" w:eastAsia="仿宋_GB2312" w:cs="DengXian-Regular"/>
          <w:color w:val="auto"/>
          <w:sz w:val="32"/>
          <w:szCs w:val="32"/>
          <w:highlight w:val="none"/>
          <w:lang w:val="en-US" w:eastAsia="zh-CN"/>
        </w:rPr>
        <w:t>5103.68</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90.03</w:t>
      </w:r>
      <w:r>
        <w:rPr>
          <w:rFonts w:hint="eastAsia" w:ascii="仿宋_GB2312" w:hAnsi="Times New Roman" w:eastAsia="仿宋_GB2312" w:cs="DengXian-Regular"/>
          <w:color w:val="auto"/>
          <w:sz w:val="32"/>
          <w:szCs w:val="32"/>
          <w:highlight w:val="none"/>
        </w:rPr>
        <w:t>%；经营支出</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%。如图所示：</w:t>
      </w:r>
    </w:p>
    <w:p>
      <w:pPr>
        <w:adjustRightInd w:val="0"/>
        <w:snapToGrid w:val="0"/>
        <w:spacing w:line="580" w:lineRule="exact"/>
        <w:ind w:firstLine="1920" w:firstLineChars="6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lang w:eastAsia="zh-CN"/>
        </w:rPr>
        <w:drawing>
          <wp:anchor distT="0" distB="0" distL="114300" distR="114300" simplePos="0" relativeHeight="251682816" behindDoc="1" locked="0" layoutInCell="1" allowOverlap="1">
            <wp:simplePos x="0" y="0"/>
            <wp:positionH relativeFrom="column">
              <wp:posOffset>547370</wp:posOffset>
            </wp:positionH>
            <wp:positionV relativeFrom="paragraph">
              <wp:posOffset>189230</wp:posOffset>
            </wp:positionV>
            <wp:extent cx="4745355" cy="2566035"/>
            <wp:effectExtent l="0" t="0" r="17145" b="5715"/>
            <wp:wrapTight wrapText="bothSides">
              <wp:wrapPolygon>
                <wp:start x="0" y="0"/>
                <wp:lineTo x="0" y="21488"/>
                <wp:lineTo x="21505" y="21488"/>
                <wp:lineTo x="21505" y="0"/>
                <wp:lineTo x="0" y="0"/>
              </wp:wrapPolygon>
            </wp:wrapTight>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1920" w:firstLineChars="600"/>
        <w:rPr>
          <w:rFonts w:hint="eastAsia" w:ascii="仿宋_GB2312" w:hAnsi="Times New Roman" w:eastAsia="仿宋_GB2312" w:cs="DengXian-Regular"/>
          <w:color w:val="auto"/>
          <w:sz w:val="32"/>
          <w:szCs w:val="32"/>
          <w:highlight w:val="none"/>
          <w:lang w:eastAsia="zh-CN"/>
        </w:rPr>
      </w:pPr>
    </w:p>
    <w:p>
      <w:pPr>
        <w:adjustRightInd w:val="0"/>
        <w:snapToGrid w:val="0"/>
        <w:spacing w:line="580" w:lineRule="exact"/>
        <w:ind w:firstLine="1920" w:firstLineChars="600"/>
        <w:rPr>
          <w:rFonts w:hint="eastAsia" w:ascii="黑体" w:hAnsi="Calibri" w:eastAsia="黑体" w:cs="Times New Roman"/>
          <w:color w:val="auto"/>
          <w:sz w:val="32"/>
          <w:szCs w:val="32"/>
          <w:highlight w:val="none"/>
        </w:rPr>
      </w:pPr>
      <w:r>
        <w:rPr>
          <w:color w:val="auto"/>
          <w:sz w:val="32"/>
          <w:highlight w:val="none"/>
        </w:rPr>
        <mc:AlternateContent>
          <mc:Choice Requires="wps">
            <w:drawing>
              <wp:anchor distT="0" distB="0" distL="114300" distR="114300" simplePos="0" relativeHeight="251675648" behindDoc="0" locked="0" layoutInCell="1" allowOverlap="1">
                <wp:simplePos x="0" y="0"/>
                <wp:positionH relativeFrom="column">
                  <wp:posOffset>1250315</wp:posOffset>
                </wp:positionH>
                <wp:positionV relativeFrom="paragraph">
                  <wp:posOffset>2020570</wp:posOffset>
                </wp:positionV>
                <wp:extent cx="3314065" cy="530860"/>
                <wp:effectExtent l="0" t="0" r="635" b="2540"/>
                <wp:wrapSquare wrapText="bothSides"/>
                <wp:docPr id="30" name="文本框 30"/>
                <wp:cNvGraphicFramePr/>
                <a:graphic xmlns:a="http://schemas.openxmlformats.org/drawingml/2006/main">
                  <a:graphicData uri="http://schemas.microsoft.com/office/word/2010/wordprocessingShape">
                    <wps:wsp>
                      <wps:cNvSpPr txBox="1"/>
                      <wps:spPr>
                        <a:xfrm>
                          <a:off x="1953895" y="7816850"/>
                          <a:ext cx="3314065" cy="53086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8.45pt;margin-top:159.1pt;height:41.8pt;width:260.95pt;mso-wrap-distance-bottom:0pt;mso-wrap-distance-left:9pt;mso-wrap-distance-right:9pt;mso-wrap-distance-top:0pt;z-index:251675648;mso-width-relative:page;mso-height-relative:page;" fillcolor="#FFFFFF" filled="t" stroked="f" coordsize="21600,21600" o:gfxdata="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zMfv1gAAAAsBAAAPAAAAAAAAAAEAIAAA&#10;ACIAAABkcnMvZG93bnJldi54bWxQSwECFAAUAAAACACHTuJA3j2W/kcCAABdBAAADgAAAAAAAAAB&#10;ACAAAAAlAQAAZHJzL2Uyb0RvYy54bWxQSwUGAAAAAAYABgBZAQAA3g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w10:wrap type="square"/>
              </v:shape>
            </w:pict>
          </mc:Fallback>
        </mc:AlternateContent>
      </w: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r>
        <w:rPr>
          <w:rFonts w:hint="eastAsia" w:ascii="黑体" w:hAnsi="Calibri" w:eastAsia="黑体" w:cs="Times New Roman"/>
          <w:color w:val="auto"/>
          <w:sz w:val="32"/>
          <w:szCs w:val="32"/>
          <w:highlight w:val="none"/>
        </w:rPr>
        <w:t>四、财政拨款收入支出决算总体情况说明</w:t>
      </w:r>
    </w:p>
    <w:p>
      <w:pPr>
        <w:snapToGrid w:val="0"/>
        <w:spacing w:line="580" w:lineRule="exact"/>
        <w:ind w:firstLine="643" w:firstLineChars="200"/>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4858.43</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821.92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14.47</w:t>
      </w:r>
      <w:r>
        <w:rPr>
          <w:rFonts w:hint="eastAsia" w:ascii="仿宋_GB2312" w:hAnsi="Times New Roman" w:eastAsia="仿宋_GB2312" w:cs="DengXian-Regular"/>
          <w:sz w:val="32"/>
          <w:szCs w:val="32"/>
        </w:rPr>
        <w:t>%，主要是财政拨款安排减少了资金；本年支出</w:t>
      </w:r>
      <w:r>
        <w:rPr>
          <w:rFonts w:hint="eastAsia" w:ascii="仿宋_GB2312" w:hAnsi="Times New Roman" w:eastAsia="仿宋_GB2312" w:cs="DengXian-Regular"/>
          <w:sz w:val="32"/>
          <w:szCs w:val="32"/>
          <w:lang w:val="en-US" w:eastAsia="zh-CN"/>
        </w:rPr>
        <w:t>5668.79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247.63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专项资金项目安排有所增多</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4616.03</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821.92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根据财政安排，压减收入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5668.79</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247.63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专项资金项目安排有所增多</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242.4</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242.4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2018年未列支政府性基金预算财政拨款收入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242.4</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242.4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2018年未列支政府性基金预算财政拨款支出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drawing>
          <wp:anchor distT="0" distB="0" distL="114300" distR="114300" simplePos="0" relativeHeight="251684864" behindDoc="1" locked="0" layoutInCell="1" allowOverlap="1">
            <wp:simplePos x="0" y="0"/>
            <wp:positionH relativeFrom="column">
              <wp:posOffset>48260</wp:posOffset>
            </wp:positionH>
            <wp:positionV relativeFrom="paragraph">
              <wp:posOffset>64135</wp:posOffset>
            </wp:positionV>
            <wp:extent cx="5612765" cy="2175510"/>
            <wp:effectExtent l="0" t="0" r="6985" b="15240"/>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rPr>
      </w:pPr>
    </w:p>
    <w:p>
      <w:pPr>
        <w:adjustRightInd w:val="0"/>
        <w:snapToGrid w:val="0"/>
        <w:spacing w:after="160" w:line="560" w:lineRule="exact"/>
        <w:jc w:val="center"/>
        <w:rPr>
          <w:rFonts w:hint="eastAsia" w:ascii="仿宋_GB2312" w:hAnsi="Times New Roman" w:eastAsia="仿宋_GB2312" w:cs="DengXian-Regular"/>
          <w:color w:val="auto"/>
          <w:sz w:val="28"/>
          <w:szCs w:val="28"/>
          <w:highlight w:val="none"/>
        </w:rPr>
      </w:pPr>
      <w:r>
        <w:rPr>
          <w:rFonts w:hint="eastAsia" w:ascii="仿宋_GB2312" w:hAnsi="Times New Roman" w:eastAsia="仿宋_GB2312" w:cs="DengXian-Regular"/>
          <w:color w:val="auto"/>
          <w:sz w:val="28"/>
          <w:szCs w:val="28"/>
          <w:highlight w:val="none"/>
        </w:rPr>
        <w:t>图</w:t>
      </w:r>
      <w:r>
        <w:rPr>
          <w:rFonts w:hint="eastAsia" w:ascii="仿宋_GB2312" w:hAnsi="Times New Roman" w:eastAsia="仿宋_GB2312" w:cs="DengXian-Regular"/>
          <w:color w:val="auto"/>
          <w:sz w:val="28"/>
          <w:szCs w:val="28"/>
          <w:highlight w:val="none"/>
          <w:lang w:val="en-US" w:eastAsia="zh-CN"/>
        </w:rPr>
        <w:t>2</w:t>
      </w:r>
      <w:r>
        <w:rPr>
          <w:rFonts w:hint="eastAsia" w:ascii="仿宋_GB2312" w:hAnsi="Times New Roman" w:eastAsia="仿宋_GB2312" w:cs="DengXian-Regular"/>
          <w:color w:val="auto"/>
          <w:sz w:val="28"/>
          <w:szCs w:val="28"/>
          <w:highlight w:val="none"/>
        </w:rPr>
        <w:t>：</w:t>
      </w:r>
      <w:r>
        <w:rPr>
          <w:rFonts w:hint="eastAsia" w:ascii="仿宋_GB2312" w:hAnsi="Times New Roman" w:eastAsia="仿宋_GB2312" w:cs="DengXian-Regular"/>
          <w:color w:val="auto"/>
          <w:sz w:val="28"/>
          <w:szCs w:val="28"/>
          <w:highlight w:val="none"/>
          <w:lang w:eastAsia="zh-CN"/>
        </w:rPr>
        <w:t>决算收支对比</w:t>
      </w:r>
      <w:r>
        <w:rPr>
          <w:rFonts w:hint="eastAsia" w:ascii="仿宋_GB2312" w:hAnsi="Times New Roman" w:eastAsia="仿宋_GB2312" w:cs="DengXian-Regular"/>
          <w:color w:val="auto"/>
          <w:sz w:val="28"/>
          <w:szCs w:val="28"/>
          <w:highlight w:val="none"/>
        </w:rPr>
        <w:t>情况（按</w:t>
      </w:r>
      <w:r>
        <w:rPr>
          <w:rFonts w:hint="eastAsia" w:ascii="仿宋_GB2312" w:hAnsi="Times New Roman" w:eastAsia="仿宋_GB2312" w:cs="DengXian-Regular"/>
          <w:color w:val="auto"/>
          <w:sz w:val="28"/>
          <w:szCs w:val="28"/>
          <w:highlight w:val="none"/>
          <w:lang w:eastAsia="zh-CN"/>
        </w:rPr>
        <w:t>决算年度</w:t>
      </w:r>
      <w:r>
        <w:rPr>
          <w:rFonts w:hint="eastAsia" w:ascii="仿宋_GB2312" w:hAnsi="Times New Roman" w:eastAsia="仿宋_GB2312" w:cs="DengXian-Regular"/>
          <w:color w:val="auto"/>
          <w:sz w:val="28"/>
          <w:szCs w:val="28"/>
          <w:highlight w:val="none"/>
        </w:rPr>
        <w:t>）</w:t>
      </w:r>
    </w:p>
    <w:p>
      <w:pPr>
        <w:snapToGrid w:val="0"/>
        <w:spacing w:line="580" w:lineRule="exact"/>
        <w:ind w:firstLine="643" w:firstLineChars="200"/>
        <w:rPr>
          <w:rFonts w:ascii="仿宋_GB2312" w:hAnsi="Times New Roman" w:eastAsia="仿宋_GB2312" w:cs="DengXian-Regular"/>
          <w:color w:val="auto"/>
          <w:sz w:val="32"/>
          <w:szCs w:val="32"/>
          <w:highlight w:val="none"/>
        </w:rPr>
      </w:pPr>
      <w:r>
        <w:rPr>
          <w:rFonts w:hint="eastAsia" w:ascii="楷体_GB2312" w:hAnsi="Times New Roman" w:eastAsia="楷体_GB2312" w:cs="DengXian-Bold"/>
          <w:b/>
          <w:bCs/>
          <w:color w:val="auto"/>
          <w:sz w:val="32"/>
          <w:szCs w:val="32"/>
          <w:highlight w:val="none"/>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4858.43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1.84倍</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3145.22</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color w:val="auto"/>
          <w:sz w:val="32"/>
          <w:szCs w:val="32"/>
          <w:highlight w:val="none"/>
          <w:lang w:eastAsia="zh-CN"/>
        </w:rPr>
        <w:t>安排了大量专项资金项目</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5668.79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2.31倍</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3955.58</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预算数主要原因是主要是</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color w:val="auto"/>
          <w:sz w:val="32"/>
          <w:szCs w:val="32"/>
          <w:highlight w:val="none"/>
          <w:lang w:eastAsia="zh-CN"/>
        </w:rPr>
        <w:t>安排了大量专项资金项目</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2.14倍</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3145.22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color w:val="auto"/>
          <w:sz w:val="32"/>
          <w:szCs w:val="32"/>
          <w:highlight w:val="none"/>
          <w:lang w:eastAsia="zh-CN"/>
        </w:rPr>
        <w:t>安排了大量专项资金项目</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2.17倍</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3713.18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color w:val="auto"/>
          <w:sz w:val="32"/>
          <w:szCs w:val="32"/>
          <w:highlight w:val="none"/>
          <w:lang w:eastAsia="zh-CN"/>
        </w:rPr>
        <w:t>安排了大量专项资金项目</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color w:val="auto"/>
          <w:sz w:val="32"/>
          <w:szCs w:val="32"/>
          <w:highlight w:val="none"/>
          <w:lang w:eastAsia="zh-CN"/>
        </w:rPr>
        <w:t>严格执行预算安排</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2018年未列支政府性基金预算财政数。</w:t>
      </w:r>
    </w:p>
    <w:p>
      <w:pPr>
        <w:numPr>
          <w:ilvl w:val="0"/>
          <w:numId w:val="0"/>
        </w:numPr>
        <w:adjustRightInd w:val="0"/>
        <w:snapToGrid w:val="0"/>
        <w:spacing w:line="580" w:lineRule="exact"/>
        <w:jc w:val="center"/>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drawing>
          <wp:anchor distT="0" distB="0" distL="114300" distR="114300" simplePos="0" relativeHeight="251660288" behindDoc="0" locked="0" layoutInCell="1" allowOverlap="1">
            <wp:simplePos x="0" y="0"/>
            <wp:positionH relativeFrom="column">
              <wp:posOffset>31750</wp:posOffset>
            </wp:positionH>
            <wp:positionV relativeFrom="page">
              <wp:posOffset>6873240</wp:posOffset>
            </wp:positionV>
            <wp:extent cx="5799455" cy="2140585"/>
            <wp:effectExtent l="0" t="0" r="10795" b="12065"/>
            <wp:wrapTopAndBottom/>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hint="eastAsia" w:ascii="仿宋_GB2312" w:hAnsi="Times New Roman" w:eastAsia="仿宋_GB2312" w:cs="DengXian-Regular"/>
          <w:sz w:val="32"/>
          <w:szCs w:val="32"/>
          <w:lang w:val="en-US" w:eastAsia="zh-CN"/>
        </w:rPr>
        <w:t>图3：年初预算与财政拨款对比情况（按收入支出）</w:t>
      </w:r>
    </w:p>
    <w:p>
      <w:pPr>
        <w:numPr>
          <w:ilvl w:val="0"/>
          <w:numId w:val="3"/>
        </w:numPr>
        <w:adjustRightInd w:val="0"/>
        <w:snapToGrid w:val="0"/>
        <w:spacing w:line="580" w:lineRule="exact"/>
        <w:ind w:left="420" w:leftChars="200"/>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财政拨款支出决算结构情况。</w:t>
      </w:r>
    </w:p>
    <w:p>
      <w:pPr>
        <w:adjustRightInd w:val="0"/>
        <w:snapToGrid w:val="0"/>
        <w:spacing w:line="580" w:lineRule="exact"/>
        <w:ind w:firstLine="640" w:firstLineChars="200"/>
        <w:rPr>
          <w:rFonts w:ascii="楷体_GB2312" w:hAnsi="Times New Roman" w:eastAsia="楷体_GB2312" w:cs="DengXian-Bold"/>
          <w:b/>
          <w:bCs/>
          <w:color w:val="auto"/>
          <w:sz w:val="32"/>
          <w:szCs w:val="32"/>
          <w:highlight w:val="none"/>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5668.79</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：科学技术支出</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1521.14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26.83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节能环保支出</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1238.91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21.85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城乡社区支出（类）支出</w:t>
      </w:r>
      <w:r>
        <w:rPr>
          <w:rFonts w:hint="eastAsia" w:ascii="仿宋_GB2312" w:hAnsi="Times New Roman" w:eastAsia="仿宋_GB2312" w:cs="DengXian-Regular"/>
          <w:sz w:val="32"/>
          <w:szCs w:val="32"/>
          <w:lang w:val="en-US" w:eastAsia="zh-CN"/>
        </w:rPr>
        <w:t>242.4万元，占4.28%；</w:t>
      </w:r>
      <w:r>
        <w:rPr>
          <w:rFonts w:hint="eastAsia" w:ascii="仿宋_GB2312" w:hAnsi="Times New Roman" w:eastAsia="仿宋_GB2312" w:cs="DengXian-Regular"/>
          <w:sz w:val="32"/>
          <w:szCs w:val="32"/>
          <w:lang w:eastAsia="zh-CN"/>
        </w:rPr>
        <w:t>资源勘探信息等</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（类）支出</w:t>
      </w:r>
      <w:r>
        <w:rPr>
          <w:rFonts w:hint="eastAsia" w:ascii="仿宋_GB2312" w:hAnsi="Times New Roman" w:eastAsia="仿宋_GB2312" w:cs="DengXian-Regular"/>
          <w:sz w:val="32"/>
          <w:szCs w:val="32"/>
          <w:lang w:val="en-US" w:eastAsia="zh-CN"/>
        </w:rPr>
        <w:t>2666.35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47.04</w:t>
      </w:r>
      <w:r>
        <w:rPr>
          <w:rFonts w:hint="eastAsia" w:ascii="仿宋_GB2312" w:hAnsi="Times New Roman" w:eastAsia="仿宋_GB2312" w:cs="DengXian-Regular"/>
          <w:sz w:val="32"/>
          <w:szCs w:val="32"/>
        </w:rPr>
        <w:t>%。</w:t>
      </w:r>
      <w:r>
        <w:rPr>
          <w:color w:val="auto"/>
          <w:sz w:val="32"/>
          <w:highlight w:val="none"/>
        </w:rPr>
        <mc:AlternateContent>
          <mc:Choice Requires="wps">
            <w:drawing>
              <wp:anchor distT="0" distB="0" distL="114300" distR="114300" simplePos="0" relativeHeight="251676672" behindDoc="1" locked="0" layoutInCell="1" allowOverlap="1">
                <wp:simplePos x="0" y="0"/>
                <wp:positionH relativeFrom="column">
                  <wp:posOffset>1133475</wp:posOffset>
                </wp:positionH>
                <wp:positionV relativeFrom="paragraph">
                  <wp:posOffset>3211195</wp:posOffset>
                </wp:positionV>
                <wp:extent cx="3576320" cy="467360"/>
                <wp:effectExtent l="0" t="0" r="5080" b="8890"/>
                <wp:wrapNone/>
                <wp:docPr id="164" name="文本框 32"/>
                <wp:cNvGraphicFramePr/>
                <a:graphic xmlns:a="http://schemas.openxmlformats.org/drawingml/2006/main">
                  <a:graphicData uri="http://schemas.microsoft.com/office/word/2010/wordprocessingShape">
                    <wps:wsp>
                      <wps:cNvSpPr txBox="1"/>
                      <wps:spPr>
                        <a:xfrm>
                          <a:off x="1989455" y="6675120"/>
                          <a:ext cx="3576320" cy="46736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89.25pt;margin-top:252.85pt;height:36.8pt;width:281.6pt;z-index:-251639808;mso-width-relative:page;mso-height-relative:page;" fillcolor="#FFFFFF" filled="t" stroked="f" coordsize="21600,21600" o:gfxdata="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wAJevdUAAAALAQAADwAAAAAAAAABACAA&#10;AAAiAAAAZHJzL2Rvd25yZXYueG1sUEsBAhQAFAAAAAgAh07iQDg5PcJJAgAAXgQAAA4AAAAAAAAA&#10;AQAgAAAAJAEAAGRycy9lMm9Eb2MueG1sUEsFBgAAAAAGAAYAWQEAAN8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after="160" w:line="560" w:lineRule="exact"/>
        <w:jc w:val="center"/>
        <w:rPr>
          <w:rFonts w:hint="eastAsia"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lang w:eastAsia="zh-CN"/>
        </w:rPr>
        <w:drawing>
          <wp:anchor distT="0" distB="0" distL="114300" distR="114300" simplePos="0" relativeHeight="251661312" behindDoc="0" locked="0" layoutInCell="1" allowOverlap="1">
            <wp:simplePos x="0" y="0"/>
            <wp:positionH relativeFrom="column">
              <wp:posOffset>-320040</wp:posOffset>
            </wp:positionH>
            <wp:positionV relativeFrom="paragraph">
              <wp:posOffset>249555</wp:posOffset>
            </wp:positionV>
            <wp:extent cx="6328410" cy="3089275"/>
            <wp:effectExtent l="0" t="0" r="15240" b="15875"/>
            <wp:wrapTopAndBottom/>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cstheme="minorBidi"/>
          <w:kern w:val="2"/>
          <w:sz w:val="21"/>
          <w:szCs w:val="22"/>
          <w:lang w:val="en-US" w:eastAsia="zh-CN" w:bidi="ar-SA"/>
        </w:rPr>
        <w:tab/>
      </w:r>
      <w:r>
        <w:rPr>
          <w:rFonts w:hint="eastAsia" w:ascii="仿宋_GB2312" w:hAnsi="Times New Roman" w:eastAsia="仿宋_GB2312" w:cs="DengXian-Regular"/>
          <w:color w:val="auto"/>
          <w:sz w:val="28"/>
          <w:szCs w:val="28"/>
          <w:highlight w:val="none"/>
        </w:rPr>
        <w:t>图</w:t>
      </w:r>
      <w:r>
        <w:rPr>
          <w:rFonts w:hint="eastAsia" w:ascii="仿宋_GB2312" w:hAnsi="Times New Roman" w:eastAsia="仿宋_GB2312" w:cs="DengXian-Regular"/>
          <w:color w:val="auto"/>
          <w:sz w:val="28"/>
          <w:szCs w:val="28"/>
          <w:highlight w:val="none"/>
          <w:lang w:val="en-US" w:eastAsia="zh-CN"/>
        </w:rPr>
        <w:t>4</w:t>
      </w:r>
      <w:r>
        <w:rPr>
          <w:rFonts w:hint="eastAsia" w:ascii="仿宋_GB2312" w:hAnsi="Times New Roman" w:eastAsia="仿宋_GB2312" w:cs="DengXian-Regular"/>
          <w:color w:val="auto"/>
          <w:sz w:val="28"/>
          <w:szCs w:val="28"/>
          <w:highlight w:val="none"/>
        </w:rPr>
        <w:t>：</w:t>
      </w:r>
      <w:r>
        <w:rPr>
          <w:rFonts w:hint="eastAsia" w:ascii="仿宋_GB2312" w:hAnsi="Times New Roman" w:eastAsia="仿宋_GB2312" w:cs="DengXian-Regular"/>
          <w:color w:val="auto"/>
          <w:sz w:val="28"/>
          <w:szCs w:val="28"/>
          <w:highlight w:val="none"/>
          <w:lang w:eastAsia="zh-CN"/>
        </w:rPr>
        <w:t>财政拨款支出</w:t>
      </w:r>
      <w:r>
        <w:rPr>
          <w:rFonts w:hint="eastAsia" w:ascii="仿宋_GB2312" w:hAnsi="Times New Roman" w:eastAsia="仿宋_GB2312" w:cs="DengXian-Regular"/>
          <w:color w:val="auto"/>
          <w:sz w:val="28"/>
          <w:szCs w:val="28"/>
          <w:highlight w:val="none"/>
        </w:rPr>
        <w:t>情况（按</w:t>
      </w:r>
      <w:r>
        <w:rPr>
          <w:rFonts w:hint="eastAsia" w:ascii="仿宋_GB2312" w:hAnsi="Times New Roman" w:eastAsia="仿宋_GB2312" w:cs="DengXian-Regular"/>
          <w:color w:val="auto"/>
          <w:sz w:val="28"/>
          <w:szCs w:val="28"/>
          <w:highlight w:val="none"/>
          <w:lang w:eastAsia="zh-CN"/>
        </w:rPr>
        <w:t>功能分类</w:t>
      </w:r>
      <w:r>
        <w:rPr>
          <w:rFonts w:hint="eastAsia" w:ascii="仿宋_GB2312" w:hAnsi="Times New Roman" w:eastAsia="仿宋_GB2312" w:cs="DengXian-Regular"/>
          <w:color w:val="auto"/>
          <w:sz w:val="28"/>
          <w:szCs w:val="28"/>
          <w:highlight w:val="none"/>
        </w:rPr>
        <w:t>）</w:t>
      </w:r>
    </w:p>
    <w:p>
      <w:pPr>
        <w:adjustRightInd w:val="0"/>
        <w:snapToGrid w:val="0"/>
        <w:spacing w:line="580" w:lineRule="exact"/>
        <w:ind w:left="420" w:leftChars="200"/>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2019 年度财政拨款基本支出</w:t>
      </w:r>
      <w:r>
        <w:rPr>
          <w:rFonts w:hint="eastAsia" w:ascii="仿宋_GB2312" w:hAnsi="Times New Roman" w:eastAsia="仿宋_GB2312" w:cs="DengXian-Regular"/>
          <w:color w:val="auto"/>
          <w:sz w:val="32"/>
          <w:szCs w:val="32"/>
          <w:highlight w:val="none"/>
          <w:lang w:val="en-US" w:eastAsia="zh-CN"/>
        </w:rPr>
        <w:t>565.12</w:t>
      </w:r>
      <w:r>
        <w:rPr>
          <w:rFonts w:hint="eastAsia" w:ascii="仿宋_GB2312" w:hAnsi="Times New Roman" w:eastAsia="仿宋_GB2312" w:cs="DengXian-Regular"/>
          <w:color w:val="auto"/>
          <w:sz w:val="32"/>
          <w:szCs w:val="32"/>
          <w:highlight w:val="none"/>
        </w:rPr>
        <w:t xml:space="preserve">万元，其中：人员经费 </w:t>
      </w:r>
      <w:r>
        <w:rPr>
          <w:rFonts w:hint="eastAsia" w:ascii="仿宋_GB2312" w:hAnsi="Times New Roman" w:eastAsia="仿宋_GB2312" w:cs="DengXian-Regular"/>
          <w:color w:val="auto"/>
          <w:sz w:val="32"/>
          <w:szCs w:val="32"/>
          <w:highlight w:val="none"/>
          <w:lang w:val="en-US" w:eastAsia="zh-CN"/>
        </w:rPr>
        <w:t>515.94</w:t>
      </w:r>
      <w:r>
        <w:rPr>
          <w:rFonts w:hint="eastAsia" w:ascii="仿宋_GB2312" w:hAnsi="Times New Roman" w:eastAsia="仿宋_GB2312" w:cs="DengXian-Regular"/>
          <w:color w:val="auto"/>
          <w:sz w:val="32"/>
          <w:szCs w:val="32"/>
          <w:highlight w:val="none"/>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color w:val="auto"/>
          <w:sz w:val="32"/>
          <w:szCs w:val="32"/>
          <w:highlight w:val="none"/>
          <w:lang w:val="en-US" w:eastAsia="zh-CN"/>
        </w:rPr>
        <w:t>49.18</w:t>
      </w:r>
      <w:r>
        <w:rPr>
          <w:rFonts w:hint="eastAsia" w:ascii="仿宋_GB2312" w:hAnsi="Times New Roman" w:eastAsia="仿宋_GB2312" w:cs="DengXian-Regular"/>
          <w:color w:val="auto"/>
          <w:sz w:val="32"/>
          <w:szCs w:val="32"/>
          <w:highlight w:val="none"/>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color w:val="auto"/>
          <w:sz w:val="32"/>
          <w:szCs w:val="32"/>
          <w:highlight w:val="none"/>
        </w:rPr>
      </w:pPr>
      <w:r>
        <w:rPr>
          <w:rFonts w:hint="eastAsia" w:ascii="黑体" w:hAnsi="Calibri" w:eastAsia="黑体" w:cs="Times New Roman"/>
          <w:color w:val="auto"/>
          <w:sz w:val="32"/>
          <w:szCs w:val="32"/>
          <w:highlight w:val="none"/>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本部门2019年度“三公”经费支出共计</w:t>
      </w:r>
      <w:r>
        <w:rPr>
          <w:rFonts w:hint="eastAsia" w:ascii="仿宋_GB2312" w:hAnsi="Times New Roman" w:eastAsia="仿宋_GB2312" w:cs="DengXian-Regular"/>
          <w:color w:val="auto"/>
          <w:sz w:val="32"/>
          <w:szCs w:val="32"/>
          <w:highlight w:val="none"/>
          <w:lang w:val="en-US" w:eastAsia="zh-CN"/>
        </w:rPr>
        <w:t>2.16</w:t>
      </w:r>
      <w:r>
        <w:rPr>
          <w:rFonts w:hint="eastAsia" w:ascii="仿宋_GB2312" w:hAnsi="Times New Roman" w:eastAsia="仿宋_GB2312" w:cs="DengXian-Regular"/>
          <w:color w:val="auto"/>
          <w:sz w:val="32"/>
          <w:szCs w:val="32"/>
          <w:highlight w:val="none"/>
        </w:rPr>
        <w:t>万元，完成预算的</w:t>
      </w:r>
      <w:r>
        <w:rPr>
          <w:rFonts w:hint="eastAsia" w:ascii="仿宋_GB2312" w:hAnsi="Times New Roman" w:eastAsia="仿宋_GB2312" w:cs="DengXian-Regular"/>
          <w:color w:val="auto"/>
          <w:sz w:val="32"/>
          <w:szCs w:val="32"/>
          <w:highlight w:val="none"/>
          <w:lang w:val="en-US" w:eastAsia="zh-CN"/>
        </w:rPr>
        <w:t>87.8</w:t>
      </w:r>
      <w:r>
        <w:rPr>
          <w:rFonts w:hint="eastAsia" w:ascii="仿宋_GB2312" w:hAnsi="Times New Roman" w:eastAsia="仿宋_GB2312" w:cs="DengXian-Regular"/>
          <w:color w:val="auto"/>
          <w:sz w:val="32"/>
          <w:szCs w:val="32"/>
          <w:highlight w:val="none"/>
        </w:rPr>
        <w:t>%,较预算减少</w:t>
      </w:r>
      <w:r>
        <w:rPr>
          <w:rFonts w:hint="eastAsia" w:ascii="仿宋_GB2312" w:hAnsi="Times New Roman" w:eastAsia="仿宋_GB2312" w:cs="DengXian-Regular"/>
          <w:color w:val="auto"/>
          <w:sz w:val="32"/>
          <w:szCs w:val="32"/>
          <w:highlight w:val="none"/>
          <w:lang w:val="en-US" w:eastAsia="zh-CN"/>
        </w:rPr>
        <w:t>0.3</w:t>
      </w:r>
      <w:r>
        <w:rPr>
          <w:rFonts w:hint="eastAsia" w:ascii="仿宋_GB2312" w:hAnsi="Times New Roman" w:eastAsia="仿宋_GB2312" w:cs="DengXian-Regular"/>
          <w:color w:val="auto"/>
          <w:sz w:val="32"/>
          <w:szCs w:val="32"/>
          <w:highlight w:val="none"/>
        </w:rPr>
        <w:t>万元，降低</w:t>
      </w:r>
      <w:r>
        <w:rPr>
          <w:rFonts w:hint="eastAsia" w:ascii="仿宋_GB2312" w:hAnsi="Times New Roman" w:eastAsia="仿宋_GB2312" w:cs="DengXian-Regular"/>
          <w:color w:val="auto"/>
          <w:sz w:val="32"/>
          <w:szCs w:val="32"/>
          <w:highlight w:val="none"/>
          <w:lang w:val="en-US" w:eastAsia="zh-CN"/>
        </w:rPr>
        <w:t>12.20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eastAsia="zh-CN"/>
        </w:rPr>
        <w:t>公务用车运行费和公务接待费没有支出完</w:t>
      </w:r>
      <w:r>
        <w:rPr>
          <w:rFonts w:hint="eastAsia" w:ascii="仿宋_GB2312" w:hAnsi="Times New Roman" w:eastAsia="仿宋_GB2312" w:cs="DengXian-Regular"/>
          <w:color w:val="auto"/>
          <w:sz w:val="32"/>
          <w:szCs w:val="32"/>
          <w:highlight w:val="none"/>
        </w:rPr>
        <w:t>；较2018年度增加</w:t>
      </w:r>
      <w:r>
        <w:rPr>
          <w:rFonts w:hint="eastAsia" w:ascii="仿宋_GB2312" w:hAnsi="Times New Roman" w:eastAsia="仿宋_GB2312" w:cs="DengXian-Regular"/>
          <w:color w:val="auto"/>
          <w:sz w:val="32"/>
          <w:szCs w:val="32"/>
          <w:highlight w:val="none"/>
          <w:lang w:val="en-US" w:eastAsia="zh-CN"/>
        </w:rPr>
        <w:t>2.16</w:t>
      </w:r>
      <w:r>
        <w:rPr>
          <w:rFonts w:hint="eastAsia" w:ascii="仿宋_GB2312" w:hAnsi="Times New Roman" w:eastAsia="仿宋_GB2312" w:cs="DengXian-Regular"/>
          <w:color w:val="auto"/>
          <w:sz w:val="32"/>
          <w:szCs w:val="32"/>
          <w:highlight w:val="none"/>
        </w:rPr>
        <w:t>万元，增长</w:t>
      </w:r>
      <w:r>
        <w:rPr>
          <w:rFonts w:hint="eastAsia" w:ascii="仿宋_GB2312" w:hAnsi="Times New Roman" w:eastAsia="仿宋_GB2312" w:cs="DengXian-Regular"/>
          <w:color w:val="auto"/>
          <w:sz w:val="32"/>
          <w:szCs w:val="32"/>
          <w:highlight w:val="none"/>
          <w:lang w:val="en-US" w:eastAsia="zh-CN"/>
        </w:rPr>
        <w:t>216</w:t>
      </w:r>
      <w:r>
        <w:rPr>
          <w:rFonts w:hint="eastAsia" w:ascii="仿宋_GB2312" w:hAnsi="Times New Roman" w:eastAsia="仿宋_GB2312" w:cs="DengXian-Regular"/>
          <w:color w:val="auto"/>
          <w:sz w:val="32"/>
          <w:szCs w:val="32"/>
          <w:highlight w:val="none"/>
        </w:rPr>
        <w:t>%，主要是</w:t>
      </w:r>
      <w:r>
        <w:rPr>
          <w:rFonts w:ascii="仿宋_GB2312" w:eastAsia="仿宋_GB2312" w:cs="DengXian-Regular"/>
          <w:color w:val="auto"/>
          <w:sz w:val="32"/>
          <w:szCs w:val="32"/>
          <w:highlight w:val="none"/>
        </w:rPr>
        <w:t>2018</w:t>
      </w:r>
      <w:r>
        <w:rPr>
          <w:rFonts w:hint="eastAsia" w:ascii="仿宋_GB2312" w:eastAsia="仿宋_GB2312" w:cs="DengXian-Regular"/>
          <w:color w:val="auto"/>
          <w:sz w:val="32"/>
          <w:szCs w:val="32"/>
          <w:highlight w:val="none"/>
        </w:rPr>
        <w:t>年度“三公”经费未列入单位年初预算</w:t>
      </w:r>
      <w:r>
        <w:rPr>
          <w:rFonts w:hint="eastAsia" w:ascii="仿宋_GB2312" w:hAnsi="Times New Roman" w:eastAsia="仿宋_GB2312" w:cs="DengXian-Regular"/>
          <w:color w:val="auto"/>
          <w:sz w:val="32"/>
          <w:szCs w:val="32"/>
          <w:highlight w:val="none"/>
        </w:rPr>
        <w:t>。具体情况如下：</w:t>
      </w:r>
    </w:p>
    <w:p>
      <w:pPr>
        <w:adjustRightInd w:val="0"/>
        <w:snapToGrid w:val="0"/>
        <w:spacing w:line="580" w:lineRule="exact"/>
        <w:ind w:firstLine="643" w:firstLineChars="200"/>
        <w:rPr>
          <w:rFonts w:ascii="仿宋_GB2312" w:hAnsi="Times New Roman" w:eastAsia="仿宋_GB2312" w:cs="DengXian-Regular"/>
          <w:color w:val="auto"/>
          <w:sz w:val="32"/>
          <w:szCs w:val="32"/>
          <w:highlight w:val="none"/>
        </w:rPr>
      </w:pPr>
      <w:r>
        <w:rPr>
          <w:rFonts w:hint="eastAsia" w:ascii="楷体_GB2312" w:hAnsi="Times New Roman" w:eastAsia="楷体_GB2312" w:cs="DengXian-Bold"/>
          <w:b/>
          <w:bCs/>
          <w:color w:val="auto"/>
          <w:sz w:val="32"/>
          <w:szCs w:val="32"/>
          <w:highlight w:val="none"/>
        </w:rPr>
        <w:t>（一）因公出国（境）费支出</w:t>
      </w:r>
      <w:r>
        <w:rPr>
          <w:rFonts w:hint="eastAsia" w:ascii="楷体_GB2312" w:hAnsi="Times New Roman" w:eastAsia="楷体_GB2312" w:cs="DengXian-Bold"/>
          <w:b/>
          <w:bCs/>
          <w:color w:val="auto"/>
          <w:sz w:val="32"/>
          <w:szCs w:val="32"/>
          <w:highlight w:val="none"/>
          <w:lang w:val="en-US" w:eastAsia="zh-CN"/>
        </w:rPr>
        <w:t>0</w:t>
      </w:r>
      <w:r>
        <w:rPr>
          <w:rFonts w:hint="eastAsia" w:ascii="楷体_GB2312" w:hAnsi="Times New Roman" w:eastAsia="楷体_GB2312" w:cs="DengXian-Bold"/>
          <w:b/>
          <w:bCs/>
          <w:color w:val="auto"/>
          <w:sz w:val="32"/>
          <w:szCs w:val="32"/>
          <w:highlight w:val="none"/>
        </w:rPr>
        <w:t>万元。</w:t>
      </w:r>
      <w:r>
        <w:rPr>
          <w:rFonts w:hint="eastAsia" w:ascii="仿宋_GB2312" w:hAnsi="Times New Roman" w:eastAsia="仿宋_GB2312" w:cs="DengXian-Regular"/>
          <w:color w:val="auto"/>
          <w:sz w:val="32"/>
          <w:szCs w:val="32"/>
          <w:highlight w:val="none"/>
        </w:rPr>
        <w:t>本部门2019年度因公出国（境）团组</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个、共</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人/参加其他单位组织的因公出国（境）团组</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个、共</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人/无本单位组织的出国（境）团组。因公出国（境）费支出较预算增加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万元，增长</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val="en-US" w:eastAsia="zh-CN"/>
        </w:rPr>
        <w:t>2019</w:t>
      </w:r>
      <w:r>
        <w:rPr>
          <w:rFonts w:hint="eastAsia" w:ascii="仿宋_GB2312" w:eastAsia="仿宋_GB2312" w:cs="DengXian-Regular"/>
          <w:color w:val="auto"/>
          <w:sz w:val="32"/>
          <w:szCs w:val="32"/>
          <w:highlight w:val="none"/>
        </w:rPr>
        <w:t>年无因公出国事项</w:t>
      </w:r>
      <w:r>
        <w:rPr>
          <w:rFonts w:hint="eastAsia" w:ascii="仿宋_GB2312" w:eastAsia="仿宋_GB2312" w:cs="DengXian-Regular"/>
          <w:color w:val="auto"/>
          <w:sz w:val="32"/>
          <w:szCs w:val="32"/>
          <w:highlight w:val="none"/>
          <w:lang w:eastAsia="zh-CN"/>
        </w:rPr>
        <w:t>；较上年增加</w:t>
      </w:r>
      <w:r>
        <w:rPr>
          <w:rFonts w:hint="eastAsia" w:ascii="仿宋_GB2312" w:eastAsia="仿宋_GB2312" w:cs="DengXian-Regular"/>
          <w:color w:val="auto"/>
          <w:sz w:val="32"/>
          <w:szCs w:val="32"/>
          <w:highlight w:val="none"/>
          <w:lang w:val="en-US" w:eastAsia="zh-CN"/>
        </w:rPr>
        <w:t>0万元，增长0%，主要是2018年也无因公出国事项</w:t>
      </w:r>
      <w:r>
        <w:rPr>
          <w:rFonts w:hint="eastAsia" w:ascii="仿宋_GB2312" w:hAnsi="Times New Roman" w:eastAsia="仿宋_GB2312" w:cs="DengXian-Regular"/>
          <w:color w:val="auto"/>
          <w:sz w:val="32"/>
          <w:szCs w:val="32"/>
          <w:highlight w:val="none"/>
        </w:rPr>
        <w:t>。</w:t>
      </w:r>
    </w:p>
    <w:p>
      <w:pPr>
        <w:adjustRightInd w:val="0"/>
        <w:snapToGrid w:val="0"/>
        <w:spacing w:line="580" w:lineRule="exact"/>
        <w:ind w:firstLine="643" w:firstLineChars="200"/>
        <w:rPr>
          <w:rFonts w:ascii="仿宋_GB2312" w:hAnsi="Times New Roman" w:eastAsia="仿宋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（二）公务用车购置及运行维护费支出</w:t>
      </w:r>
      <w:r>
        <w:rPr>
          <w:rFonts w:hint="eastAsia" w:ascii="楷体_GB2312" w:hAnsi="Times New Roman" w:eastAsia="楷体_GB2312" w:cs="DengXian-Bold"/>
          <w:b/>
          <w:bCs/>
          <w:color w:val="auto"/>
          <w:sz w:val="32"/>
          <w:szCs w:val="32"/>
          <w:highlight w:val="none"/>
          <w:lang w:val="en-US" w:eastAsia="zh-CN"/>
        </w:rPr>
        <w:t>2.16</w:t>
      </w:r>
      <w:r>
        <w:rPr>
          <w:rFonts w:hint="eastAsia" w:ascii="楷体_GB2312" w:hAnsi="Times New Roman" w:eastAsia="楷体_GB2312" w:cs="DengXian-Bold"/>
          <w:b/>
          <w:bCs/>
          <w:color w:val="auto"/>
          <w:sz w:val="32"/>
          <w:szCs w:val="32"/>
          <w:highlight w:val="none"/>
        </w:rPr>
        <w:t>万元。</w:t>
      </w:r>
      <w:r>
        <w:rPr>
          <w:rFonts w:hint="eastAsia" w:ascii="仿宋_GB2312" w:hAnsi="Times New Roman" w:eastAsia="仿宋_GB2312" w:cs="DengXian-Regular"/>
          <w:color w:val="auto"/>
          <w:sz w:val="32"/>
          <w:szCs w:val="32"/>
          <w:highlight w:val="none"/>
        </w:rPr>
        <w:t>本部门2019年度公务用车购置及运行维护费较预算减少</w:t>
      </w:r>
      <w:r>
        <w:rPr>
          <w:rFonts w:hint="eastAsia" w:ascii="仿宋_GB2312" w:hAnsi="Times New Roman" w:eastAsia="仿宋_GB2312" w:cs="DengXian-Regular"/>
          <w:color w:val="auto"/>
          <w:sz w:val="32"/>
          <w:szCs w:val="32"/>
          <w:highlight w:val="none"/>
          <w:lang w:val="en-US" w:eastAsia="zh-CN"/>
        </w:rPr>
        <w:t>0.04</w:t>
      </w:r>
      <w:r>
        <w:rPr>
          <w:rFonts w:hint="eastAsia" w:ascii="仿宋_GB2312" w:hAnsi="Times New Roman" w:eastAsia="仿宋_GB2312" w:cs="DengXian-Regular"/>
          <w:color w:val="auto"/>
          <w:sz w:val="32"/>
          <w:szCs w:val="32"/>
          <w:highlight w:val="none"/>
        </w:rPr>
        <w:t>万元，降低</w:t>
      </w:r>
      <w:r>
        <w:rPr>
          <w:rFonts w:hint="eastAsia" w:ascii="仿宋_GB2312" w:hAnsi="Times New Roman" w:eastAsia="仿宋_GB2312" w:cs="DengXian-Regular"/>
          <w:color w:val="auto"/>
          <w:sz w:val="32"/>
          <w:szCs w:val="32"/>
          <w:highlight w:val="none"/>
          <w:lang w:val="en-US" w:eastAsia="zh-CN"/>
        </w:rPr>
        <w:t>1.8</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eastAsia="zh-CN"/>
        </w:rPr>
        <w:t>实际支出较年初预算少</w:t>
      </w:r>
      <w:r>
        <w:rPr>
          <w:rFonts w:hint="eastAsia" w:ascii="仿宋_GB2312" w:hAnsi="Times New Roman" w:eastAsia="仿宋_GB2312" w:cs="DengXian-Regular"/>
          <w:color w:val="auto"/>
          <w:sz w:val="32"/>
          <w:szCs w:val="32"/>
          <w:highlight w:val="none"/>
          <w:lang w:val="en-US" w:eastAsia="zh-CN"/>
        </w:rPr>
        <w:t>;较上年增加2.16万元，增长216%，主要是2018年度“三公”经费未列入单位年初预算</w:t>
      </w:r>
      <w:r>
        <w:rPr>
          <w:rFonts w:hint="eastAsia" w:ascii="仿宋_GB2312" w:hAnsi="Times New Roman" w:eastAsia="仿宋_GB2312" w:cs="DengXian-Regular"/>
          <w:color w:val="auto"/>
          <w:sz w:val="32"/>
          <w:szCs w:val="32"/>
          <w:highlight w:val="none"/>
        </w:rPr>
        <w:t>。</w:t>
      </w:r>
      <w:r>
        <w:rPr>
          <w:rFonts w:hint="eastAsia" w:ascii="仿宋_GB2312" w:hAnsi="Times New Roman" w:eastAsia="仿宋_GB2312" w:cs="DengXian-Bold"/>
          <w:b/>
          <w:bCs/>
          <w:color w:val="auto"/>
          <w:sz w:val="32"/>
          <w:szCs w:val="32"/>
          <w:highlight w:val="none"/>
        </w:rPr>
        <w:t>其中：</w:t>
      </w:r>
    </w:p>
    <w:p>
      <w:pPr>
        <w:adjustRightInd w:val="0"/>
        <w:snapToGrid w:val="0"/>
        <w:spacing w:line="580" w:lineRule="exact"/>
        <w:ind w:firstLine="643"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b/>
          <w:color w:val="auto"/>
          <w:sz w:val="32"/>
          <w:szCs w:val="32"/>
          <w:highlight w:val="none"/>
        </w:rPr>
        <w:t>公务用车购置费：</w:t>
      </w:r>
      <w:r>
        <w:rPr>
          <w:rFonts w:hint="eastAsia" w:ascii="仿宋_GB2312" w:hAnsi="Times New Roman" w:eastAsia="仿宋_GB2312" w:cs="DengXian-Regular"/>
          <w:color w:val="auto"/>
          <w:sz w:val="32"/>
          <w:szCs w:val="32"/>
          <w:highlight w:val="none"/>
        </w:rPr>
        <w:t>本部门2019年度公务用车购置量</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辆，发生“公务用车购置”经费支出</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万元。公务用车购置费支出较预算增加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万元，增长</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val="en-US" w:eastAsia="zh-CN"/>
        </w:rPr>
        <w:t>2019年无公务用车购置事项</w:t>
      </w:r>
      <w:r>
        <w:rPr>
          <w:rFonts w:hint="eastAsia" w:ascii="仿宋_GB2312" w:hAnsi="Times New Roman" w:eastAsia="仿宋_GB2312" w:cs="DengXian-Regular"/>
          <w:color w:val="auto"/>
          <w:sz w:val="32"/>
          <w:szCs w:val="32"/>
          <w:highlight w:val="none"/>
          <w:lang w:eastAsia="zh-CN"/>
        </w:rPr>
        <w:t>；较上年增加</w:t>
      </w:r>
      <w:r>
        <w:rPr>
          <w:rFonts w:hint="eastAsia" w:ascii="仿宋_GB2312" w:hAnsi="Times New Roman" w:eastAsia="仿宋_GB2312" w:cs="DengXian-Regular"/>
          <w:color w:val="auto"/>
          <w:sz w:val="32"/>
          <w:szCs w:val="32"/>
          <w:highlight w:val="none"/>
          <w:lang w:val="en-US" w:eastAsia="zh-CN"/>
        </w:rPr>
        <w:t>0万元，增长0%，主要是2018年无公务用车购置事项</w:t>
      </w:r>
      <w:r>
        <w:rPr>
          <w:rFonts w:hint="eastAsia" w:ascii="仿宋_GB2312" w:hAnsi="Times New Roman" w:eastAsia="仿宋_GB2312" w:cs="DengXian-Regular"/>
          <w:color w:val="auto"/>
          <w:sz w:val="32"/>
          <w:szCs w:val="32"/>
          <w:highlight w:val="none"/>
        </w:rPr>
        <w:t>。</w:t>
      </w:r>
    </w:p>
    <w:p>
      <w:pPr>
        <w:adjustRightInd w:val="0"/>
        <w:snapToGrid w:val="0"/>
        <w:spacing w:line="580" w:lineRule="exact"/>
        <w:ind w:firstLine="643" w:firstLineChars="200"/>
        <w:rPr>
          <w:rFonts w:hint="eastAsia" w:ascii="仿宋_GB2312" w:hAnsi="Times New Roman" w:eastAsia="仿宋_GB2312" w:cs="DengXian-Regular"/>
          <w:color w:val="auto"/>
          <w:sz w:val="32"/>
          <w:szCs w:val="32"/>
          <w:highlight w:val="none"/>
          <w:lang w:eastAsia="zh-CN"/>
        </w:rPr>
      </w:pPr>
      <w:r>
        <w:rPr>
          <w:rFonts w:hint="eastAsia" w:ascii="仿宋_GB2312" w:hAnsi="Times New Roman" w:eastAsia="仿宋_GB2312" w:cs="DengXian-Regular"/>
          <w:b/>
          <w:color w:val="auto"/>
          <w:sz w:val="32"/>
          <w:szCs w:val="32"/>
          <w:highlight w:val="none"/>
        </w:rPr>
        <w:t>公务用车运行维护费：</w:t>
      </w:r>
      <w:r>
        <w:rPr>
          <w:rFonts w:hint="eastAsia" w:ascii="仿宋_GB2312" w:hAnsi="Times New Roman" w:eastAsia="仿宋_GB2312" w:cs="DengXian-Regular"/>
          <w:color w:val="auto"/>
          <w:sz w:val="32"/>
          <w:szCs w:val="32"/>
          <w:highlight w:val="none"/>
        </w:rPr>
        <w:t>本部门2019年度单位公务用车保有量</w:t>
      </w:r>
      <w:r>
        <w:rPr>
          <w:rFonts w:hint="eastAsia" w:ascii="仿宋_GB2312" w:hAnsi="Times New Roman" w:eastAsia="仿宋_GB2312" w:cs="DengXian-Regular"/>
          <w:color w:val="auto"/>
          <w:sz w:val="32"/>
          <w:szCs w:val="32"/>
          <w:highlight w:val="none"/>
          <w:lang w:val="en-US" w:eastAsia="zh-CN"/>
        </w:rPr>
        <w:t>1</w:t>
      </w:r>
      <w:r>
        <w:rPr>
          <w:rFonts w:hint="eastAsia" w:ascii="仿宋_GB2312" w:hAnsi="Times New Roman" w:eastAsia="仿宋_GB2312" w:cs="DengXian-Regular"/>
          <w:color w:val="auto"/>
          <w:sz w:val="32"/>
          <w:szCs w:val="32"/>
          <w:highlight w:val="none"/>
        </w:rPr>
        <w:t>辆。公车运行维护费支出较预算减少</w:t>
      </w:r>
      <w:r>
        <w:rPr>
          <w:rFonts w:hint="eastAsia" w:ascii="仿宋_GB2312" w:hAnsi="Times New Roman" w:eastAsia="仿宋_GB2312" w:cs="DengXian-Regular"/>
          <w:color w:val="auto"/>
          <w:sz w:val="32"/>
          <w:szCs w:val="32"/>
          <w:highlight w:val="none"/>
          <w:lang w:val="en-US" w:eastAsia="zh-CN"/>
        </w:rPr>
        <w:t>0.04</w:t>
      </w:r>
      <w:r>
        <w:rPr>
          <w:rFonts w:hint="eastAsia" w:ascii="仿宋_GB2312" w:hAnsi="Times New Roman" w:eastAsia="仿宋_GB2312" w:cs="DengXian-Regular"/>
          <w:color w:val="auto"/>
          <w:sz w:val="32"/>
          <w:szCs w:val="32"/>
          <w:highlight w:val="none"/>
        </w:rPr>
        <w:t>万元，降低</w:t>
      </w:r>
      <w:r>
        <w:rPr>
          <w:rFonts w:hint="eastAsia" w:ascii="仿宋_GB2312" w:hAnsi="Times New Roman" w:eastAsia="仿宋_GB2312" w:cs="DengXian-Regular"/>
          <w:color w:val="auto"/>
          <w:sz w:val="32"/>
          <w:szCs w:val="32"/>
          <w:highlight w:val="none"/>
          <w:lang w:val="en-US" w:eastAsia="zh-CN"/>
        </w:rPr>
        <w:t>1.8</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eastAsia="zh-CN"/>
        </w:rPr>
        <w:t>实际支出较年初预算少；较上年增加</w:t>
      </w:r>
      <w:r>
        <w:rPr>
          <w:rFonts w:hint="eastAsia" w:ascii="仿宋_GB2312" w:hAnsi="Times New Roman" w:eastAsia="仿宋_GB2312" w:cs="DengXian-Regular"/>
          <w:color w:val="auto"/>
          <w:sz w:val="32"/>
          <w:szCs w:val="32"/>
          <w:highlight w:val="none"/>
          <w:lang w:val="en-US" w:eastAsia="zh-CN"/>
        </w:rPr>
        <w:t>2.16万元，增长216%，主要是2018年度“三公”经费未列入单位年初预算</w:t>
      </w:r>
      <w:r>
        <w:rPr>
          <w:rFonts w:hint="eastAsia" w:ascii="仿宋_GB2312" w:hAnsi="Times New Roman" w:eastAsia="仿宋_GB2312" w:cs="DengXian-Regular"/>
          <w:color w:val="auto"/>
          <w:sz w:val="32"/>
          <w:szCs w:val="32"/>
          <w:highlight w:val="none"/>
          <w:lang w:eastAsia="zh-CN"/>
        </w:rPr>
        <w:t>。</w:t>
      </w:r>
    </w:p>
    <w:p>
      <w:pPr>
        <w:adjustRightInd w:val="0"/>
        <w:snapToGrid w:val="0"/>
        <w:spacing w:line="580" w:lineRule="exact"/>
        <w:ind w:firstLine="643" w:firstLineChars="200"/>
        <w:rPr>
          <w:rFonts w:ascii="仿宋_GB2312" w:hAnsi="Times New Roman" w:eastAsia="仿宋_GB2312" w:cs="DengXian-Regular"/>
          <w:color w:val="auto"/>
          <w:sz w:val="32"/>
          <w:szCs w:val="32"/>
          <w:highlight w:val="none"/>
        </w:rPr>
      </w:pPr>
      <w:r>
        <w:rPr>
          <w:rFonts w:hint="eastAsia" w:ascii="楷体_GB2312" w:hAnsi="Times New Roman" w:eastAsia="楷体_GB2312" w:cs="DengXian-Bold"/>
          <w:b/>
          <w:bCs/>
          <w:color w:val="auto"/>
          <w:sz w:val="32"/>
          <w:szCs w:val="32"/>
          <w:highlight w:val="none"/>
        </w:rPr>
        <w:t>（三）公务接待费支出</w:t>
      </w:r>
      <w:r>
        <w:rPr>
          <w:rFonts w:hint="eastAsia" w:ascii="楷体_GB2312" w:hAnsi="Times New Roman" w:eastAsia="楷体_GB2312" w:cs="DengXian-Bold"/>
          <w:b/>
          <w:bCs/>
          <w:color w:val="auto"/>
          <w:sz w:val="32"/>
          <w:szCs w:val="32"/>
          <w:highlight w:val="none"/>
          <w:lang w:val="en-US" w:eastAsia="zh-CN"/>
        </w:rPr>
        <w:t>0</w:t>
      </w:r>
      <w:r>
        <w:rPr>
          <w:rFonts w:hint="eastAsia" w:ascii="楷体_GB2312" w:hAnsi="Times New Roman" w:eastAsia="楷体_GB2312" w:cs="DengXian-Bold"/>
          <w:b/>
          <w:bCs/>
          <w:color w:val="auto"/>
          <w:sz w:val="32"/>
          <w:szCs w:val="32"/>
          <w:highlight w:val="none"/>
        </w:rPr>
        <w:t>万元。</w:t>
      </w:r>
      <w:r>
        <w:rPr>
          <w:rFonts w:hint="eastAsia" w:ascii="仿宋_GB2312" w:hAnsi="Times New Roman" w:eastAsia="仿宋_GB2312" w:cs="DengXian-Regular"/>
          <w:color w:val="auto"/>
          <w:sz w:val="32"/>
          <w:szCs w:val="32"/>
          <w:highlight w:val="none"/>
        </w:rPr>
        <w:t>本部门2019年度公务接待共</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批次、</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人次。公务接待费支出较预算减少</w:t>
      </w:r>
      <w:r>
        <w:rPr>
          <w:rFonts w:hint="eastAsia" w:ascii="仿宋_GB2312" w:hAnsi="Times New Roman" w:eastAsia="仿宋_GB2312" w:cs="DengXian-Regular"/>
          <w:color w:val="auto"/>
          <w:sz w:val="32"/>
          <w:szCs w:val="32"/>
          <w:highlight w:val="none"/>
          <w:lang w:val="en-US" w:eastAsia="zh-CN"/>
        </w:rPr>
        <w:t>0.26</w:t>
      </w:r>
      <w:r>
        <w:rPr>
          <w:rFonts w:hint="eastAsia" w:ascii="仿宋_GB2312" w:hAnsi="Times New Roman" w:eastAsia="仿宋_GB2312" w:cs="DengXian-Regular"/>
          <w:color w:val="auto"/>
          <w:sz w:val="32"/>
          <w:szCs w:val="32"/>
          <w:highlight w:val="none"/>
        </w:rPr>
        <w:t>万元，降低</w:t>
      </w:r>
      <w:r>
        <w:rPr>
          <w:rFonts w:hint="eastAsia" w:ascii="仿宋_GB2312" w:hAnsi="Times New Roman" w:eastAsia="仿宋_GB2312" w:cs="DengXian-Regular"/>
          <w:color w:val="auto"/>
          <w:sz w:val="32"/>
          <w:szCs w:val="32"/>
          <w:highlight w:val="none"/>
          <w:lang w:val="en-US" w:eastAsia="zh-CN"/>
        </w:rPr>
        <w:t>100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val="en-US" w:eastAsia="zh-CN"/>
        </w:rPr>
        <w:t>2019年度</w:t>
      </w:r>
      <w:r>
        <w:rPr>
          <w:rFonts w:hint="eastAsia" w:ascii="仿宋_GB2312" w:hAnsi="Times New Roman" w:eastAsia="仿宋_GB2312" w:cs="DengXian-Regular"/>
          <w:color w:val="auto"/>
          <w:sz w:val="32"/>
          <w:szCs w:val="32"/>
          <w:highlight w:val="none"/>
          <w:lang w:eastAsia="zh-CN"/>
        </w:rPr>
        <w:t>未发生有关业务；较上年度减少</w:t>
      </w:r>
      <w:r>
        <w:rPr>
          <w:rFonts w:hint="eastAsia" w:ascii="仿宋_GB2312" w:hAnsi="Times New Roman" w:eastAsia="仿宋_GB2312" w:cs="DengXian-Regular"/>
          <w:color w:val="auto"/>
          <w:sz w:val="32"/>
          <w:szCs w:val="32"/>
          <w:highlight w:val="none"/>
          <w:lang w:val="en-US" w:eastAsia="zh-CN"/>
        </w:rPr>
        <w:t>0万元，降低0%，主要是2018年度未发生有关业务</w:t>
      </w:r>
      <w:r>
        <w:rPr>
          <w:rFonts w:hint="eastAsia" w:ascii="仿宋_GB2312" w:hAnsi="Times New Roman" w:eastAsia="仿宋_GB2312" w:cs="DengXian-Regular"/>
          <w:color w:val="auto"/>
          <w:sz w:val="32"/>
          <w:szCs w:val="32"/>
          <w:highlight w:val="none"/>
        </w:rPr>
        <w:t>。</w:t>
      </w:r>
    </w:p>
    <w:p>
      <w:pPr>
        <w:adjustRightInd w:val="0"/>
        <w:snapToGrid w:val="0"/>
        <w:spacing w:line="580" w:lineRule="exact"/>
        <w:ind w:firstLine="640" w:firstLineChars="200"/>
        <w:rPr>
          <w:rFonts w:ascii="黑体" w:hAnsi="Times New Roman" w:eastAsia="黑体" w:cs="Times New Roman"/>
          <w:color w:val="auto"/>
          <w:sz w:val="32"/>
          <w:szCs w:val="40"/>
          <w:highlight w:val="none"/>
        </w:rPr>
      </w:pPr>
      <w:r>
        <w:rPr>
          <w:rFonts w:hint="eastAsia" w:ascii="黑体" w:hAnsi="Times New Roman" w:eastAsia="黑体" w:cs="Times New Roman"/>
          <w:color w:val="auto"/>
          <w:sz w:val="32"/>
          <w:szCs w:val="40"/>
          <w:highlight w:val="none"/>
        </w:rPr>
        <w:t>六、预算绩效情况说明</w:t>
      </w:r>
    </w:p>
    <w:p>
      <w:pPr>
        <w:adjustRightInd w:val="0"/>
        <w:snapToGrid w:val="0"/>
        <w:spacing w:line="580" w:lineRule="exact"/>
        <w:ind w:firstLine="643" w:firstLineChars="200"/>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1. 预算绩效管理工作开展情况。</w:t>
      </w:r>
    </w:p>
    <w:p>
      <w:pPr>
        <w:adjustRightInd w:val="0"/>
        <w:snapToGrid w:val="0"/>
        <w:spacing w:line="58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根据预算绩效管理要求，本部门组织对2019年度一般公共预算项目支出全面开展绩效自评，其中，一级项目</w:t>
      </w:r>
      <w:r>
        <w:rPr>
          <w:rFonts w:hint="eastAsia" w:ascii="仿宋_GB2312" w:hAnsi="仿宋_GB2312" w:eastAsia="仿宋_GB2312" w:cs="仿宋_GB2312"/>
          <w:color w:val="auto"/>
          <w:sz w:val="32"/>
          <w:szCs w:val="32"/>
          <w:highlight w:val="none"/>
          <w:lang w:val="en-US" w:eastAsia="zh-CN"/>
        </w:rPr>
        <w:t>21</w:t>
      </w:r>
      <w:r>
        <w:rPr>
          <w:rFonts w:hint="eastAsia" w:ascii="仿宋_GB2312" w:hAnsi="仿宋_GB2312" w:eastAsia="仿宋_GB2312" w:cs="仿宋_GB2312"/>
          <w:color w:val="auto"/>
          <w:sz w:val="32"/>
          <w:szCs w:val="32"/>
          <w:highlight w:val="none"/>
        </w:rPr>
        <w:t>个，二级项目</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个，共涉及资金</w:t>
      </w:r>
      <w:r>
        <w:rPr>
          <w:rFonts w:hint="eastAsia" w:ascii="仿宋_GB2312" w:hAnsi="仿宋_GB2312" w:eastAsia="仿宋_GB2312" w:cs="仿宋_GB2312"/>
          <w:color w:val="auto"/>
          <w:sz w:val="32"/>
          <w:szCs w:val="32"/>
          <w:highlight w:val="none"/>
          <w:lang w:val="en-US" w:eastAsia="zh-CN"/>
        </w:rPr>
        <w:t>1540.99</w:t>
      </w:r>
      <w:r>
        <w:rPr>
          <w:rFonts w:hint="eastAsia" w:ascii="仿宋_GB2312" w:hAnsi="仿宋_GB2312" w:eastAsia="仿宋_GB2312" w:cs="仿宋_GB2312"/>
          <w:color w:val="auto"/>
          <w:sz w:val="32"/>
          <w:szCs w:val="32"/>
          <w:highlight w:val="none"/>
        </w:rPr>
        <w:t>万元，占一般公共预算项目支出总额的</w:t>
      </w:r>
      <w:r>
        <w:rPr>
          <w:rFonts w:hint="eastAsia" w:ascii="仿宋_GB2312" w:hAnsi="仿宋_GB2312" w:eastAsia="仿宋_GB2312" w:cs="仿宋_GB2312"/>
          <w:color w:val="auto"/>
          <w:sz w:val="32"/>
          <w:szCs w:val="32"/>
          <w:highlight w:val="none"/>
          <w:lang w:val="en-US" w:eastAsia="zh-CN"/>
        </w:rPr>
        <w:t>28.40%</w:t>
      </w:r>
      <w:r>
        <w:rPr>
          <w:rFonts w:hint="eastAsia" w:ascii="仿宋_GB2312" w:hAnsi="仿宋_GB2312" w:eastAsia="仿宋_GB2312" w:cs="仿宋_GB2312"/>
          <w:color w:val="auto"/>
          <w:sz w:val="32"/>
          <w:szCs w:val="32"/>
          <w:highlight w:val="none"/>
        </w:rPr>
        <w:t>。组织对“藁城区工信局煤改电2018-2019年采暖季运行补贴”“藁城区工信局压减水泥产能奖补资金150万元”等</w:t>
      </w:r>
      <w:r>
        <w:rPr>
          <w:rFonts w:hint="eastAsia" w:ascii="仿宋_GB2312" w:hAnsi="仿宋_GB2312" w:eastAsia="仿宋_GB2312" w:cs="仿宋_GB2312"/>
          <w:color w:val="auto"/>
          <w:sz w:val="32"/>
          <w:szCs w:val="32"/>
          <w:highlight w:val="none"/>
          <w:lang w:val="en-US" w:eastAsia="zh-CN"/>
        </w:rPr>
        <w:t>21</w:t>
      </w:r>
      <w:r>
        <w:rPr>
          <w:rFonts w:hint="eastAsia" w:ascii="仿宋_GB2312" w:hAnsi="仿宋_GB2312" w:eastAsia="仿宋_GB2312" w:cs="仿宋_GB2312"/>
          <w:color w:val="auto"/>
          <w:sz w:val="32"/>
          <w:szCs w:val="32"/>
          <w:highlight w:val="none"/>
        </w:rPr>
        <w:t>个项目开展了部门评价，涉及一般公共预算支出</w:t>
      </w:r>
      <w:r>
        <w:rPr>
          <w:rFonts w:hint="eastAsia" w:ascii="仿宋_GB2312" w:hAnsi="仿宋_GB2312" w:eastAsia="仿宋_GB2312" w:cs="仿宋_GB2312"/>
          <w:color w:val="auto"/>
          <w:sz w:val="32"/>
          <w:szCs w:val="32"/>
          <w:highlight w:val="none"/>
          <w:lang w:val="en-US" w:eastAsia="zh-CN"/>
        </w:rPr>
        <w:t>1540.99</w:t>
      </w:r>
      <w:r>
        <w:rPr>
          <w:rFonts w:hint="eastAsia" w:ascii="仿宋_GB2312" w:hAnsi="仿宋_GB2312" w:eastAsia="仿宋_GB2312" w:cs="仿宋_GB2312"/>
          <w:color w:val="auto"/>
          <w:sz w:val="32"/>
          <w:szCs w:val="32"/>
          <w:highlight w:val="none"/>
        </w:rPr>
        <w:t>万元，政府性基金预算支出</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万元。</w:t>
      </w:r>
    </w:p>
    <w:p>
      <w:pPr>
        <w:adjustRightInd w:val="0"/>
        <w:snapToGrid w:val="0"/>
        <w:spacing w:line="580" w:lineRule="exact"/>
        <w:ind w:left="420" w:leftChars="200" w:firstLine="321" w:firstLineChars="100"/>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2. 部门决算中项目绩效自评结果。</w:t>
      </w:r>
    </w:p>
    <w:p>
      <w:pPr>
        <w:adjustRightInd w:val="0"/>
        <w:snapToGrid w:val="0"/>
        <w:spacing w:line="58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本部门在今年部门决算公开中反映藁城区煤改电2018-2019年采暖季运行补贴项目及华北制药有限公司倍达分厂技术升级项目等</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color w:val="auto"/>
          <w:sz w:val="32"/>
          <w:szCs w:val="32"/>
          <w:highlight w:val="none"/>
        </w:rPr>
      </w:pPr>
      <w:r>
        <w:rPr>
          <w:rFonts w:hint="eastAsia" w:ascii="仿宋_GB2312" w:eastAsia="仿宋_GB2312"/>
          <w:sz w:val="32"/>
          <w:szCs w:val="32"/>
          <w:lang w:eastAsia="zh-CN"/>
        </w:rPr>
        <w:t>藁城区煤改电</w:t>
      </w:r>
      <w:r>
        <w:rPr>
          <w:rFonts w:hint="eastAsia" w:ascii="仿宋_GB2312" w:eastAsia="仿宋_GB2312"/>
          <w:sz w:val="32"/>
          <w:szCs w:val="32"/>
          <w:lang w:val="en-US" w:eastAsia="zh-CN"/>
        </w:rPr>
        <w:t>2018-2019年采暖季运行补贴</w:t>
      </w:r>
      <w:r>
        <w:rPr>
          <w:rFonts w:hint="eastAsia" w:ascii="仿宋_GB2312" w:hAnsi="仿宋_GB2312" w:eastAsia="仿宋_GB2312" w:cs="仿宋_GB2312"/>
          <w:color w:val="auto"/>
          <w:sz w:val="32"/>
          <w:szCs w:val="32"/>
          <w:highlight w:val="none"/>
        </w:rPr>
        <w:t>项目自评综述：根据年初设定的绩效目标，</w:t>
      </w:r>
      <w:r>
        <w:rPr>
          <w:rFonts w:hint="eastAsia" w:ascii="仿宋_GB2312" w:eastAsia="仿宋_GB2312"/>
          <w:sz w:val="32"/>
          <w:szCs w:val="32"/>
          <w:lang w:eastAsia="zh-CN"/>
        </w:rPr>
        <w:t>藁城区煤改电</w:t>
      </w:r>
      <w:r>
        <w:rPr>
          <w:rFonts w:hint="eastAsia" w:ascii="仿宋_GB2312" w:eastAsia="仿宋_GB2312"/>
          <w:sz w:val="32"/>
          <w:szCs w:val="32"/>
          <w:lang w:val="en-US" w:eastAsia="zh-CN"/>
        </w:rPr>
        <w:t>2018-2019年采暖季运行补贴</w:t>
      </w:r>
      <w:r>
        <w:rPr>
          <w:rFonts w:hint="eastAsia" w:ascii="仿宋_GB2312" w:hAnsi="仿宋_GB2312" w:eastAsia="仿宋_GB2312" w:cs="仿宋_GB2312"/>
          <w:color w:val="auto"/>
          <w:sz w:val="32"/>
          <w:szCs w:val="32"/>
          <w:highlight w:val="none"/>
        </w:rPr>
        <w:t>项目绩效自评得分为</w:t>
      </w:r>
      <w:r>
        <w:rPr>
          <w:rFonts w:hint="eastAsia" w:ascii="仿宋_GB2312" w:hAnsi="仿宋_GB2312" w:eastAsia="仿宋_GB2312" w:cs="仿宋_GB2312"/>
          <w:color w:val="auto"/>
          <w:sz w:val="32"/>
          <w:szCs w:val="32"/>
          <w:highlight w:val="none"/>
          <w:lang w:val="en-US" w:eastAsia="zh-CN"/>
        </w:rPr>
        <w:t>90</w:t>
      </w:r>
      <w:r>
        <w:rPr>
          <w:rFonts w:hint="eastAsia" w:ascii="仿宋_GB2312" w:hAnsi="仿宋_GB2312" w:eastAsia="仿宋_GB2312" w:cs="仿宋_GB2312"/>
          <w:color w:val="auto"/>
          <w:sz w:val="32"/>
          <w:szCs w:val="32"/>
          <w:highlight w:val="none"/>
        </w:rPr>
        <w:t>分（绩效自评表附后）。全年预算数为205.23万元，执行数为205.23万元，完成预算的</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sz w:val="32"/>
          <w:szCs w:val="32"/>
          <w:highlight w:val="none"/>
        </w:rPr>
        <w:t>。项目绩效目标完成情况：一是减少散煤使用量</w:t>
      </w:r>
      <w:r>
        <w:rPr>
          <w:rFonts w:hint="eastAsia" w:ascii="仿宋_GB2312" w:hAnsi="仿宋_GB2312" w:eastAsia="仿宋_GB2312" w:cs="仿宋_GB2312"/>
          <w:color w:val="auto"/>
          <w:sz w:val="32"/>
          <w:szCs w:val="32"/>
          <w:highlight w:val="none"/>
          <w:lang w:val="en-US" w:eastAsia="zh-CN"/>
        </w:rPr>
        <w:t>30000吨</w:t>
      </w:r>
      <w:r>
        <w:rPr>
          <w:rFonts w:hint="eastAsia" w:ascii="仿宋_GB2312" w:hAnsi="仿宋_GB2312" w:eastAsia="仿宋_GB2312" w:cs="仿宋_GB2312"/>
          <w:color w:val="auto"/>
          <w:sz w:val="32"/>
          <w:szCs w:val="32"/>
          <w:highlight w:val="none"/>
        </w:rPr>
        <w:t>；二是</w:t>
      </w:r>
      <w:r>
        <w:rPr>
          <w:rFonts w:hint="eastAsia" w:ascii="仿宋_GB2312" w:hAnsi="仿宋_GB2312" w:eastAsia="仿宋_GB2312" w:cs="仿宋_GB2312"/>
          <w:color w:val="auto"/>
          <w:sz w:val="32"/>
          <w:szCs w:val="32"/>
          <w:highlight w:val="none"/>
          <w:lang w:eastAsia="zh-CN"/>
        </w:rPr>
        <w:t>减少了二氧化硫污染物排放；三是改善了居民生活水平</w:t>
      </w:r>
      <w:r>
        <w:rPr>
          <w:rFonts w:hint="eastAsia" w:ascii="仿宋_GB2312" w:hAnsi="仿宋_GB2312" w:eastAsia="仿宋_GB2312" w:cs="仿宋_GB2312"/>
          <w:color w:val="auto"/>
          <w:sz w:val="32"/>
          <w:szCs w:val="32"/>
          <w:highlight w:val="none"/>
        </w:rPr>
        <w:t>。发现的主要问题及原因：</w:t>
      </w:r>
      <w:r>
        <w:rPr>
          <w:rFonts w:hint="eastAsia" w:ascii="仿宋_GB2312" w:hAnsi="仿宋_GB2312" w:eastAsia="仿宋_GB2312" w:cs="仿宋_GB2312"/>
          <w:color w:val="auto"/>
          <w:sz w:val="32"/>
          <w:szCs w:val="32"/>
          <w:highlight w:val="none"/>
          <w:lang w:eastAsia="zh-CN"/>
        </w:rPr>
        <w:t>无</w:t>
      </w:r>
      <w:r>
        <w:rPr>
          <w:rFonts w:hint="eastAsia" w:ascii="仿宋_GB2312" w:hAnsi="仿宋_GB2312" w:eastAsia="仿宋_GB2312" w:cs="仿宋_GB2312"/>
          <w:color w:val="auto"/>
          <w:sz w:val="32"/>
          <w:szCs w:val="32"/>
          <w:highlight w:val="none"/>
        </w:rPr>
        <w:t>。下一步改进措施：</w:t>
      </w:r>
      <w:r>
        <w:rPr>
          <w:rFonts w:hint="eastAsia" w:ascii="仿宋_GB2312" w:hAnsi="仿宋_GB2312" w:eastAsia="仿宋_GB2312" w:cs="仿宋_GB2312"/>
          <w:color w:val="auto"/>
          <w:sz w:val="32"/>
          <w:szCs w:val="32"/>
          <w:highlight w:val="none"/>
          <w:lang w:eastAsia="zh-CN"/>
        </w:rPr>
        <w:t>无</w:t>
      </w:r>
      <w:r>
        <w:rPr>
          <w:rFonts w:hint="eastAsia" w:ascii="仿宋_GB2312" w:hAnsi="仿宋_GB2312" w:eastAsia="仿宋_GB2312" w:cs="仿宋_GB2312"/>
          <w:color w:val="auto"/>
          <w:sz w:val="32"/>
          <w:szCs w:val="32"/>
          <w:highlight w:val="none"/>
        </w:rPr>
        <w:t>。</w:t>
      </w:r>
    </w:p>
    <w:p>
      <w:pPr>
        <w:numPr>
          <w:ilvl w:val="0"/>
          <w:numId w:val="4"/>
        </w:numPr>
        <w:adjustRightInd w:val="0"/>
        <w:snapToGrid w:val="0"/>
        <w:spacing w:line="580" w:lineRule="exact"/>
        <w:ind w:firstLine="640" w:firstLineChars="200"/>
        <w:rPr>
          <w:rFonts w:ascii="仿宋_GB2312" w:hAnsi="仿宋_GB2312" w:eastAsia="仿宋_GB2312" w:cs="仿宋_GB2312"/>
          <w:color w:val="auto"/>
          <w:sz w:val="32"/>
          <w:szCs w:val="32"/>
          <w:highlight w:val="none"/>
        </w:rPr>
      </w:pPr>
      <w:r>
        <w:rPr>
          <w:rFonts w:hint="eastAsia" w:ascii="仿宋" w:hAnsi="仿宋" w:eastAsia="仿宋"/>
          <w:sz w:val="32"/>
          <w:szCs w:val="32"/>
          <w:lang w:eastAsia="zh-CN"/>
        </w:rPr>
        <w:t>华北制药有限公司倍达分厂技术升级</w:t>
      </w:r>
      <w:r>
        <w:rPr>
          <w:rFonts w:hint="eastAsia" w:ascii="仿宋_GB2312" w:hAnsi="仿宋_GB2312" w:eastAsia="仿宋_GB2312" w:cs="仿宋_GB2312"/>
          <w:color w:val="auto"/>
          <w:sz w:val="32"/>
          <w:szCs w:val="32"/>
          <w:highlight w:val="none"/>
        </w:rPr>
        <w:t>项目自评综述：根据年初设定的绩效目标，</w:t>
      </w:r>
      <w:r>
        <w:rPr>
          <w:rFonts w:hint="eastAsia" w:ascii="仿宋" w:hAnsi="仿宋" w:eastAsia="仿宋"/>
          <w:sz w:val="32"/>
          <w:szCs w:val="32"/>
          <w:lang w:eastAsia="zh-CN"/>
        </w:rPr>
        <w:t>华北制药有限公司倍达分厂技术升级</w:t>
      </w:r>
      <w:r>
        <w:rPr>
          <w:rFonts w:hint="eastAsia" w:ascii="仿宋_GB2312" w:hAnsi="仿宋_GB2312" w:eastAsia="仿宋_GB2312" w:cs="仿宋_GB2312"/>
          <w:color w:val="auto"/>
          <w:sz w:val="32"/>
          <w:szCs w:val="32"/>
          <w:highlight w:val="none"/>
        </w:rPr>
        <w:t>项目绩效自评得分为</w:t>
      </w:r>
      <w:r>
        <w:rPr>
          <w:rFonts w:hint="eastAsia" w:ascii="仿宋_GB2312" w:hAnsi="仿宋_GB2312" w:eastAsia="仿宋_GB2312" w:cs="仿宋_GB2312"/>
          <w:color w:val="auto"/>
          <w:sz w:val="32"/>
          <w:szCs w:val="32"/>
          <w:highlight w:val="none"/>
          <w:lang w:val="en-US" w:eastAsia="zh-CN"/>
        </w:rPr>
        <w:t>90</w:t>
      </w:r>
      <w:r>
        <w:rPr>
          <w:rFonts w:hint="eastAsia" w:ascii="仿宋_GB2312" w:hAnsi="仿宋_GB2312" w:eastAsia="仿宋_GB2312" w:cs="仿宋_GB2312"/>
          <w:color w:val="auto"/>
          <w:sz w:val="32"/>
          <w:szCs w:val="32"/>
          <w:highlight w:val="none"/>
        </w:rPr>
        <w:t>分（绩效自评表附后）。全年预算数为</w:t>
      </w:r>
      <w:r>
        <w:rPr>
          <w:rFonts w:hint="eastAsia" w:ascii="仿宋_GB2312" w:hAnsi="仿宋_GB2312" w:eastAsia="仿宋_GB2312" w:cs="仿宋_GB2312"/>
          <w:color w:val="auto"/>
          <w:sz w:val="32"/>
          <w:szCs w:val="32"/>
          <w:highlight w:val="none"/>
          <w:lang w:val="en-US" w:eastAsia="zh-CN"/>
        </w:rPr>
        <w:t>40</w:t>
      </w:r>
      <w:r>
        <w:rPr>
          <w:rFonts w:hint="eastAsia" w:ascii="仿宋_GB2312" w:hAnsi="仿宋_GB2312" w:eastAsia="仿宋_GB2312" w:cs="仿宋_GB2312"/>
          <w:color w:val="auto"/>
          <w:sz w:val="32"/>
          <w:szCs w:val="32"/>
          <w:highlight w:val="none"/>
        </w:rPr>
        <w:t>万元，执行数为</w:t>
      </w:r>
      <w:r>
        <w:rPr>
          <w:rFonts w:hint="eastAsia" w:ascii="仿宋_GB2312" w:hAnsi="仿宋_GB2312" w:eastAsia="仿宋_GB2312" w:cs="仿宋_GB2312"/>
          <w:color w:val="auto"/>
          <w:sz w:val="32"/>
          <w:szCs w:val="32"/>
          <w:highlight w:val="none"/>
          <w:lang w:val="en-US" w:eastAsia="zh-CN"/>
        </w:rPr>
        <w:t>40</w:t>
      </w:r>
      <w:r>
        <w:rPr>
          <w:rFonts w:hint="eastAsia" w:ascii="仿宋_GB2312" w:hAnsi="仿宋_GB2312" w:eastAsia="仿宋_GB2312" w:cs="仿宋_GB2312"/>
          <w:color w:val="auto"/>
          <w:sz w:val="32"/>
          <w:szCs w:val="32"/>
          <w:highlight w:val="none"/>
        </w:rPr>
        <w:t>万元，完成预算的</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sz w:val="32"/>
          <w:szCs w:val="32"/>
          <w:highlight w:val="none"/>
        </w:rPr>
        <w:t>。项目绩效目标完成情况：一是年节约能源消耗115吨标煤；二是</w:t>
      </w:r>
      <w:r>
        <w:rPr>
          <w:rFonts w:hint="eastAsia" w:ascii="仿宋_GB2312" w:hAnsi="仿宋_GB2312" w:eastAsia="仿宋_GB2312" w:cs="仿宋_GB2312"/>
          <w:color w:val="auto"/>
          <w:sz w:val="32"/>
          <w:szCs w:val="32"/>
          <w:highlight w:val="none"/>
          <w:lang w:eastAsia="zh-CN"/>
        </w:rPr>
        <w:t>减少排放氯代烷烃溶剂220吨；三是减少有毒有害气、液排放</w:t>
      </w:r>
      <w:r>
        <w:rPr>
          <w:rFonts w:hint="eastAsia" w:ascii="仿宋_GB2312" w:hAnsi="仿宋_GB2312" w:eastAsia="仿宋_GB2312" w:cs="仿宋_GB2312"/>
          <w:color w:val="auto"/>
          <w:sz w:val="32"/>
          <w:szCs w:val="32"/>
          <w:highlight w:val="none"/>
        </w:rPr>
        <w:t>。发现的主要问题及原因：</w:t>
      </w:r>
      <w:r>
        <w:rPr>
          <w:rFonts w:hint="eastAsia" w:ascii="仿宋_GB2312" w:hAnsi="仿宋_GB2312" w:eastAsia="仿宋_GB2312" w:cs="仿宋_GB2312"/>
          <w:color w:val="auto"/>
          <w:sz w:val="32"/>
          <w:szCs w:val="32"/>
          <w:highlight w:val="none"/>
          <w:lang w:eastAsia="zh-CN"/>
        </w:rPr>
        <w:t>无</w:t>
      </w:r>
      <w:r>
        <w:rPr>
          <w:rFonts w:hint="eastAsia" w:ascii="仿宋_GB2312" w:hAnsi="仿宋_GB2312" w:eastAsia="仿宋_GB2312" w:cs="仿宋_GB2312"/>
          <w:color w:val="auto"/>
          <w:sz w:val="32"/>
          <w:szCs w:val="32"/>
          <w:highlight w:val="none"/>
        </w:rPr>
        <w:t>。下一步改进措施：</w:t>
      </w:r>
      <w:r>
        <w:rPr>
          <w:rFonts w:hint="eastAsia" w:ascii="仿宋_GB2312" w:hAnsi="仿宋_GB2312" w:eastAsia="仿宋_GB2312" w:cs="仿宋_GB2312"/>
          <w:color w:val="auto"/>
          <w:sz w:val="32"/>
          <w:szCs w:val="32"/>
          <w:highlight w:val="none"/>
          <w:lang w:eastAsia="zh-CN"/>
        </w:rPr>
        <w:t>无</w:t>
      </w:r>
      <w:r>
        <w:rPr>
          <w:rFonts w:hint="eastAsia" w:ascii="仿宋_GB2312" w:hAnsi="仿宋_GB2312" w:eastAsia="仿宋_GB2312" w:cs="仿宋_GB2312"/>
          <w:color w:val="auto"/>
          <w:sz w:val="32"/>
          <w:szCs w:val="32"/>
          <w:highlight w:val="none"/>
        </w:rPr>
        <w:t>。</w:t>
      </w:r>
    </w:p>
    <w:p>
      <w:pPr>
        <w:widowControl w:val="0"/>
        <w:numPr>
          <w:ilvl w:val="0"/>
          <w:numId w:val="0"/>
        </w:numPr>
        <w:adjustRightInd w:val="0"/>
        <w:snapToGrid w:val="0"/>
        <w:spacing w:line="580" w:lineRule="exact"/>
        <w:jc w:val="both"/>
        <w:rPr>
          <w:rFonts w:hint="eastAsia" w:ascii="仿宋_GB2312" w:hAnsi="仿宋_GB2312" w:eastAsia="仿宋_GB2312" w:cs="仿宋_GB2312"/>
          <w:color w:val="auto"/>
          <w:sz w:val="32"/>
          <w:szCs w:val="32"/>
          <w:highlight w:val="none"/>
        </w:rPr>
      </w:pPr>
      <w:r>
        <w:drawing>
          <wp:anchor distT="0" distB="0" distL="114935" distR="114935" simplePos="0" relativeHeight="251683840" behindDoc="0" locked="0" layoutInCell="1" allowOverlap="1">
            <wp:simplePos x="0" y="0"/>
            <wp:positionH relativeFrom="column">
              <wp:posOffset>118745</wp:posOffset>
            </wp:positionH>
            <wp:positionV relativeFrom="paragraph">
              <wp:posOffset>339725</wp:posOffset>
            </wp:positionV>
            <wp:extent cx="5052060" cy="6172835"/>
            <wp:effectExtent l="0" t="0" r="15240" b="18415"/>
            <wp:wrapSquare wrapText="bothSides"/>
            <wp:docPr id="28" name="图片 1"/>
            <wp:cNvGraphicFramePr/>
            <a:graphic xmlns:a="http://schemas.openxmlformats.org/drawingml/2006/main">
              <a:graphicData uri="http://schemas.openxmlformats.org/drawingml/2006/picture">
                <pic:pic xmlns:pic="http://schemas.openxmlformats.org/drawingml/2006/picture">
                  <pic:nvPicPr>
                    <pic:cNvPr id="28" name="图片 1"/>
                    <pic:cNvPicPr/>
                  </pic:nvPicPr>
                  <pic:blipFill>
                    <a:blip r:embed="rId32"/>
                    <a:stretch>
                      <a:fillRect/>
                    </a:stretch>
                  </pic:blipFill>
                  <pic:spPr>
                    <a:xfrm>
                      <a:off x="0" y="0"/>
                      <a:ext cx="5052060" cy="6172835"/>
                    </a:xfrm>
                    <a:prstGeom prst="rect">
                      <a:avLst/>
                    </a:prstGeom>
                    <a:noFill/>
                    <a:ln>
                      <a:noFill/>
                    </a:ln>
                  </pic:spPr>
                </pic:pic>
              </a:graphicData>
            </a:graphic>
          </wp:anchor>
        </w:drawing>
      </w:r>
    </w:p>
    <w:p>
      <w:pPr>
        <w:widowControl w:val="0"/>
        <w:numPr>
          <w:ilvl w:val="0"/>
          <w:numId w:val="0"/>
        </w:numPr>
        <w:adjustRightInd w:val="0"/>
        <w:snapToGrid w:val="0"/>
        <w:spacing w:line="580" w:lineRule="exact"/>
        <w:jc w:val="both"/>
        <w:rPr>
          <w:rFonts w:hint="eastAsia" w:ascii="仿宋_GB2312" w:hAnsi="仿宋_GB2312" w:eastAsia="仿宋_GB2312" w:cs="仿宋_GB2312"/>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420" w:firstLineChars="200"/>
        <w:outlineLvl w:val="1"/>
        <w:rPr>
          <w:rFonts w:hint="eastAsia" w:ascii="黑体" w:hAnsi="Calibri" w:eastAsia="黑体" w:cs="Times New Roman"/>
          <w:color w:val="auto"/>
          <w:sz w:val="32"/>
          <w:szCs w:val="32"/>
          <w:highlight w:val="none"/>
        </w:rPr>
      </w:pPr>
      <w:r>
        <w:drawing>
          <wp:anchor distT="0" distB="0" distL="114935" distR="114935" simplePos="0" relativeHeight="251684864" behindDoc="0" locked="0" layoutInCell="1" allowOverlap="1">
            <wp:simplePos x="0" y="0"/>
            <wp:positionH relativeFrom="column">
              <wp:posOffset>163195</wp:posOffset>
            </wp:positionH>
            <wp:positionV relativeFrom="page">
              <wp:posOffset>1771650</wp:posOffset>
            </wp:positionV>
            <wp:extent cx="5033010" cy="7009765"/>
            <wp:effectExtent l="0" t="0" r="15240" b="635"/>
            <wp:wrapSquare wrapText="bothSides"/>
            <wp:docPr id="3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
                    <pic:cNvPicPr>
                      <a:picLocks noChangeAspect="1"/>
                    </pic:cNvPicPr>
                  </pic:nvPicPr>
                  <pic:blipFill>
                    <a:blip r:embed="rId33"/>
                    <a:stretch>
                      <a:fillRect/>
                    </a:stretch>
                  </pic:blipFill>
                  <pic:spPr>
                    <a:xfrm>
                      <a:off x="0" y="0"/>
                      <a:ext cx="5033010" cy="7009765"/>
                    </a:xfrm>
                    <a:prstGeom prst="rect">
                      <a:avLst/>
                    </a:prstGeom>
                    <a:noFill/>
                    <a:ln>
                      <a:noFill/>
                    </a:ln>
                  </pic:spPr>
                </pic:pic>
              </a:graphicData>
            </a:graphic>
          </wp:anchor>
        </w:drawing>
      </w: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ind w:firstLine="640" w:firstLineChars="200"/>
        <w:outlineLvl w:val="1"/>
        <w:rPr>
          <w:rFonts w:hint="eastAsia" w:ascii="黑体" w:hAnsi="Calibri" w:eastAsia="黑体" w:cs="Times New Roman"/>
          <w:color w:val="auto"/>
          <w:sz w:val="32"/>
          <w:szCs w:val="32"/>
          <w:highlight w:val="none"/>
        </w:rPr>
      </w:pPr>
    </w:p>
    <w:p>
      <w:pPr>
        <w:keepNext/>
        <w:keepLines/>
        <w:snapToGrid w:val="0"/>
        <w:spacing w:line="580" w:lineRule="exact"/>
        <w:outlineLvl w:val="1"/>
        <w:rPr>
          <w:rFonts w:hint="eastAsia" w:ascii="黑体" w:hAnsi="Calibri" w:eastAsia="黑体" w:cs="Times New Roman"/>
          <w:color w:val="auto"/>
          <w:sz w:val="32"/>
          <w:szCs w:val="32"/>
          <w:highlight w:val="none"/>
        </w:rPr>
      </w:pPr>
      <w:bookmarkStart w:id="0" w:name="_GoBack"/>
      <w:bookmarkEnd w:id="0"/>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lang w:val="en-US" w:eastAsia="zh-CN"/>
        </w:rPr>
      </w:pPr>
      <w:r>
        <w:rPr>
          <w:rFonts w:hint="eastAsia" w:ascii="仿宋_GB2312" w:hAnsi="Times New Roman" w:eastAsia="仿宋_GB2312" w:cs="DengXian-Regular"/>
          <w:color w:val="auto"/>
          <w:sz w:val="32"/>
          <w:szCs w:val="32"/>
          <w:highlight w:val="none"/>
          <w:lang w:val="en-US" w:eastAsia="zh-CN"/>
        </w:rPr>
        <w:t>无</w:t>
      </w:r>
    </w:p>
    <w:p>
      <w:pPr>
        <w:keepNext/>
        <w:keepLines/>
        <w:snapToGrid w:val="0"/>
        <w:spacing w:line="580" w:lineRule="exact"/>
        <w:ind w:firstLine="640" w:firstLineChars="200"/>
        <w:outlineLvl w:val="1"/>
        <w:rPr>
          <w:rFonts w:ascii="黑体" w:hAnsi="Calibri" w:eastAsia="黑体" w:cs="Times New Roman"/>
          <w:color w:val="auto"/>
          <w:sz w:val="32"/>
          <w:szCs w:val="32"/>
          <w:highlight w:val="none"/>
        </w:rPr>
      </w:pPr>
      <w:r>
        <w:rPr>
          <w:rFonts w:hint="eastAsia" w:ascii="黑体" w:hAnsi="Calibri" w:eastAsia="黑体" w:cs="Times New Roman"/>
          <w:color w:val="auto"/>
          <w:sz w:val="32"/>
          <w:szCs w:val="32"/>
          <w:highlight w:val="none"/>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（一）机关运行经费情况</w:t>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lang w:eastAsia="zh-CN"/>
        </w:rPr>
      </w:pPr>
      <w:r>
        <w:rPr>
          <w:rFonts w:hint="eastAsia" w:ascii="仿宋_GB2312" w:hAnsi="Times New Roman" w:eastAsia="仿宋_GB2312" w:cs="DengXian-Regular"/>
          <w:color w:val="auto"/>
          <w:sz w:val="32"/>
          <w:szCs w:val="32"/>
          <w:highlight w:val="none"/>
        </w:rPr>
        <w:t>本部门2019年度机关运行经费支出</w:t>
      </w:r>
      <w:r>
        <w:rPr>
          <w:rFonts w:hint="eastAsia" w:ascii="仿宋_GB2312" w:hAnsi="Times New Roman" w:eastAsia="仿宋_GB2312" w:cs="DengXian-Regular"/>
          <w:color w:val="auto"/>
          <w:sz w:val="32"/>
          <w:szCs w:val="32"/>
          <w:highlight w:val="none"/>
          <w:lang w:val="en-US" w:eastAsia="zh-CN"/>
        </w:rPr>
        <w:t>565.12</w:t>
      </w:r>
      <w:r>
        <w:rPr>
          <w:rFonts w:hint="eastAsia" w:ascii="仿宋_GB2312" w:hAnsi="Times New Roman" w:eastAsia="仿宋_GB2312" w:cs="DengXian-Regular"/>
          <w:color w:val="auto"/>
          <w:sz w:val="32"/>
          <w:szCs w:val="32"/>
          <w:highlight w:val="none"/>
        </w:rPr>
        <w:t>万元，比2018年度减少</w:t>
      </w:r>
      <w:r>
        <w:rPr>
          <w:rFonts w:hint="eastAsia" w:ascii="仿宋_GB2312" w:hAnsi="Times New Roman" w:eastAsia="仿宋_GB2312" w:cs="DengXian-Regular"/>
          <w:color w:val="auto"/>
          <w:sz w:val="32"/>
          <w:szCs w:val="32"/>
          <w:highlight w:val="none"/>
          <w:lang w:val="en-US" w:eastAsia="zh-CN"/>
        </w:rPr>
        <w:t>558.17</w:t>
      </w:r>
      <w:r>
        <w:rPr>
          <w:rFonts w:hint="eastAsia" w:ascii="仿宋_GB2312" w:hAnsi="Times New Roman" w:eastAsia="仿宋_GB2312" w:cs="DengXian-Regular"/>
          <w:color w:val="auto"/>
          <w:sz w:val="32"/>
          <w:szCs w:val="32"/>
          <w:highlight w:val="none"/>
        </w:rPr>
        <w:t>万元，降低</w:t>
      </w:r>
      <w:r>
        <w:rPr>
          <w:rFonts w:hint="eastAsia" w:ascii="仿宋_GB2312" w:hAnsi="Times New Roman" w:eastAsia="仿宋_GB2312" w:cs="DengXian-Regular"/>
          <w:color w:val="auto"/>
          <w:sz w:val="32"/>
          <w:szCs w:val="32"/>
          <w:highlight w:val="none"/>
          <w:lang w:val="en-US" w:eastAsia="zh-CN"/>
        </w:rPr>
        <w:t>49.70</w:t>
      </w:r>
      <w:r>
        <w:rPr>
          <w:rFonts w:hint="eastAsia" w:ascii="仿宋_GB2312" w:hAnsi="Times New Roman" w:eastAsia="仿宋_GB2312" w:cs="DengXian-Regular"/>
          <w:color w:val="auto"/>
          <w:sz w:val="32"/>
          <w:szCs w:val="32"/>
          <w:highlight w:val="none"/>
        </w:rPr>
        <w:t>%。主要原因是</w:t>
      </w:r>
      <w:r>
        <w:rPr>
          <w:rFonts w:hint="eastAsia" w:ascii="仿宋_GB2312" w:hAnsi="Times New Roman" w:eastAsia="仿宋_GB2312" w:cs="DengXian-Regular"/>
          <w:color w:val="auto"/>
          <w:sz w:val="32"/>
          <w:szCs w:val="32"/>
          <w:highlight w:val="none"/>
          <w:lang w:eastAsia="zh-CN"/>
        </w:rPr>
        <w:t>严格执行预算安排。</w:t>
      </w:r>
    </w:p>
    <w:p>
      <w:pPr>
        <w:keepNext/>
        <w:keepLines/>
        <w:snapToGrid w:val="0"/>
        <w:spacing w:line="580" w:lineRule="exact"/>
        <w:ind w:firstLine="643" w:firstLineChars="200"/>
        <w:outlineLvl w:val="2"/>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（二）政府采购情况</w:t>
      </w:r>
    </w:p>
    <w:p>
      <w:pPr>
        <w:snapToGrid w:val="0"/>
        <w:spacing w:line="580" w:lineRule="exact"/>
        <w:ind w:firstLine="640" w:firstLineChars="200"/>
        <w:jc w:val="left"/>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本部门2019年度政府采购支出总额</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万元，从采购类型来看，</w:t>
      </w:r>
      <w:r>
        <w:rPr>
          <w:rFonts w:ascii="仿宋_GB2312" w:hAnsi="仿宋_GB2312" w:eastAsia="仿宋_GB2312" w:cs="仿宋_GB2312"/>
          <w:color w:val="auto"/>
          <w:kern w:val="0"/>
          <w:sz w:val="32"/>
          <w:szCs w:val="32"/>
          <w:highlight w:val="none"/>
          <w:lang w:bidi="ar"/>
        </w:rPr>
        <w:t>政府采购货物支出</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 xml:space="preserve"> 万元、政府采购工程支出</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 xml:space="preserve">万元、政府采购服务支出 </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万元。授予中小企业合同金</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万元，占政府采购支出总额的</w:t>
      </w:r>
      <w:r>
        <w:rPr>
          <w:rFonts w:hint="eastAsia" w:ascii="仿宋_GB2312" w:hAnsi="仿宋_GB2312" w:eastAsia="仿宋_GB2312" w:cs="仿宋_GB2312"/>
          <w:color w:val="auto"/>
          <w:kern w:val="0"/>
          <w:sz w:val="32"/>
          <w:szCs w:val="32"/>
          <w:highlight w:val="none"/>
          <w:lang w:val="en-US" w:eastAsia="zh-CN" w:bidi="ar"/>
        </w:rPr>
        <w:t>0</w:t>
      </w:r>
      <w:r>
        <w:rPr>
          <w:rFonts w:hint="eastAsia" w:ascii="仿宋_GB2312" w:hAnsi="仿宋_GB2312" w:eastAsia="仿宋_GB2312" w:cs="仿宋_GB2312"/>
          <w:color w:val="auto"/>
          <w:kern w:val="0"/>
          <w:sz w:val="32"/>
          <w:szCs w:val="32"/>
          <w:highlight w:val="none"/>
          <w:lang w:bidi="ar"/>
        </w:rPr>
        <w:t>%，</w:t>
      </w:r>
      <w:r>
        <w:rPr>
          <w:rFonts w:ascii="仿宋_GB2312" w:hAnsi="仿宋_GB2312" w:eastAsia="仿宋_GB2312" w:cs="仿宋_GB2312"/>
          <w:color w:val="auto"/>
          <w:kern w:val="0"/>
          <w:sz w:val="32"/>
          <w:szCs w:val="32"/>
          <w:highlight w:val="none"/>
          <w:lang w:bidi="ar"/>
        </w:rPr>
        <w:t>其中授予小微企业合同金额</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 xml:space="preserve">万元，占政府采购支出总额的 </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w:t>
      </w:r>
    </w:p>
    <w:p>
      <w:pPr>
        <w:keepNext/>
        <w:keepLines/>
        <w:snapToGrid w:val="0"/>
        <w:spacing w:line="580" w:lineRule="exact"/>
        <w:ind w:firstLine="643" w:firstLineChars="200"/>
        <w:outlineLvl w:val="2"/>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（三）国有资产占用情况</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截至2019年12月31日，本部门共有车辆</w:t>
      </w:r>
      <w:r>
        <w:rPr>
          <w:rFonts w:hint="eastAsia" w:ascii="仿宋_GB2312" w:hAnsi="Times New Roman" w:eastAsia="仿宋_GB2312" w:cs="DengXian-Regular"/>
          <w:color w:val="auto"/>
          <w:sz w:val="32"/>
          <w:szCs w:val="32"/>
          <w:highlight w:val="none"/>
          <w:lang w:val="en-US" w:eastAsia="zh-CN"/>
        </w:rPr>
        <w:t>1</w:t>
      </w:r>
      <w:r>
        <w:rPr>
          <w:rFonts w:hint="eastAsia" w:ascii="仿宋_GB2312" w:hAnsi="Times New Roman" w:eastAsia="仿宋_GB2312" w:cs="DengXian-Regular"/>
          <w:color w:val="auto"/>
          <w:sz w:val="32"/>
          <w:szCs w:val="32"/>
          <w:highlight w:val="none"/>
        </w:rPr>
        <w:t>辆，比上年增加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辆，主要是</w:t>
      </w:r>
      <w:r>
        <w:rPr>
          <w:rFonts w:ascii="仿宋_GB2312" w:eastAsia="仿宋_GB2312" w:cs="DengXian-Regular"/>
          <w:color w:val="auto"/>
          <w:sz w:val="32"/>
          <w:szCs w:val="32"/>
          <w:highlight w:val="none"/>
        </w:rPr>
        <w:t>201</w:t>
      </w:r>
      <w:r>
        <w:rPr>
          <w:rFonts w:hint="eastAsia" w:ascii="仿宋_GB2312" w:eastAsia="仿宋_GB2312" w:cs="DengXian-Regular"/>
          <w:color w:val="auto"/>
          <w:sz w:val="32"/>
          <w:szCs w:val="32"/>
          <w:highlight w:val="none"/>
          <w:lang w:val="en-US" w:eastAsia="zh-CN"/>
        </w:rPr>
        <w:t>9</w:t>
      </w:r>
      <w:r>
        <w:rPr>
          <w:rFonts w:hint="eastAsia" w:ascii="仿宋_GB2312" w:eastAsia="仿宋_GB2312" w:cs="DengXian-Regular"/>
          <w:color w:val="auto"/>
          <w:sz w:val="32"/>
          <w:szCs w:val="32"/>
          <w:highlight w:val="none"/>
        </w:rPr>
        <w:t>年度严格执行车改安排</w:t>
      </w:r>
      <w:r>
        <w:rPr>
          <w:rFonts w:hint="eastAsia" w:ascii="仿宋_GB2312" w:hAnsi="Times New Roman" w:eastAsia="仿宋_GB2312" w:cs="DengXian-Regular"/>
          <w:color w:val="auto"/>
          <w:sz w:val="32"/>
          <w:szCs w:val="32"/>
          <w:highlight w:val="none"/>
        </w:rPr>
        <w:t>。其中，副部（省）级及以上领导用车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辆，主要领导干部用车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辆，机要通信用车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辆，应急保障用车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辆，执法执勤用车</w:t>
      </w:r>
      <w:r>
        <w:rPr>
          <w:rFonts w:hint="eastAsia" w:ascii="仿宋_GB2312" w:hAnsi="Times New Roman" w:eastAsia="仿宋_GB2312" w:cs="DengXian-Regular"/>
          <w:color w:val="auto"/>
          <w:sz w:val="32"/>
          <w:szCs w:val="32"/>
          <w:highlight w:val="none"/>
          <w:lang w:val="en-US" w:eastAsia="zh-CN"/>
        </w:rPr>
        <w:t>1</w:t>
      </w:r>
      <w:r>
        <w:rPr>
          <w:rFonts w:hint="eastAsia" w:ascii="仿宋_GB2312" w:hAnsi="Times New Roman" w:eastAsia="仿宋_GB2312" w:cs="DengXian-Regular"/>
          <w:color w:val="auto"/>
          <w:sz w:val="32"/>
          <w:szCs w:val="32"/>
          <w:highlight w:val="none"/>
        </w:rPr>
        <w:t>辆，特种专业技术用车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辆，离退休干部用车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辆，其他用车</w:t>
      </w:r>
      <w:r>
        <w:rPr>
          <w:rFonts w:hint="eastAsia" w:ascii="仿宋_GB2312" w:hAnsi="Times New Roman" w:eastAsia="仿宋_GB2312" w:cs="DengXian-Regular"/>
          <w:color w:val="auto"/>
          <w:sz w:val="32"/>
          <w:szCs w:val="32"/>
          <w:highlight w:val="none"/>
          <w:lang w:val="en-US" w:eastAsia="zh-CN"/>
        </w:rPr>
        <w:t>0辆。</w:t>
      </w:r>
    </w:p>
    <w:p>
      <w:pPr>
        <w:adjustRightInd w:val="0"/>
        <w:snapToGrid w:val="0"/>
        <w:spacing w:line="580" w:lineRule="exact"/>
        <w:ind w:firstLine="640" w:firstLineChars="200"/>
        <w:rPr>
          <w:rFonts w:ascii="楷体_GB2312" w:hAnsi="Times New Roman" w:eastAsia="楷体_GB2312" w:cs="DengXian-Bold"/>
          <w:b/>
          <w:bCs/>
          <w:color w:val="auto"/>
          <w:sz w:val="32"/>
          <w:szCs w:val="32"/>
          <w:highlight w:val="none"/>
        </w:rPr>
      </w:pPr>
      <w:r>
        <w:rPr>
          <w:rFonts w:hint="eastAsia" w:ascii="仿宋_GB2312" w:hAnsi="Times New Roman" w:eastAsia="仿宋_GB2312" w:cs="DengXian-Regular"/>
          <w:color w:val="auto"/>
          <w:sz w:val="32"/>
          <w:szCs w:val="32"/>
          <w:highlight w:val="none"/>
        </w:rPr>
        <w:t>单位价值</w:t>
      </w:r>
      <w:r>
        <w:rPr>
          <w:rFonts w:hint="eastAsia" w:ascii="仿宋_GB2312" w:hAnsi="TimesNewRomanPSMT" w:eastAsia="仿宋_GB2312" w:cs="TimesNewRomanPSMT"/>
          <w:color w:val="auto"/>
          <w:sz w:val="32"/>
          <w:szCs w:val="32"/>
          <w:highlight w:val="none"/>
        </w:rPr>
        <w:t>50</w:t>
      </w:r>
      <w:r>
        <w:rPr>
          <w:rFonts w:hint="eastAsia" w:ascii="仿宋_GB2312" w:hAnsi="Times New Roman" w:eastAsia="仿宋_GB2312" w:cs="DengXian-Regular"/>
          <w:color w:val="auto"/>
          <w:sz w:val="32"/>
          <w:szCs w:val="32"/>
          <w:highlight w:val="none"/>
        </w:rPr>
        <w:t>万元以上通用设备</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台（套），比上年增加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套，主要是</w:t>
      </w:r>
      <w:r>
        <w:rPr>
          <w:rFonts w:ascii="仿宋_GB2312" w:eastAsia="仿宋_GB2312" w:cs="DengXian-Regular"/>
          <w:color w:val="auto"/>
          <w:sz w:val="32"/>
          <w:szCs w:val="32"/>
          <w:highlight w:val="none"/>
        </w:rPr>
        <w:t>201</w:t>
      </w:r>
      <w:r>
        <w:rPr>
          <w:rFonts w:hint="eastAsia" w:ascii="仿宋_GB2312" w:eastAsia="仿宋_GB2312" w:cs="DengXian-Regular"/>
          <w:color w:val="auto"/>
          <w:sz w:val="32"/>
          <w:szCs w:val="32"/>
          <w:highlight w:val="none"/>
          <w:lang w:val="en-US" w:eastAsia="zh-CN"/>
        </w:rPr>
        <w:t>9</w:t>
      </w:r>
      <w:r>
        <w:rPr>
          <w:rFonts w:hint="eastAsia" w:ascii="仿宋_GB2312" w:eastAsia="仿宋_GB2312" w:cs="DengXian-Regular"/>
          <w:color w:val="auto"/>
          <w:sz w:val="32"/>
          <w:szCs w:val="32"/>
          <w:highlight w:val="none"/>
        </w:rPr>
        <w:t>年度无购置安排</w:t>
      </w:r>
      <w:r>
        <w:rPr>
          <w:rFonts w:hint="eastAsia" w:ascii="仿宋_GB2312" w:hAnsi="Times New Roman" w:eastAsia="仿宋_GB2312" w:cs="DengXian-Regular"/>
          <w:color w:val="auto"/>
          <w:sz w:val="32"/>
          <w:szCs w:val="32"/>
          <w:highlight w:val="none"/>
        </w:rPr>
        <w:t>，单位价值</w:t>
      </w:r>
      <w:r>
        <w:rPr>
          <w:rFonts w:hint="eastAsia" w:ascii="仿宋_GB2312" w:hAnsi="TimesNewRomanPSMT" w:eastAsia="仿宋_GB2312" w:cs="TimesNewRomanPSMT"/>
          <w:color w:val="auto"/>
          <w:sz w:val="32"/>
          <w:szCs w:val="32"/>
          <w:highlight w:val="none"/>
        </w:rPr>
        <w:t>100</w:t>
      </w:r>
      <w:r>
        <w:rPr>
          <w:rFonts w:hint="eastAsia" w:ascii="仿宋_GB2312" w:hAnsi="Times New Roman" w:eastAsia="仿宋_GB2312" w:cs="DengXian-Regular"/>
          <w:color w:val="auto"/>
          <w:sz w:val="32"/>
          <w:szCs w:val="32"/>
          <w:highlight w:val="none"/>
        </w:rPr>
        <w:t>万元以上专用设备</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台（套）比上年增加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套，主要是</w:t>
      </w:r>
      <w:r>
        <w:rPr>
          <w:rFonts w:ascii="仿宋_GB2312" w:eastAsia="仿宋_GB2312" w:cs="DengXian-Regular"/>
          <w:color w:val="auto"/>
          <w:sz w:val="32"/>
          <w:szCs w:val="32"/>
          <w:highlight w:val="none"/>
        </w:rPr>
        <w:t>201</w:t>
      </w:r>
      <w:r>
        <w:rPr>
          <w:rFonts w:hint="eastAsia" w:ascii="仿宋_GB2312" w:eastAsia="仿宋_GB2312" w:cs="DengXian-Regular"/>
          <w:color w:val="auto"/>
          <w:sz w:val="32"/>
          <w:szCs w:val="32"/>
          <w:highlight w:val="none"/>
          <w:lang w:val="en-US" w:eastAsia="zh-CN"/>
        </w:rPr>
        <w:t>9</w:t>
      </w:r>
      <w:r>
        <w:rPr>
          <w:rFonts w:hint="eastAsia" w:ascii="仿宋_GB2312" w:eastAsia="仿宋_GB2312" w:cs="DengXian-Regular"/>
          <w:color w:val="auto"/>
          <w:sz w:val="32"/>
          <w:szCs w:val="32"/>
          <w:highlight w:val="none"/>
        </w:rPr>
        <w:t>年度无购置安排</w:t>
      </w:r>
      <w:r>
        <w:rPr>
          <w:rFonts w:hint="eastAsia" w:ascii="仿宋_GB2312" w:hAnsi="Times New Roman" w:eastAsia="仿宋_GB2312" w:cs="DengXian-Regular"/>
          <w:color w:val="auto"/>
          <w:sz w:val="32"/>
          <w:szCs w:val="32"/>
          <w:highlight w:val="none"/>
        </w:rPr>
        <w:t>。</w:t>
      </w:r>
    </w:p>
    <w:p>
      <w:pPr>
        <w:keepNext/>
        <w:keepLines/>
        <w:snapToGrid w:val="0"/>
        <w:spacing w:line="580" w:lineRule="exact"/>
        <w:ind w:firstLine="643" w:firstLineChars="200"/>
        <w:outlineLvl w:val="2"/>
        <w:rPr>
          <w:rFonts w:ascii="楷体_GB2312" w:hAnsi="Times New Roman" w:eastAsia="楷体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（四）其他需要说明的情况</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1. 本部门2019年度</w:t>
      </w:r>
      <w:r>
        <w:rPr>
          <w:rFonts w:hint="eastAsia" w:ascii="仿宋_GB2312" w:hAnsi="Times New Roman" w:eastAsia="仿宋_GB2312" w:cs="DengXian-Regular"/>
          <w:color w:val="auto"/>
          <w:sz w:val="32"/>
          <w:szCs w:val="32"/>
          <w:highlight w:val="none"/>
          <w:lang w:eastAsia="zh-CN"/>
        </w:rPr>
        <w:t>国有资本经营</w:t>
      </w:r>
      <w:r>
        <w:rPr>
          <w:rFonts w:hint="eastAsia" w:ascii="仿宋_GB2312" w:hAnsi="Times New Roman" w:eastAsia="仿宋_GB2312" w:cs="DengXian-Regular"/>
          <w:color w:val="auto"/>
          <w:sz w:val="32"/>
          <w:szCs w:val="32"/>
          <w:highlight w:val="none"/>
        </w:rPr>
        <w:t>无收支及结转结余情况，故</w:t>
      </w:r>
      <w:r>
        <w:rPr>
          <w:rFonts w:hint="eastAsia" w:ascii="仿宋_GB2312" w:hAnsi="Times New Roman" w:eastAsia="仿宋_GB2312" w:cs="DengXian-Regular"/>
          <w:color w:val="auto"/>
          <w:sz w:val="32"/>
          <w:szCs w:val="32"/>
          <w:highlight w:val="none"/>
          <w:lang w:eastAsia="zh-CN"/>
        </w:rPr>
        <w:t>“国有资本经营预算财政拨款支出决算”</w:t>
      </w:r>
      <w:r>
        <w:rPr>
          <w:rFonts w:hint="eastAsia" w:ascii="仿宋_GB2312" w:hAnsi="Times New Roman" w:eastAsia="仿宋_GB2312" w:cs="DengXian-Regular"/>
          <w:color w:val="auto"/>
          <w:sz w:val="32"/>
          <w:szCs w:val="32"/>
          <w:highlight w:val="none"/>
        </w:rPr>
        <w:t>表以空表列示。</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color w:val="auto"/>
          <w:kern w:val="0"/>
          <w:sz w:val="44"/>
          <w:szCs w:val="44"/>
          <w:highlight w:val="none"/>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color w:val="auto"/>
          <w:sz w:val="56"/>
          <w:szCs w:val="72"/>
          <w:highlight w:val="none"/>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color w:val="auto"/>
          <w:sz w:val="56"/>
          <w:szCs w:val="72"/>
          <w:highlight w:val="none"/>
        </w:rPr>
        <w:br w:type="page"/>
      </w:r>
    </w:p>
    <w:p>
      <w:pP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rFonts w:ascii="黑体" w:hAnsi="黑体" w:eastAsia="黑体" w:cs="黑体"/>
          <w:color w:val="auto"/>
          <w:sz w:val="56"/>
          <w:szCs w:val="72"/>
          <w:highlight w:val="none"/>
        </w:rPr>
      </w:pPr>
    </w:p>
    <w:p>
      <w:pPr>
        <w:jc w:val="center"/>
        <w:rPr>
          <w:color w:val="auto"/>
          <w:sz w:val="72"/>
          <w:highlight w:val="none"/>
        </w:rPr>
      </w:pPr>
      <w:r>
        <w:rPr>
          <w:color w:val="auto"/>
          <w:sz w:val="72"/>
          <w:highlight w:val="none"/>
        </w:rPr>
        <mc:AlternateContent>
          <mc:Choice Requires="wps">
            <w:drawing>
              <wp:anchor distT="0" distB="0" distL="114300" distR="114300" simplePos="0" relativeHeight="25167872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872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tabs>
          <w:tab w:val="left" w:pos="886"/>
        </w:tabs>
        <w:jc w:val="left"/>
        <w:rPr>
          <w:color w:val="auto"/>
          <w:highlight w:val="none"/>
        </w:rPr>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（一）财政拨款收入：</w:t>
      </w:r>
      <w:r>
        <w:rPr>
          <w:rFonts w:hint="eastAsia" w:ascii="仿宋_GB2312" w:hAnsi="宋体" w:eastAsia="仿宋_GB2312" w:cs="Times New Roman"/>
          <w:color w:val="auto"/>
          <w:kern w:val="0"/>
          <w:sz w:val="32"/>
          <w:szCs w:val="32"/>
          <w:highlight w:val="none"/>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（二）事业收入：</w:t>
      </w:r>
      <w:r>
        <w:rPr>
          <w:rFonts w:hint="eastAsia" w:ascii="仿宋_GB2312" w:hAnsi="宋体" w:eastAsia="仿宋_GB2312" w:cs="Times New Roman"/>
          <w:color w:val="auto"/>
          <w:kern w:val="0"/>
          <w:sz w:val="32"/>
          <w:szCs w:val="32"/>
          <w:highlight w:val="none"/>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（三）其他收入：</w:t>
      </w:r>
      <w:r>
        <w:rPr>
          <w:rFonts w:hint="eastAsia" w:ascii="仿宋_GB2312" w:hAnsi="宋体" w:eastAsia="仿宋_GB2312" w:cs="Times New Roman"/>
          <w:color w:val="auto"/>
          <w:kern w:val="0"/>
          <w:sz w:val="32"/>
          <w:szCs w:val="32"/>
          <w:highlight w:val="none"/>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（四）用事业基金弥补收支差额：</w:t>
      </w:r>
      <w:r>
        <w:rPr>
          <w:rFonts w:hint="eastAsia" w:ascii="仿宋_GB2312" w:hAnsi="宋体" w:eastAsia="仿宋_GB2312" w:cs="Times New Roman"/>
          <w:color w:val="auto"/>
          <w:kern w:val="0"/>
          <w:sz w:val="32"/>
          <w:szCs w:val="32"/>
          <w:highlight w:val="none"/>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（五）年初结转和结余：</w:t>
      </w:r>
      <w:r>
        <w:rPr>
          <w:rFonts w:hint="eastAsia" w:ascii="仿宋_GB2312" w:hAnsi="宋体" w:eastAsia="仿宋_GB2312" w:cs="Times New Roman"/>
          <w:color w:val="auto"/>
          <w:kern w:val="0"/>
          <w:sz w:val="32"/>
          <w:szCs w:val="32"/>
          <w:highlight w:val="none"/>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（六）结余分配：</w:t>
      </w:r>
      <w:r>
        <w:rPr>
          <w:rFonts w:hint="eastAsia" w:ascii="仿宋_GB2312" w:hAnsi="宋体" w:eastAsia="仿宋_GB2312" w:cs="Times New Roman"/>
          <w:color w:val="auto"/>
          <w:kern w:val="0"/>
          <w:sz w:val="32"/>
          <w:szCs w:val="32"/>
          <w:highlight w:val="none"/>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（七）年末结转和结余：</w:t>
      </w:r>
      <w:r>
        <w:rPr>
          <w:rFonts w:hint="eastAsia" w:ascii="仿宋_GB2312" w:hAnsi="宋体" w:eastAsia="仿宋_GB2312" w:cs="Times New Roman"/>
          <w:color w:val="auto"/>
          <w:kern w:val="0"/>
          <w:sz w:val="32"/>
          <w:szCs w:val="32"/>
          <w:highlight w:val="none"/>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（八）基本支出：</w:t>
      </w:r>
      <w:r>
        <w:rPr>
          <w:rFonts w:hint="eastAsia" w:ascii="仿宋_GB2312" w:hAnsi="宋体" w:eastAsia="仿宋_GB2312" w:cs="Times New Roman"/>
          <w:color w:val="auto"/>
          <w:kern w:val="0"/>
          <w:sz w:val="32"/>
          <w:szCs w:val="32"/>
          <w:highlight w:val="none"/>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（九）项目支出：</w:t>
      </w:r>
      <w:r>
        <w:rPr>
          <w:rFonts w:hint="eastAsia" w:ascii="仿宋_GB2312" w:hAnsi="宋体" w:eastAsia="仿宋_GB2312" w:cs="Times New Roman"/>
          <w:color w:val="auto"/>
          <w:kern w:val="0"/>
          <w:sz w:val="32"/>
          <w:szCs w:val="32"/>
          <w:highlight w:val="none"/>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（十）基本建设支出：</w:t>
      </w:r>
      <w:r>
        <w:rPr>
          <w:rFonts w:hint="eastAsia" w:ascii="仿宋_GB2312" w:hAnsi="宋体" w:eastAsia="仿宋_GB2312" w:cs="Times New Roman"/>
          <w:color w:val="auto"/>
          <w:kern w:val="0"/>
          <w:sz w:val="32"/>
          <w:szCs w:val="32"/>
          <w:highlight w:val="none"/>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（十一）其他资本性支出：</w:t>
      </w:r>
      <w:r>
        <w:rPr>
          <w:rFonts w:hint="eastAsia" w:ascii="仿宋_GB2312" w:hAnsi="宋体" w:eastAsia="仿宋_GB2312" w:cs="Times New Roman"/>
          <w:color w:val="auto"/>
          <w:kern w:val="0"/>
          <w:sz w:val="32"/>
          <w:szCs w:val="32"/>
          <w:highlight w:val="none"/>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（十二）“三公”经费：</w:t>
      </w:r>
      <w:r>
        <w:rPr>
          <w:rFonts w:hint="eastAsia" w:ascii="仿宋_GB2312" w:hAnsi="宋体" w:eastAsia="仿宋_GB2312" w:cs="Times New Roman"/>
          <w:color w:val="auto"/>
          <w:kern w:val="0"/>
          <w:sz w:val="32"/>
          <w:szCs w:val="32"/>
          <w:highlight w:val="none"/>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（十三）其他交通费用：</w:t>
      </w:r>
      <w:r>
        <w:rPr>
          <w:rFonts w:hint="eastAsia" w:ascii="仿宋_GB2312" w:hAnsi="宋体" w:eastAsia="仿宋_GB2312" w:cs="Times New Roman"/>
          <w:color w:val="auto"/>
          <w:kern w:val="0"/>
          <w:sz w:val="32"/>
          <w:szCs w:val="32"/>
          <w:highlight w:val="none"/>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（十四）公务用车购置：</w:t>
      </w:r>
      <w:r>
        <w:rPr>
          <w:rFonts w:hint="eastAsia" w:ascii="仿宋_GB2312" w:hAnsi="宋体" w:eastAsia="仿宋_GB2312" w:cs="Times New Roman"/>
          <w:color w:val="auto"/>
          <w:kern w:val="0"/>
          <w:sz w:val="32"/>
          <w:szCs w:val="32"/>
          <w:highlight w:val="none"/>
        </w:rPr>
        <w:t>填列单位公务用车车辆购置支出（含车辆购置税、牌照费）。</w:t>
      </w:r>
    </w:p>
    <w:p>
      <w:pPr>
        <w:widowControl/>
        <w:spacing w:line="560" w:lineRule="exact"/>
        <w:ind w:firstLine="643" w:firstLineChars="200"/>
        <w:rPr>
          <w:rFonts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（十五）其他交通工具购置：</w:t>
      </w:r>
      <w:r>
        <w:rPr>
          <w:rFonts w:hint="eastAsia" w:ascii="仿宋_GB2312" w:hAnsi="宋体" w:eastAsia="仿宋_GB2312" w:cs="Times New Roman"/>
          <w:color w:val="auto"/>
          <w:kern w:val="0"/>
          <w:sz w:val="32"/>
          <w:szCs w:val="32"/>
          <w:highlight w:val="none"/>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auto"/>
          <w:kern w:val="0"/>
          <w:sz w:val="32"/>
          <w:szCs w:val="32"/>
          <w:highlight w:val="none"/>
        </w:rPr>
      </w:pPr>
      <w:r>
        <w:rPr>
          <w:rFonts w:hint="eastAsia" w:ascii="仿宋_GB2312" w:hAnsi="宋体" w:eastAsia="仿宋_GB2312" w:cs="Times New Roman"/>
          <w:b/>
          <w:bCs/>
          <w:color w:val="auto"/>
          <w:kern w:val="0"/>
          <w:sz w:val="32"/>
          <w:szCs w:val="32"/>
          <w:highlight w:val="none"/>
        </w:rPr>
        <w:t>（十六）机关运行经费：</w:t>
      </w:r>
      <w:r>
        <w:rPr>
          <w:rFonts w:hint="eastAsia" w:ascii="仿宋_GB2312" w:hAnsi="宋体" w:eastAsia="仿宋_GB2312" w:cs="Times New Roman"/>
          <w:color w:val="auto"/>
          <w:kern w:val="0"/>
          <w:sz w:val="32"/>
          <w:szCs w:val="32"/>
          <w:highlight w:val="none"/>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color w:val="auto"/>
          <w:kern w:val="0"/>
          <w:sz w:val="32"/>
          <w:szCs w:val="32"/>
          <w:highlight w:val="none"/>
        </w:rPr>
      </w:pPr>
      <w:r>
        <w:rPr>
          <w:rFonts w:hint="eastAsia" w:ascii="仿宋_GB2312" w:hAnsi="宋体" w:eastAsia="仿宋_GB2312" w:cs="Times New Roman"/>
          <w:b/>
          <w:bCs/>
          <w:color w:val="auto"/>
          <w:kern w:val="0"/>
          <w:sz w:val="32"/>
          <w:szCs w:val="32"/>
          <w:highlight w:val="none"/>
        </w:rPr>
        <w:t>（十七）经费形式:</w:t>
      </w:r>
      <w:r>
        <w:rPr>
          <w:rFonts w:hint="eastAsia" w:ascii="仿宋_GB2312" w:hAnsi="宋体" w:eastAsia="仿宋_GB2312" w:cs="Times New Roman"/>
          <w:color w:val="auto"/>
          <w:kern w:val="0"/>
          <w:sz w:val="32"/>
          <w:szCs w:val="32"/>
          <w:highlight w:val="none"/>
        </w:rPr>
        <w:t>按照经费来源，</w:t>
      </w:r>
      <w:r>
        <w:rPr>
          <w:rFonts w:hint="eastAsia" w:ascii="仿宋_GB2312" w:hAnsi="Cambria" w:eastAsia="仿宋_GB2312" w:cs="ArialUnicodeMS"/>
          <w:color w:val="auto"/>
          <w:kern w:val="0"/>
          <w:sz w:val="32"/>
          <w:szCs w:val="32"/>
          <w:highlight w:val="none"/>
        </w:rPr>
        <w:t>可分为财政拨款、财政性资金基本保证、财政性资金定额或定项补助、财政性资金零补助四类。</w:t>
      </w:r>
    </w:p>
    <w:p>
      <w:pPr>
        <w:rPr>
          <w:color w:val="auto"/>
          <w:highlight w:val="none"/>
        </w:rPr>
      </w:pPr>
    </w:p>
    <w:p>
      <w:pPr>
        <w:rPr>
          <w:color w:val="auto"/>
          <w:highlight w:val="none"/>
        </w:rPr>
      </w:pPr>
    </w:p>
    <w:p>
      <w:pPr>
        <w:rPr>
          <w:color w:val="auto"/>
          <w:highlight w:val="none"/>
        </w:rPr>
      </w:pPr>
    </w:p>
    <w:p>
      <w:pPr>
        <w:rPr>
          <w:color w:val="auto"/>
          <w:highlight w:val="none"/>
        </w:rPr>
      </w:pPr>
    </w:p>
    <w:p>
      <w:pPr>
        <w:tabs>
          <w:tab w:val="left" w:pos="235"/>
        </w:tabs>
        <w:jc w:val="left"/>
        <w:rPr>
          <w:color w:val="auto"/>
          <w:highlight w:val="none"/>
        </w:rPr>
      </w:pPr>
    </w:p>
    <w:p>
      <w:pPr>
        <w:tabs>
          <w:tab w:val="left" w:pos="235"/>
        </w:tabs>
        <w:jc w:val="left"/>
        <w:rPr>
          <w:color w:val="auto"/>
          <w:highlight w:val="none"/>
        </w:rPr>
      </w:pPr>
    </w:p>
    <w:p>
      <w:pPr>
        <w:tabs>
          <w:tab w:val="left" w:pos="235"/>
        </w:tabs>
        <w:jc w:val="left"/>
        <w:rPr>
          <w:color w:val="auto"/>
          <w:highlight w:val="none"/>
        </w:rPr>
      </w:pPr>
    </w:p>
    <w:p>
      <w:pPr>
        <w:tabs>
          <w:tab w:val="left" w:pos="235"/>
        </w:tabs>
        <w:jc w:val="left"/>
        <w:rPr>
          <w:color w:val="auto"/>
          <w:highlight w:val="none"/>
        </w:rPr>
      </w:pPr>
    </w:p>
    <w:p>
      <w:pPr>
        <w:tabs>
          <w:tab w:val="left" w:pos="235"/>
        </w:tabs>
        <w:jc w:val="left"/>
        <w:rPr>
          <w:color w:val="auto"/>
          <w:highlight w:val="none"/>
        </w:rPr>
      </w:pPr>
    </w:p>
    <w:p>
      <w:pPr>
        <w:rPr>
          <w:color w:val="auto"/>
          <w:highlight w:val="none"/>
        </w:rPr>
      </w:pPr>
    </w:p>
    <w:p>
      <w:pPr>
        <w:tabs>
          <w:tab w:val="left" w:pos="235"/>
        </w:tabs>
        <w:jc w:val="left"/>
        <w:rPr>
          <w:color w:val="auto"/>
          <w:highlight w:val="none"/>
        </w:rPr>
        <w:sectPr>
          <w:headerReference r:id="rId22" w:type="default"/>
          <w:pgSz w:w="11906" w:h="16838"/>
          <w:pgMar w:top="2098" w:right="1474" w:bottom="1985" w:left="1588" w:header="851" w:footer="992" w:gutter="0"/>
          <w:pgNumType w:fmt="numberInDash"/>
          <w:cols w:space="425" w:num="1"/>
          <w:docGrid w:type="lines" w:linePitch="312" w:charSpace="0"/>
        </w:sectPr>
      </w:pPr>
      <w:r>
        <w:rPr>
          <w:color w:val="auto"/>
          <w:sz w:val="72"/>
          <w:highlight w:val="none"/>
        </w:rPr>
        <mc:AlternateContent>
          <mc:Choice Requires="wps">
            <w:drawing>
              <wp:anchor distT="0" distB="0" distL="114300" distR="114300" simplePos="0" relativeHeight="25167974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974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rPr>
          <w:color w:val="auto"/>
          <w:highlight w:val="none"/>
        </w:rPr>
      </w:pPr>
    </w:p>
    <w:p>
      <w:pPr>
        <w:rPr>
          <w:rFonts w:hint="eastAsia" w:eastAsiaTheme="minorEastAsia"/>
          <w:lang w:eastAsia="zh-CN"/>
        </w:rPr>
      </w:pPr>
      <w:r>
        <w:rPr>
          <w:rFonts w:hint="eastAsia" w:eastAsiaTheme="minorEastAsia"/>
          <w:lang w:eastAsia="zh-CN"/>
        </w:rPr>
        <w:object>
          <v:shape id="_x0000_i1025" o:spt="75" type="#_x0000_t75" style="height:556.5pt;width:449.8pt;" o:ole="t" filled="f" o:preferrelative="t" stroked="f" coordsize="21600,21600">
            <v:path/>
            <v:fill on="f" focussize="0,0"/>
            <v:stroke on="f"/>
            <v:imagedata r:id="rId35" o:title=""/>
            <o:lock v:ext="edit" aspectratio="f"/>
            <w10:wrap type="none"/>
            <w10:anchorlock/>
          </v:shape>
          <o:OLEObject Type="Embed" ProgID="Office12.Excel.Template" ShapeID="_x0000_i1025" DrawAspect="Content" ObjectID="_1468075725" r:id="rId34">
            <o:LockedField>false</o:LockedField>
          </o:OLEObject>
        </w:object>
      </w:r>
    </w:p>
    <w:p>
      <w:pPr>
        <w:rPr>
          <w:rFonts w:hint="eastAsia" w:eastAsiaTheme="minorEastAsia"/>
          <w:lang w:eastAsia="zh-CN"/>
        </w:rPr>
      </w:pPr>
      <w:r>
        <w:rPr>
          <w:rFonts w:hint="eastAsia" w:eastAsiaTheme="minorEastAsia"/>
          <w:lang w:eastAsia="zh-CN"/>
        </w:rPr>
        <w:object>
          <v:shape id="_x0000_i1026" o:spt="75" type="#_x0000_t75" style="height:536.7pt;width:448.35pt;" o:ole="t" filled="f" o:preferrelative="t" stroked="f" coordsize="21600,21600">
            <v:path/>
            <v:fill on="f" focussize="0,0"/>
            <v:stroke on="f"/>
            <v:imagedata r:id="rId37" o:title=""/>
            <o:lock v:ext="edit" aspectratio="f"/>
            <w10:wrap type="none"/>
            <w10:anchorlock/>
          </v:shape>
          <o:OLEObject Type="Embed" ProgID="Office12.Excel.Template" ShapeID="_x0000_i1026" DrawAspect="Content" ObjectID="_1468075726" r:id="rId36">
            <o:LockedField>false</o:LockedField>
          </o:OLEObject>
        </w:object>
      </w: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r>
        <w:rPr>
          <w:rFonts w:hint="eastAsia" w:eastAsiaTheme="minorEastAsia"/>
          <w:lang w:eastAsia="zh-CN"/>
        </w:rPr>
        <w:object>
          <v:shape id="_x0000_i1027" o:spt="75" type="#_x0000_t75" style="height:452.5pt;width:428.85pt;" o:ole="t" filled="f" o:preferrelative="t" stroked="f" coordsize="21600,21600">
            <v:path/>
            <v:fill on="f" focussize="0,0"/>
            <v:stroke on="f"/>
            <v:imagedata r:id="rId39" o:title=""/>
            <o:lock v:ext="edit" aspectratio="f"/>
            <w10:wrap type="none"/>
            <w10:anchorlock/>
          </v:shape>
          <o:OLEObject Type="Embed" ProgID="Office12.Excel.Template" ShapeID="_x0000_i1027" DrawAspect="Content" ObjectID="_1468075727" r:id="rId38">
            <o:LockedField>false</o:LockedField>
          </o:OLEObject>
        </w:object>
      </w:r>
    </w:p>
    <w:p>
      <w:pPr>
        <w:rPr>
          <w:rFonts w:hint="eastAsia" w:eastAsiaTheme="minorEastAsia"/>
          <w:lang w:eastAsia="zh-CN"/>
        </w:rPr>
      </w:pPr>
      <w:r>
        <w:rPr>
          <w:rFonts w:hint="eastAsia" w:eastAsiaTheme="minorEastAsia"/>
          <w:lang w:eastAsia="zh-CN"/>
        </w:rPr>
        <w:object>
          <v:shape id="_x0000_i1028" o:spt="75" type="#_x0000_t75" style="height:447.5pt;width:432.9pt;" o:ole="t" filled="f" o:preferrelative="t" stroked="f" coordsize="21600,21600">
            <v:path/>
            <v:fill on="f" focussize="0,0"/>
            <v:stroke on="f"/>
            <v:imagedata r:id="rId41" o:title=""/>
            <o:lock v:ext="edit" aspectratio="f"/>
            <w10:wrap type="none"/>
            <w10:anchorlock/>
          </v:shape>
          <o:OLEObject Type="Embed" ProgID="Office12.Excel.Template" ShapeID="_x0000_i1028" DrawAspect="Content" ObjectID="_1468075728" r:id="rId40">
            <o:LockedField>false</o:LockedField>
          </o:OLEObject>
        </w:object>
      </w:r>
    </w:p>
    <w:p>
      <w:pPr>
        <w:rPr>
          <w:rFonts w:hint="eastAsia" w:eastAsiaTheme="minorEastAsia"/>
          <w:lang w:eastAsia="zh-CN"/>
        </w:rPr>
      </w:pPr>
    </w:p>
    <w:p>
      <w:pPr>
        <w:rPr>
          <w:rFonts w:hint="eastAsia" w:eastAsiaTheme="minorEastAsia"/>
          <w:lang w:eastAsia="zh-CN"/>
        </w:rPr>
      </w:pPr>
      <w:r>
        <w:rPr>
          <w:rFonts w:hint="eastAsia" w:eastAsiaTheme="minorEastAsia"/>
          <w:lang w:eastAsia="zh-CN"/>
        </w:rPr>
        <w:object>
          <v:shape id="_x0000_i1029" o:spt="75" type="#_x0000_t75" style="height:495.25pt;width:416.85pt;" o:ole="t" filled="f" o:preferrelative="t" stroked="f" coordsize="21600,21600">
            <v:path/>
            <v:fill on="f" focussize="0,0"/>
            <v:stroke on="f"/>
            <v:imagedata r:id="rId43" o:title=""/>
            <o:lock v:ext="edit" aspectratio="f"/>
            <w10:wrap type="none"/>
            <w10:anchorlock/>
          </v:shape>
          <o:OLEObject Type="Embed" ProgID="Office12.Excel.Template" ShapeID="_x0000_i1029" DrawAspect="Content" ObjectID="_1468075729" r:id="rId42">
            <o:LockedField>false</o:LockedField>
          </o:OLEObject>
        </w:object>
      </w:r>
    </w:p>
    <w:p>
      <w:pPr>
        <w:rPr>
          <w:rFonts w:hint="eastAsia" w:eastAsiaTheme="minorEastAsia"/>
          <w:lang w:eastAsia="zh-CN"/>
        </w:rPr>
      </w:pPr>
      <w:r>
        <w:rPr>
          <w:rFonts w:hint="eastAsia" w:eastAsiaTheme="minorEastAsia"/>
          <w:lang w:eastAsia="zh-CN"/>
        </w:rPr>
        <w:object>
          <v:shape id="_x0000_i1030" o:spt="75" type="#_x0000_t75" style="height:454.3pt;width:445.1pt;" o:ole="t" filled="f" o:preferrelative="t" stroked="f" coordsize="21600,21600">
            <v:path/>
            <v:fill on="f" focussize="0,0"/>
            <v:stroke on="f"/>
            <v:imagedata r:id="rId45" o:title=""/>
            <o:lock v:ext="edit" aspectratio="f"/>
            <w10:wrap type="none"/>
            <w10:anchorlock/>
          </v:shape>
          <o:OLEObject Type="Embed" ProgID="Office12.Excel.Template" ShapeID="_x0000_i1030" DrawAspect="Content" ObjectID="_1468075730" r:id="rId44">
            <o:LockedField>false</o:LockedField>
          </o:OLEObject>
        </w:object>
      </w:r>
    </w:p>
    <w:p>
      <w:pPr>
        <w:rPr>
          <w:rFonts w:hint="eastAsia" w:eastAsiaTheme="minorEastAsia"/>
          <w:lang w:eastAsia="zh-CN"/>
        </w:rPr>
      </w:pPr>
    </w:p>
    <w:p>
      <w:pPr>
        <w:rPr>
          <w:rFonts w:hint="eastAsia" w:eastAsiaTheme="minorEastAsia"/>
          <w:lang w:eastAsia="zh-CN"/>
        </w:rPr>
      </w:pPr>
      <w:r>
        <w:rPr>
          <w:rFonts w:hint="eastAsia" w:eastAsiaTheme="minorEastAsia"/>
          <w:lang w:eastAsia="zh-CN"/>
        </w:rPr>
        <w:object>
          <v:shape id="_x0000_i1031" o:spt="75" type="#_x0000_t75" style="height:173.5pt;width:446.35pt;" o:ole="t" filled="f" o:preferrelative="t" stroked="f" coordsize="21600,21600">
            <v:path/>
            <v:fill on="f" focussize="0,0"/>
            <v:stroke on="f"/>
            <v:imagedata r:id="rId47" o:title=""/>
            <o:lock v:ext="edit" aspectratio="f"/>
            <w10:wrap type="none"/>
            <w10:anchorlock/>
          </v:shape>
          <o:OLEObject Type="Embed" ProgID="Office12.Excel.Template" ShapeID="_x0000_i1031" DrawAspect="Content" ObjectID="_1468075731" r:id="rId46">
            <o:LockedField>false</o:LockedField>
          </o:OLEObject>
        </w:object>
      </w:r>
    </w:p>
    <w:p>
      <w:pPr>
        <w:rPr>
          <w:rFonts w:hint="eastAsia" w:eastAsiaTheme="minorEastAsia"/>
          <w:lang w:eastAsia="zh-CN"/>
        </w:rPr>
      </w:pPr>
    </w:p>
    <w:p>
      <w:pPr>
        <w:rPr>
          <w:rFonts w:hint="eastAsia" w:eastAsiaTheme="minorEastAsia"/>
          <w:lang w:eastAsia="zh-CN"/>
        </w:rPr>
      </w:pPr>
      <w:r>
        <w:rPr>
          <w:rFonts w:hint="eastAsia" w:eastAsiaTheme="minorEastAsia"/>
          <w:lang w:eastAsia="zh-CN"/>
        </w:rPr>
        <w:object>
          <v:shape id="_x0000_i1032" o:spt="75" type="#_x0000_t75" style="height:317.95pt;width:451.85pt;" o:ole="t" filled="f" o:preferrelative="t" stroked="f" coordsize="21600,21600">
            <v:path/>
            <v:fill on="f" focussize="0,0"/>
            <v:stroke on="f"/>
            <v:imagedata r:id="rId49" o:title=""/>
            <o:lock v:ext="edit" aspectratio="f"/>
            <w10:wrap type="none"/>
            <w10:anchorlock/>
          </v:shape>
          <o:OLEObject Type="Embed" ProgID="Office12.Excel.Template" ShapeID="_x0000_i1032" DrawAspect="Content" ObjectID="_1468075732" r:id="rId48">
            <o:LockedField>false</o:LockedField>
          </o:OLEObject>
        </w:object>
      </w:r>
    </w:p>
    <w:p>
      <w:pPr>
        <w:jc w:val="left"/>
        <w:rPr>
          <w:color w:val="auto"/>
          <w:highlight w:val="none"/>
        </w:rPr>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pPr>
      <w:r>
        <w:rPr>
          <w:rFonts w:hint="eastAsia" w:eastAsiaTheme="minorEastAsia"/>
          <w:lang w:eastAsia="zh-CN"/>
        </w:rPr>
        <w:object>
          <v:shape id="_x0000_i1033" o:spt="75" type="#_x0000_t75" style="height:205.9pt;width:433.15pt;" o:ole="t" filled="f" o:preferrelative="t" stroked="f" coordsize="21600,21600">
            <v:path/>
            <v:fill on="f" focussize="0,0"/>
            <v:stroke on="f"/>
            <v:imagedata r:id="rId51" o:title=""/>
            <o:lock v:ext="edit" aspectratio="f"/>
            <w10:wrap type="none"/>
            <w10:anchorlock/>
          </v:shape>
          <o:OLEObject Type="Embed" ProgID="Office12.Excel.Template" ShapeID="_x0000_i1033" DrawAspect="Content" ObjectID="_1468075733" r:id="rId50">
            <o:LockedField>false</o:LockedField>
          </o:OLEObject>
        </w:object>
      </w:r>
    </w:p>
    <w:p>
      <w:pPr>
        <w:jc w:val="left"/>
        <w:rPr>
          <w:color w:val="auto"/>
          <w:highlight w:val="none"/>
        </w:rPr>
        <w:sectPr>
          <w:pgSz w:w="11906" w:h="16838"/>
          <w:pgMar w:top="1701" w:right="1417" w:bottom="1281" w:left="1417" w:header="851" w:footer="992" w:gutter="0"/>
          <w:pgNumType w:fmt="numberInDash"/>
          <w:cols w:space="0" w:num="1"/>
          <w:docGrid w:type="lines" w:linePitch="312" w:charSpace="0"/>
        </w:sectPr>
      </w:pPr>
    </w:p>
    <w:p>
      <w:pPr>
        <w:rPr>
          <w:color w:val="auto"/>
          <w:highlight w:val="none"/>
        </w:rPr>
      </w:pPr>
      <w:r>
        <w:rPr>
          <w:color w:val="auto"/>
          <w:highlight w:val="none"/>
        </w:rPr>
        <mc:AlternateContent>
          <mc:Choice Requires="wps">
            <w:drawing>
              <wp:anchor distT="0" distB="0" distL="114300" distR="114300" simplePos="0" relativeHeight="25168076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8076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92C7E"/>
    <w:rsid w:val="00FD225F"/>
    <w:rsid w:val="05B00A30"/>
    <w:rsid w:val="07227EC8"/>
    <w:rsid w:val="0A422FC0"/>
    <w:rsid w:val="0B011416"/>
    <w:rsid w:val="0B45788B"/>
    <w:rsid w:val="0CFF04F5"/>
    <w:rsid w:val="0DBA137F"/>
    <w:rsid w:val="1B5E7C4A"/>
    <w:rsid w:val="1F485FE9"/>
    <w:rsid w:val="21EC15E9"/>
    <w:rsid w:val="224A3D3F"/>
    <w:rsid w:val="25EA00EA"/>
    <w:rsid w:val="27D81031"/>
    <w:rsid w:val="2B185D5E"/>
    <w:rsid w:val="2B5D392C"/>
    <w:rsid w:val="31C2036A"/>
    <w:rsid w:val="320D02A5"/>
    <w:rsid w:val="348E566F"/>
    <w:rsid w:val="3A226944"/>
    <w:rsid w:val="3AEE6A48"/>
    <w:rsid w:val="3C1620AA"/>
    <w:rsid w:val="3D8F080F"/>
    <w:rsid w:val="40537680"/>
    <w:rsid w:val="44091176"/>
    <w:rsid w:val="44CE1FA4"/>
    <w:rsid w:val="487F73ED"/>
    <w:rsid w:val="4A347EAE"/>
    <w:rsid w:val="4B517472"/>
    <w:rsid w:val="4DB2594D"/>
    <w:rsid w:val="52600405"/>
    <w:rsid w:val="529B4319"/>
    <w:rsid w:val="57773DD6"/>
    <w:rsid w:val="578B79AB"/>
    <w:rsid w:val="5CCD3FD5"/>
    <w:rsid w:val="5E8909BA"/>
    <w:rsid w:val="5EE7531E"/>
    <w:rsid w:val="611169D2"/>
    <w:rsid w:val="61FA5F9D"/>
    <w:rsid w:val="64CD6910"/>
    <w:rsid w:val="64DE1102"/>
    <w:rsid w:val="6789158D"/>
    <w:rsid w:val="67D81BA4"/>
    <w:rsid w:val="6AAF1C96"/>
    <w:rsid w:val="6BDA06A8"/>
    <w:rsid w:val="6EDF14CD"/>
    <w:rsid w:val="73FE62AA"/>
    <w:rsid w:val="75681757"/>
    <w:rsid w:val="75995609"/>
    <w:rsid w:val="75A346A8"/>
    <w:rsid w:val="79B9382C"/>
    <w:rsid w:val="7B043B76"/>
    <w:rsid w:val="7B226307"/>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5" Type="http://schemas.openxmlformats.org/officeDocument/2006/relationships/fontTable" Target="fontTable.xml"/><Relationship Id="rId54" Type="http://schemas.openxmlformats.org/officeDocument/2006/relationships/customXml" Target="../customXml/item2.xml"/><Relationship Id="rId53" Type="http://schemas.openxmlformats.org/officeDocument/2006/relationships/numbering" Target="numbering.xml"/><Relationship Id="rId52" Type="http://schemas.openxmlformats.org/officeDocument/2006/relationships/customXml" Target="../customXml/item1.xml"/><Relationship Id="rId51" Type="http://schemas.openxmlformats.org/officeDocument/2006/relationships/image" Target="media/image12.emf"/><Relationship Id="rId50" Type="http://schemas.openxmlformats.org/officeDocument/2006/relationships/oleObject" Target="embeddings/oleObject9.bin"/><Relationship Id="rId5" Type="http://schemas.openxmlformats.org/officeDocument/2006/relationships/footer" Target="footer1.xml"/><Relationship Id="rId49" Type="http://schemas.openxmlformats.org/officeDocument/2006/relationships/image" Target="media/image11.emf"/><Relationship Id="rId48" Type="http://schemas.openxmlformats.org/officeDocument/2006/relationships/oleObject" Target="embeddings/oleObject8.bin"/><Relationship Id="rId47" Type="http://schemas.openxmlformats.org/officeDocument/2006/relationships/image" Target="media/image10.emf"/><Relationship Id="rId46" Type="http://schemas.openxmlformats.org/officeDocument/2006/relationships/oleObject" Target="embeddings/oleObject7.bin"/><Relationship Id="rId45" Type="http://schemas.openxmlformats.org/officeDocument/2006/relationships/image" Target="media/image9.emf"/><Relationship Id="rId44" Type="http://schemas.openxmlformats.org/officeDocument/2006/relationships/oleObject" Target="embeddings/oleObject6.bin"/><Relationship Id="rId43" Type="http://schemas.openxmlformats.org/officeDocument/2006/relationships/image" Target="media/image8.emf"/><Relationship Id="rId42" Type="http://schemas.openxmlformats.org/officeDocument/2006/relationships/oleObject" Target="embeddings/oleObject5.bin"/><Relationship Id="rId41" Type="http://schemas.openxmlformats.org/officeDocument/2006/relationships/image" Target="media/image7.emf"/><Relationship Id="rId40" Type="http://schemas.openxmlformats.org/officeDocument/2006/relationships/oleObject" Target="embeddings/oleObject4.bin"/><Relationship Id="rId4" Type="http://schemas.openxmlformats.org/officeDocument/2006/relationships/header" Target="header2.xml"/><Relationship Id="rId39" Type="http://schemas.openxmlformats.org/officeDocument/2006/relationships/image" Target="media/image6.emf"/><Relationship Id="rId38" Type="http://schemas.openxmlformats.org/officeDocument/2006/relationships/oleObject" Target="embeddings/oleObject3.bin"/><Relationship Id="rId37" Type="http://schemas.openxmlformats.org/officeDocument/2006/relationships/image" Target="media/image5.emf"/><Relationship Id="rId36" Type="http://schemas.openxmlformats.org/officeDocument/2006/relationships/oleObject" Target="embeddings/oleObject2.bin"/><Relationship Id="rId35" Type="http://schemas.openxmlformats.org/officeDocument/2006/relationships/image" Target="media/image4.emf"/><Relationship Id="rId34" Type="http://schemas.openxmlformats.org/officeDocument/2006/relationships/oleObject" Target="embeddings/oleObject1.bin"/><Relationship Id="rId33" Type="http://schemas.openxmlformats.org/officeDocument/2006/relationships/image" Target="media/image3.png"/><Relationship Id="rId32" Type="http://schemas.openxmlformats.org/officeDocument/2006/relationships/image" Target="media/image2.png"/><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1.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181009049347145"/>
          <c:y val="0.00773993808049536"/>
          <c:w val="0.912486659551761"/>
          <c:h val="0.975083056478405"/>
        </c:manualLayout>
      </c:layout>
      <c:pie3DChart>
        <c:varyColors val="1"/>
        <c:ser>
          <c:idx val="0"/>
          <c:order val="0"/>
          <c:tx>
            <c:strRef>
              <c:f>Sheet1!$B$1</c:f>
              <c:strCache>
                <c:ptCount val="1"/>
                <c:pt idx="0">
                  <c:v>支出类型</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9.97</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9.97</c:v>
                </c:pt>
                <c:pt idx="1">
                  <c:v>90.03</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36819203457602"/>
          <c:y val="0.0589634451677516"/>
          <c:w val="0.895645898484484"/>
          <c:h val="0.757678926441352"/>
        </c:manualLayout>
      </c:layout>
      <c:barChart>
        <c:barDir val="col"/>
        <c:grouping val="clustered"/>
        <c:varyColors val="0"/>
        <c:ser>
          <c:idx val="0"/>
          <c:order val="0"/>
          <c:tx>
            <c:strRef>
              <c:f>Sheet1!$B$1</c:f>
              <c:strCache>
                <c:ptCount val="1"/>
                <c:pt idx="0">
                  <c:v>2018年决算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5680.35</c:v>
                </c:pt>
                <c:pt idx="1">
                  <c:v>5421.16</c:v>
                </c:pt>
              </c:numCache>
            </c:numRef>
          </c:val>
        </c:ser>
        <c:ser>
          <c:idx val="1"/>
          <c:order val="1"/>
          <c:tx>
            <c:strRef>
              <c:f>Sheet1!$C$1</c:f>
              <c:strCache>
                <c:ptCount val="1"/>
                <c:pt idx="0">
                  <c:v>2019年决算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4858.43</c:v>
                </c:pt>
                <c:pt idx="1">
                  <c:v>5668.79</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240850137"/>
        <c:axId val="545968874"/>
      </c:barChart>
      <c:catAx>
        <c:axId val="24085013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5968874"/>
        <c:crosses val="autoZero"/>
        <c:auto val="1"/>
        <c:lblAlgn val="ctr"/>
        <c:lblOffset val="100"/>
        <c:noMultiLvlLbl val="0"/>
      </c:catAx>
      <c:valAx>
        <c:axId val="54596887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0850137"/>
        <c:crosses val="autoZero"/>
        <c:crossBetween val="between"/>
      </c:valAx>
      <c:spPr>
        <a:noFill/>
        <a:ln>
          <a:noFill/>
        </a:ln>
        <a:effectLst/>
      </c:spPr>
    </c:plotArea>
    <c:legend>
      <c:legendPos val="b"/>
      <c:legendEntry>
        <c:idx val="2"/>
        <c:delete val="1"/>
      </c:legendEntry>
      <c:layout>
        <c:manualLayout>
          <c:xMode val="edge"/>
          <c:yMode val="edge"/>
          <c:x val="0.353602542971509"/>
          <c:y val="0.89784677015523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58468983721953"/>
          <c:y val="0.0606060606060606"/>
          <c:w val="0.901715794104707"/>
          <c:h val="0.725730027548209"/>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1713.21</c:v>
                </c:pt>
                <c:pt idx="1">
                  <c:v>1713.21</c:v>
                </c:pt>
              </c:numCache>
            </c:numRef>
          </c:val>
        </c:ser>
        <c:ser>
          <c:idx val="1"/>
          <c:order val="1"/>
          <c:tx>
            <c:strRef>
              <c:f>Sheet1!$C$1</c:f>
              <c:strCache>
                <c:ptCount val="1"/>
                <c:pt idx="0">
                  <c:v>财政拨款数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4858.43</c:v>
                </c:pt>
                <c:pt idx="1">
                  <c:v>5668.79</c:v>
                </c:pt>
              </c:numCache>
            </c:numRef>
          </c:val>
        </c:ser>
        <c:ser>
          <c:idx val="2"/>
          <c:order val="2"/>
          <c:tx>
            <c:strRef>
              <c:f>Sheet1!#REF!</c:f>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464171746"/>
        <c:axId val="486340482"/>
      </c:barChart>
      <c:catAx>
        <c:axId val="46417174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6340482"/>
        <c:crosses val="autoZero"/>
        <c:auto val="1"/>
        <c:lblAlgn val="ctr"/>
        <c:lblOffset val="100"/>
        <c:noMultiLvlLbl val="0"/>
      </c:catAx>
      <c:valAx>
        <c:axId val="48634048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171746"/>
        <c:crosses val="autoZero"/>
        <c:crossBetween val="between"/>
      </c:valAx>
      <c:spPr>
        <a:noFill/>
        <a:ln>
          <a:noFill/>
        </a:ln>
        <a:effectLst/>
      </c:spPr>
    </c:plotArea>
    <c:legend>
      <c:legendPos val="b"/>
      <c:legendEntry>
        <c:idx val="2"/>
        <c:delete val="1"/>
      </c:legendEntry>
      <c:layout>
        <c:manualLayout>
          <c:xMode val="edge"/>
          <c:yMode val="edge"/>
          <c:x val="0.373500605260262"/>
          <c:y val="0.87938736439055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543160020191822"/>
          <c:y val="0.00595466769112562"/>
          <c:w val="0.880161534578496"/>
          <c:h val="0.827890895121014"/>
        </c:manualLayout>
      </c:layout>
      <c:pie3DChart>
        <c:varyColors val="1"/>
        <c:ser>
          <c:idx val="0"/>
          <c:order val="0"/>
          <c:tx>
            <c:strRef>
              <c:f>Sheet1!$B$1</c:f>
              <c:strCache>
                <c:ptCount val="1"/>
                <c:pt idx="0">
                  <c:v>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科学技术支出</c:v>
                </c:pt>
                <c:pt idx="1">
                  <c:v>节能环保支出</c:v>
                </c:pt>
                <c:pt idx="2">
                  <c:v>城乡社区支出</c:v>
                </c:pt>
                <c:pt idx="3">
                  <c:v>资源勘探信息</c:v>
                </c:pt>
              </c:strCache>
            </c:strRef>
          </c:cat>
          <c:val>
            <c:numRef>
              <c:f>Sheet1!$B$2:$B$5</c:f>
              <c:numCache>
                <c:formatCode>General</c:formatCode>
                <c:ptCount val="4"/>
                <c:pt idx="0">
                  <c:v>26.83</c:v>
                </c:pt>
                <c:pt idx="1">
                  <c:v>21.85</c:v>
                </c:pt>
                <c:pt idx="2">
                  <c:v>4.28</c:v>
                </c:pt>
                <c:pt idx="3">
                  <c:v>47.04</c:v>
                </c:pt>
              </c:numCache>
            </c:numRef>
          </c:val>
        </c:ser>
        <c:dLbls>
          <c:showLegendKey val="0"/>
          <c:showVal val="1"/>
          <c:showCatName val="0"/>
          <c:showSerName val="0"/>
          <c:showPercent val="0"/>
          <c:showBubbleSize val="0"/>
        </c:dLbls>
      </c:pie3DChart>
      <c:spPr>
        <a:noFill/>
        <a:ln>
          <a:noFill/>
        </a:ln>
        <a:effectLst/>
      </c:spPr>
    </c:plotArea>
    <c:legend>
      <c:legendPos val="b"/>
      <c:layout>
        <c:manualLayout>
          <c:xMode val="edge"/>
          <c:yMode val="edge"/>
          <c:x val="0.221048377672887"/>
          <c:y val="0.837393400538573"/>
          <c:w val="0.581288503706798"/>
          <c:h val="0.079741828024151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3</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2021-06-18T07:14:01Z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