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>
      <w:pPr>
        <w:ind w:firstLine="600" w:firstLineChars="200"/>
        <w:rPr>
          <w:rFonts w:hint="eastAsia"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  <w:lang w:eastAsia="zh-CN"/>
        </w:rPr>
        <w:t>三、</w:t>
      </w:r>
      <w:r>
        <w:rPr>
          <w:rFonts w:hint="eastAsia" w:ascii="黑体" w:hAnsi="黑体" w:eastAsia="黑体" w:cs="仿宋_GB2312"/>
          <w:sz w:val="30"/>
          <w:szCs w:val="30"/>
        </w:rPr>
        <w:t>藁城区卫生部门2020年部门预算绩效文本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宋体-方正超大字符集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19451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1</TotalTime>
  <ScaleCrop>false</ScaleCrop>
  <LinksUpToDate>false</LinksUpToDate>
  <CharactersWithSpaces>301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真诚</cp:lastModifiedBy>
  <dcterms:modified xsi:type="dcterms:W3CDTF">2020-03-05T11:57:12Z</dcterms:modified>
  <dc:title>2020年部门预算信息公开目录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