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1" w:name="_GoBack"/>
      <w:bookmarkEnd w:id="1"/>
    </w:p>
    <w:p>
      <w:pPr>
        <w:jc w:val="center"/>
        <w:rPr>
          <w:rFonts w:ascii="黑体" w:eastAsia="黑体"/>
          <w:b/>
          <w:sz w:val="72"/>
        </w:rPr>
      </w:pPr>
    </w:p>
    <w:p>
      <w:pPr>
        <w:jc w:val="center"/>
        <w:rPr>
          <w:rFonts w:ascii="黑体" w:eastAsia="黑体"/>
          <w:b/>
          <w:sz w:val="52"/>
          <w:szCs w:val="52"/>
        </w:rPr>
      </w:pPr>
      <w:r>
        <w:rPr>
          <w:rFonts w:hint="eastAsia" w:ascii="黑体" w:eastAsia="黑体"/>
          <w:b/>
          <w:sz w:val="52"/>
          <w:szCs w:val="52"/>
        </w:rPr>
        <w:t>2019年石家庄市藁城区信访局预算信息公开</w:t>
      </w:r>
    </w:p>
    <w:p>
      <w:pPr>
        <w:jc w:val="center"/>
        <w:rPr>
          <w:rFonts w:ascii="黑体" w:eastAsia="黑体"/>
          <w:b/>
          <w:sz w:val="52"/>
        </w:rPr>
      </w:pPr>
    </w:p>
    <w:p>
      <w:pPr>
        <w:jc w:val="center"/>
        <w:rPr>
          <w:rFonts w:ascii="黑体" w:eastAsia="黑体"/>
          <w:b/>
          <w:sz w:val="72"/>
        </w:rPr>
      </w:pPr>
    </w:p>
    <w:p>
      <w:pPr>
        <w:jc w:val="center"/>
        <w:rPr>
          <w:rFonts w:ascii="黑体" w:eastAsia="黑体"/>
          <w:b/>
          <w:sz w:val="72"/>
        </w:rPr>
      </w:pPr>
    </w:p>
    <w:p>
      <w:pPr>
        <w:jc w:val="center"/>
        <w:rPr>
          <w:rFonts w:ascii="黑体" w:eastAsia="黑体"/>
          <w:b/>
          <w:sz w:val="72"/>
        </w:rPr>
      </w:pPr>
    </w:p>
    <w:p>
      <w:pPr>
        <w:jc w:val="center"/>
        <w:rPr>
          <w:rFonts w:ascii="黑体" w:eastAsia="黑体"/>
          <w:b/>
          <w:sz w:val="72"/>
        </w:rPr>
      </w:pPr>
    </w:p>
    <w:p>
      <w:pPr>
        <w:jc w:val="center"/>
        <w:rPr>
          <w:rFonts w:ascii="黑体" w:eastAsia="黑体"/>
          <w:b/>
          <w:sz w:val="72"/>
        </w:rPr>
      </w:pPr>
    </w:p>
    <w:p>
      <w:pPr>
        <w:jc w:val="center"/>
        <w:rPr>
          <w:rFonts w:ascii="黑体" w:eastAsia="黑体"/>
          <w:b/>
          <w:sz w:val="72"/>
        </w:rPr>
      </w:pPr>
    </w:p>
    <w:p>
      <w:pPr>
        <w:jc w:val="center"/>
        <w:rPr>
          <w:rFonts w:ascii="黑体" w:eastAsia="黑体"/>
          <w:b/>
          <w:sz w:val="72"/>
        </w:rPr>
      </w:pPr>
    </w:p>
    <w:p>
      <w:pPr>
        <w:jc w:val="center"/>
        <w:rPr>
          <w:rFonts w:ascii="黑体" w:eastAsia="黑体"/>
          <w:b/>
          <w:sz w:val="72"/>
        </w:rPr>
      </w:pPr>
    </w:p>
    <w:p>
      <w:pPr>
        <w:jc w:val="center"/>
        <w:rPr>
          <w:rFonts w:ascii="宋体"/>
          <w:b/>
          <w:sz w:val="44"/>
          <w:szCs w:val="44"/>
        </w:rPr>
      </w:pPr>
      <w:r>
        <w:rPr>
          <w:rFonts w:hint="eastAsia" w:ascii="宋体"/>
          <w:b/>
          <w:sz w:val="44"/>
          <w:szCs w:val="44"/>
        </w:rPr>
        <w:t>石家庄市藁城区信访局</w:t>
      </w:r>
    </w:p>
    <w:p>
      <w:pPr>
        <w:jc w:val="center"/>
      </w:pPr>
    </w:p>
    <w:p>
      <w:pPr>
        <w:jc w:val="center"/>
        <w:sectPr>
          <w:headerReference r:id="rId3" w:type="default"/>
          <w:headerReference r:id="rId4" w:type="even"/>
          <w:pgSz w:w="11906" w:h="16838"/>
          <w:pgMar w:top="1440" w:right="1800" w:bottom="1440" w:left="1800" w:header="851" w:footer="992" w:gutter="0"/>
          <w:cols w:space="720" w:num="1"/>
          <w:docGrid w:type="lines" w:linePitch="312" w:charSpace="0"/>
        </w:sectPr>
      </w:pPr>
    </w:p>
    <w:p>
      <w:pPr>
        <w:ind w:left="420" w:leftChars="200" w:firstLine="640" w:firstLineChars="200"/>
        <w:jc w:val="left"/>
        <w:rPr>
          <w:rFonts w:ascii="仿宋" w:hAnsi="仿宋" w:eastAsia="仿宋"/>
          <w:sz w:val="32"/>
          <w:szCs w:val="32"/>
        </w:rPr>
      </w:pPr>
      <w:r>
        <w:rPr>
          <w:rFonts w:hint="eastAsia" w:ascii="仿宋" w:hAnsi="仿宋" w:eastAsia="仿宋"/>
          <w:sz w:val="32"/>
          <w:szCs w:val="32"/>
        </w:rPr>
        <w:t>按照《预算法》规定，现将石家庄市藁城区信访局2019年部门预算信息公开如下:</w:t>
      </w:r>
    </w:p>
    <w:p>
      <w:pPr>
        <w:ind w:firstLine="900" w:firstLineChars="250"/>
        <w:jc w:val="left"/>
        <w:rPr>
          <w:rFonts w:ascii="宋体" w:hAnsi="宋体"/>
          <w:sz w:val="36"/>
          <w:szCs w:val="36"/>
        </w:rPr>
      </w:pPr>
      <w:r>
        <w:rPr>
          <w:rFonts w:hint="eastAsia" w:ascii="宋体" w:hAnsi="宋体"/>
          <w:sz w:val="36"/>
          <w:szCs w:val="36"/>
        </w:rPr>
        <w:t>第一部分 部门职责及机构设置情况</w:t>
      </w:r>
      <w:bookmarkStart w:id="0" w:name="_Toc441517130"/>
    </w:p>
    <w:bookmarkEnd w:id="0"/>
    <w:p>
      <w:pPr>
        <w:adjustRightInd w:val="0"/>
        <w:snapToGrid w:val="0"/>
        <w:spacing w:line="560" w:lineRule="exact"/>
        <w:ind w:firstLine="640" w:firstLineChars="200"/>
        <w:rPr>
          <w:rFonts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rPr>
        <w:t>部门</w:t>
      </w:r>
      <w:r>
        <w:rPr>
          <w:rFonts w:ascii="仿宋_GB2312" w:hAnsi="仿宋_GB2312" w:eastAsia="仿宋_GB2312" w:cs="仿宋_GB2312"/>
          <w:sz w:val="32"/>
          <w:szCs w:val="32"/>
        </w:rPr>
        <w:t>职责：</w:t>
      </w:r>
      <w:r>
        <w:rPr>
          <w:rFonts w:hint="eastAsia" w:ascii="仿宋_GB2312" w:hAnsi="仿宋_GB2312" w:eastAsia="仿宋_GB2312" w:cs="仿宋_GB2312"/>
          <w:sz w:val="32"/>
          <w:szCs w:val="32"/>
          <w:shd w:val="clear" w:color="auto" w:fill="FFFFFF"/>
        </w:rPr>
        <w:t>石家庄市藁城区信访局（简称区信访局）为区委工作机关，机构规格正科级。区信访局的主要职责是：</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sz w:val="32"/>
          <w:szCs w:val="32"/>
          <w:shd w:val="clear" w:color="auto" w:fill="FFFFFF"/>
        </w:rPr>
        <w:t>(一)研究提出全区信访工作思路，贯彻落实关于信访稳定工作</w:t>
      </w:r>
      <w:r>
        <w:rPr>
          <w:rFonts w:hint="eastAsia" w:ascii="仿宋_GB2312" w:hAnsi="仿宋_GB2312" w:eastAsia="仿宋_GB2312" w:cs="仿宋_GB2312"/>
          <w:color w:val="000000"/>
          <w:sz w:val="32"/>
          <w:szCs w:val="32"/>
          <w:shd w:val="clear" w:color="auto" w:fill="FFFFFF"/>
        </w:rPr>
        <w:t>的法律法规和规章。</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(二)办理人民群众来信，接待群众来访，受理群众网上投诉，查办信访案件，负责人民群众建议征集工作。</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(三)调查研究和综合分析全区信访形势及信访工作状况，总结推广各乡镇、石家庄经济技术开发区、藁城经济开发区和区直各部门信访工作经验，提出改进和加强信访工作的意见和建议。</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(四)参与组织、协调、指导全区社会治安综合治理和维护社会政治稳定工作，协助保障国家、省、市、区重大政治活动顺利进行，参与处理影响社会政治稳定的突发性、群体性事件。</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 xml:space="preserve">(五)督促检查和指导全区各级党委、政府和区直有关部门的信访工作。对各乡镇、石家庄经济技术开发区、藁城经济开发区和区直各部门信访工作年度责任目标进行考核，对全区社会治安综合治理和维护社会政治稳定年度责任目标中有关信访工作进行考核。        </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(六)协助上级处理藁城区群众进京上访工作，综合协调处理跨地区、跨部门、跨行业的重要信访问题，协助公安机关维护区委、区政府机关正常工作秩序。</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(七)负责省、市、区领导及省直、市直部门领导公开接访和包联案件的组织协调工作。</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(八)承担藁城区信访工作联席会议的日常工作，督促落实联席会议决定的事项。</w:t>
      </w:r>
    </w:p>
    <w:p>
      <w:pPr>
        <w:adjustRightInd w:val="0"/>
        <w:snapToGrid w:val="0"/>
        <w:spacing w:line="560" w:lineRule="exact"/>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color w:val="000000"/>
          <w:sz w:val="32"/>
          <w:szCs w:val="32"/>
          <w:shd w:val="clear" w:color="auto" w:fill="FFFFFF"/>
        </w:rPr>
        <w:t>(九)完成区委、区政府以及上级交办的其他任务。</w:t>
      </w:r>
    </w:p>
    <w:p>
      <w:pPr>
        <w:ind w:firstLine="480" w:firstLineChars="15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机构设置</w:t>
      </w:r>
    </w:p>
    <w:tbl>
      <w:tblPr>
        <w:tblStyle w:val="7"/>
        <w:tblW w:w="8518" w:type="dxa"/>
        <w:jc w:val="center"/>
        <w:tblInd w:w="117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46"/>
        <w:gridCol w:w="1303"/>
        <w:gridCol w:w="1248"/>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tblHeader/>
          <w:jc w:val="center"/>
        </w:trPr>
        <w:tc>
          <w:tcPr>
            <w:tcW w:w="3246" w:type="dxa"/>
            <w:vAlign w:val="center"/>
          </w:tcPr>
          <w:p>
            <w:pPr>
              <w:jc w:val="center"/>
              <w:rPr>
                <w:rFonts w:ascii="黑体" w:hAnsi="黑体" w:eastAsia="黑体"/>
                <w:b/>
                <w:sz w:val="24"/>
              </w:rPr>
            </w:pPr>
            <w:r>
              <w:rPr>
                <w:rFonts w:hint="eastAsia" w:ascii="黑体" w:hAnsi="黑体" w:eastAsia="黑体"/>
                <w:b/>
                <w:sz w:val="24"/>
              </w:rPr>
              <w:t>单位名称</w:t>
            </w:r>
          </w:p>
        </w:tc>
        <w:tc>
          <w:tcPr>
            <w:tcW w:w="1303" w:type="dxa"/>
            <w:vAlign w:val="center"/>
          </w:tcPr>
          <w:p>
            <w:pPr>
              <w:jc w:val="center"/>
              <w:rPr>
                <w:rFonts w:ascii="黑体" w:hAnsi="黑体" w:eastAsia="黑体"/>
                <w:b/>
                <w:sz w:val="24"/>
              </w:rPr>
            </w:pPr>
            <w:r>
              <w:rPr>
                <w:rFonts w:hint="eastAsia" w:ascii="黑体" w:hAnsi="黑体" w:eastAsia="黑体"/>
                <w:b/>
                <w:sz w:val="24"/>
              </w:rPr>
              <w:t>单位性质</w:t>
            </w:r>
          </w:p>
        </w:tc>
        <w:tc>
          <w:tcPr>
            <w:tcW w:w="1248" w:type="dxa"/>
            <w:vAlign w:val="center"/>
          </w:tcPr>
          <w:p>
            <w:pPr>
              <w:jc w:val="center"/>
              <w:rPr>
                <w:rFonts w:ascii="黑体" w:hAnsi="黑体" w:eastAsia="黑体"/>
                <w:b/>
                <w:sz w:val="24"/>
              </w:rPr>
            </w:pPr>
            <w:r>
              <w:rPr>
                <w:rFonts w:hint="eastAsia" w:ascii="黑体" w:hAnsi="黑体" w:eastAsia="黑体"/>
                <w:b/>
                <w:sz w:val="24"/>
              </w:rPr>
              <w:t>单位规格</w:t>
            </w:r>
          </w:p>
        </w:tc>
        <w:tc>
          <w:tcPr>
            <w:tcW w:w="2721" w:type="dxa"/>
            <w:vAlign w:val="center"/>
          </w:tcPr>
          <w:p>
            <w:pPr>
              <w:jc w:val="center"/>
              <w:rPr>
                <w:rFonts w:ascii="黑体" w:hAnsi="黑体" w:eastAsia="黑体"/>
                <w:b/>
                <w:sz w:val="24"/>
              </w:rPr>
            </w:pPr>
            <w:r>
              <w:rPr>
                <w:rFonts w:hint="eastAsia" w:ascii="黑体" w:hAnsi="黑体" w:eastAsia="黑体"/>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3246" w:type="dxa"/>
          </w:tcPr>
          <w:p>
            <w:pPr>
              <w:jc w:val="left"/>
              <w:rPr>
                <w:rFonts w:ascii="宋体" w:hAnsi="宋体"/>
                <w:sz w:val="24"/>
              </w:rPr>
            </w:pPr>
            <w:r>
              <w:rPr>
                <w:rFonts w:hint="eastAsia" w:ascii="宋体" w:hAnsi="宋体"/>
                <w:sz w:val="18"/>
              </w:rPr>
              <w:t>石家庄市藁城区信访局</w:t>
            </w:r>
          </w:p>
        </w:tc>
        <w:tc>
          <w:tcPr>
            <w:tcW w:w="1303" w:type="dxa"/>
          </w:tcPr>
          <w:p>
            <w:pPr>
              <w:jc w:val="left"/>
              <w:rPr>
                <w:rFonts w:ascii="宋体" w:hAnsi="宋体"/>
                <w:sz w:val="24"/>
              </w:rPr>
            </w:pPr>
            <w:r>
              <w:rPr>
                <w:rFonts w:hint="eastAsia" w:ascii="宋体" w:hAnsi="宋体"/>
                <w:sz w:val="24"/>
              </w:rPr>
              <w:t>行政</w:t>
            </w:r>
          </w:p>
        </w:tc>
        <w:tc>
          <w:tcPr>
            <w:tcW w:w="1248" w:type="dxa"/>
          </w:tcPr>
          <w:p>
            <w:pPr>
              <w:jc w:val="center"/>
              <w:rPr>
                <w:rFonts w:ascii="宋体" w:hAnsi="宋体"/>
                <w:sz w:val="24"/>
              </w:rPr>
            </w:pPr>
            <w:r>
              <w:rPr>
                <w:rFonts w:hint="eastAsia" w:ascii="宋体" w:hAnsi="宋体"/>
                <w:sz w:val="24"/>
              </w:rPr>
              <w:t>正科级</w:t>
            </w:r>
          </w:p>
        </w:tc>
        <w:tc>
          <w:tcPr>
            <w:tcW w:w="2721" w:type="dxa"/>
          </w:tcPr>
          <w:p>
            <w:pPr>
              <w:jc w:val="left"/>
              <w:rPr>
                <w:rFonts w:ascii="宋体" w:hAnsi="宋体"/>
                <w:sz w:val="24"/>
              </w:rPr>
            </w:pPr>
            <w:r>
              <w:rPr>
                <w:rFonts w:hint="eastAsia" w:ascii="宋体" w:hAnsi="宋体"/>
                <w:sz w:val="24"/>
              </w:rPr>
              <w:t>财政拨款</w:t>
            </w:r>
          </w:p>
        </w:tc>
      </w:tr>
    </w:tbl>
    <w:p>
      <w:pPr>
        <w:ind w:firstLine="720" w:firstLineChars="200"/>
        <w:jc w:val="left"/>
        <w:outlineLvl w:val="0"/>
        <w:rPr>
          <w:rFonts w:ascii="宋体" w:hAnsi="宋体"/>
          <w:sz w:val="36"/>
        </w:rPr>
      </w:pPr>
      <w:r>
        <w:rPr>
          <w:rFonts w:hint="eastAsia" w:ascii="宋体" w:hAnsi="宋体"/>
          <w:sz w:val="36"/>
        </w:rPr>
        <w:t>二、部门预算总体情况</w:t>
      </w:r>
    </w:p>
    <w:p>
      <w:pPr>
        <w:ind w:firstLine="720"/>
        <w:jc w:val="left"/>
        <w:outlineLvl w:val="0"/>
        <w:rPr>
          <w:rFonts w:ascii="仿宋" w:hAnsi="仿宋" w:eastAsia="仿宋"/>
          <w:sz w:val="32"/>
          <w:szCs w:val="32"/>
        </w:rPr>
      </w:pPr>
      <w:r>
        <w:rPr>
          <w:rFonts w:hint="eastAsia" w:ascii="仿宋" w:hAnsi="仿宋" w:eastAsia="仿宋"/>
          <w:sz w:val="32"/>
          <w:szCs w:val="32"/>
        </w:rPr>
        <w:t>按照预算管理有关规定，目前我区部门预算的编制实行综合预算制度，即全部收入和支出都反映的预算中。</w:t>
      </w:r>
    </w:p>
    <w:p>
      <w:pPr>
        <w:ind w:firstLine="720"/>
        <w:jc w:val="left"/>
        <w:outlineLvl w:val="0"/>
        <w:rPr>
          <w:rFonts w:ascii="仿宋" w:hAnsi="仿宋" w:eastAsia="仿宋"/>
          <w:sz w:val="32"/>
          <w:szCs w:val="32"/>
        </w:rPr>
      </w:pPr>
      <w:r>
        <w:rPr>
          <w:rFonts w:hint="eastAsia" w:ascii="仿宋" w:hAnsi="仿宋" w:eastAsia="仿宋"/>
          <w:sz w:val="32"/>
          <w:szCs w:val="32"/>
        </w:rPr>
        <w:t>1.收入说明</w:t>
      </w:r>
    </w:p>
    <w:p>
      <w:pPr>
        <w:ind w:firstLine="720"/>
        <w:jc w:val="left"/>
        <w:outlineLvl w:val="0"/>
        <w:rPr>
          <w:rFonts w:ascii="仿宋" w:hAnsi="仿宋" w:eastAsia="仿宋"/>
          <w:sz w:val="32"/>
          <w:szCs w:val="32"/>
        </w:rPr>
      </w:pPr>
      <w:r>
        <w:rPr>
          <w:rFonts w:hint="eastAsia" w:ascii="仿宋" w:hAnsi="仿宋" w:eastAsia="仿宋"/>
          <w:sz w:val="32"/>
          <w:szCs w:val="32"/>
        </w:rPr>
        <w:t>2019年预算收入</w:t>
      </w:r>
      <w:r>
        <w:rPr>
          <w:rFonts w:ascii="仿宋" w:hAnsi="仿宋" w:eastAsia="仿宋"/>
          <w:sz w:val="32"/>
          <w:szCs w:val="32"/>
        </w:rPr>
        <w:t>472.60</w:t>
      </w:r>
      <w:r>
        <w:rPr>
          <w:rFonts w:hint="eastAsia" w:ascii="仿宋" w:hAnsi="仿宋" w:eastAsia="仿宋"/>
          <w:sz w:val="32"/>
          <w:szCs w:val="32"/>
        </w:rPr>
        <w:t>万元，其中：一般公共预算收入</w:t>
      </w:r>
      <w:r>
        <w:rPr>
          <w:rFonts w:ascii="仿宋" w:hAnsi="仿宋" w:eastAsia="仿宋"/>
          <w:sz w:val="32"/>
          <w:szCs w:val="32"/>
        </w:rPr>
        <w:t>472.60</w:t>
      </w:r>
      <w:r>
        <w:rPr>
          <w:rFonts w:hint="eastAsia" w:ascii="仿宋" w:hAnsi="仿宋" w:eastAsia="仿宋"/>
          <w:sz w:val="32"/>
          <w:szCs w:val="32"/>
        </w:rPr>
        <w:t>万元，政府性基金收入0万元,财政专户核拨收入0万元，其他来源收入0万元。</w:t>
      </w:r>
    </w:p>
    <w:p>
      <w:pPr>
        <w:ind w:firstLine="720"/>
        <w:jc w:val="left"/>
        <w:outlineLvl w:val="0"/>
        <w:rPr>
          <w:rFonts w:ascii="仿宋" w:hAnsi="仿宋" w:eastAsia="仿宋"/>
          <w:sz w:val="32"/>
          <w:szCs w:val="32"/>
        </w:rPr>
      </w:pPr>
      <w:r>
        <w:rPr>
          <w:rFonts w:hint="eastAsia" w:ascii="仿宋" w:hAnsi="仿宋" w:eastAsia="仿宋"/>
          <w:sz w:val="32"/>
          <w:szCs w:val="32"/>
        </w:rPr>
        <w:t>2.支出说明</w:t>
      </w:r>
    </w:p>
    <w:p>
      <w:pPr>
        <w:ind w:firstLine="720"/>
        <w:jc w:val="left"/>
        <w:outlineLvl w:val="0"/>
        <w:rPr>
          <w:rFonts w:ascii="仿宋" w:hAnsi="仿宋" w:eastAsia="仿宋"/>
          <w:sz w:val="32"/>
          <w:szCs w:val="32"/>
        </w:rPr>
      </w:pPr>
      <w:r>
        <w:rPr>
          <w:rFonts w:hint="eastAsia" w:ascii="仿宋" w:hAnsi="仿宋" w:eastAsia="仿宋"/>
          <w:sz w:val="32"/>
          <w:szCs w:val="32"/>
        </w:rPr>
        <w:t>2019年支出预算</w:t>
      </w:r>
      <w:r>
        <w:rPr>
          <w:rFonts w:ascii="仿宋" w:hAnsi="仿宋" w:eastAsia="仿宋"/>
          <w:sz w:val="32"/>
          <w:szCs w:val="32"/>
        </w:rPr>
        <w:t>472.60</w:t>
      </w:r>
      <w:r>
        <w:rPr>
          <w:rFonts w:hint="eastAsia" w:ascii="仿宋" w:hAnsi="仿宋" w:eastAsia="仿宋"/>
          <w:sz w:val="32"/>
          <w:szCs w:val="32"/>
        </w:rPr>
        <w:t>万元，基中基本支出266万元，包括人员经费238.08万元和日常公用经费27.92万元；项目支出206.6万元，主要为：其他对个人和家庭的补助58万元、差旅费100万元、维修（护）费1.60万元、办公费47万元。</w:t>
      </w:r>
    </w:p>
    <w:p>
      <w:pPr>
        <w:jc w:val="left"/>
        <w:outlineLvl w:val="0"/>
        <w:rPr>
          <w:rFonts w:ascii="仿宋" w:hAnsi="仿宋" w:eastAsia="仿宋"/>
          <w:sz w:val="32"/>
          <w:szCs w:val="32"/>
        </w:rPr>
      </w:pPr>
      <w:r>
        <w:rPr>
          <w:rFonts w:hint="eastAsia" w:ascii="仿宋" w:hAnsi="仿宋" w:eastAsia="仿宋"/>
          <w:sz w:val="32"/>
          <w:szCs w:val="32"/>
        </w:rPr>
        <w:t xml:space="preserve">     3.比上年增减情况</w:t>
      </w:r>
    </w:p>
    <w:p>
      <w:pPr>
        <w:jc w:val="left"/>
        <w:outlineLvl w:val="0"/>
        <w:rPr>
          <w:rFonts w:ascii="仿宋" w:hAnsi="仿宋" w:eastAsia="仿宋"/>
          <w:sz w:val="32"/>
          <w:szCs w:val="32"/>
        </w:rPr>
      </w:pPr>
      <w:r>
        <w:rPr>
          <w:rFonts w:hint="eastAsia" w:ascii="仿宋" w:hAnsi="仿宋" w:eastAsia="仿宋"/>
          <w:sz w:val="32"/>
          <w:szCs w:val="32"/>
        </w:rPr>
        <w:t xml:space="preserve">     2019年预算收支安排</w:t>
      </w:r>
      <w:r>
        <w:rPr>
          <w:rFonts w:ascii="仿宋" w:hAnsi="仿宋" w:eastAsia="仿宋"/>
          <w:sz w:val="32"/>
          <w:szCs w:val="32"/>
        </w:rPr>
        <w:t>472.60</w:t>
      </w:r>
      <w:r>
        <w:rPr>
          <w:rFonts w:hint="eastAsia" w:ascii="仿宋" w:hAnsi="仿宋" w:eastAsia="仿宋"/>
          <w:sz w:val="32"/>
          <w:szCs w:val="32"/>
        </w:rPr>
        <w:t>万元，较2018年预算减少32.31万元，基中：基本支出减少29.31万元，主要原因为：人员经费支出减少；项目支出减少3万元，主要原因为：信访工作费用减少。</w:t>
      </w:r>
    </w:p>
    <w:p>
      <w:pPr>
        <w:jc w:val="left"/>
        <w:outlineLvl w:val="0"/>
        <w:rPr>
          <w:rFonts w:ascii="宋体" w:hAnsi="宋体"/>
          <w:sz w:val="36"/>
          <w:szCs w:val="36"/>
        </w:rPr>
      </w:pPr>
      <w:r>
        <w:rPr>
          <w:rFonts w:hint="eastAsia" w:ascii="仿宋" w:hAnsi="仿宋" w:eastAsia="仿宋"/>
          <w:sz w:val="32"/>
          <w:szCs w:val="32"/>
        </w:rPr>
        <w:t xml:space="preserve">    </w:t>
      </w:r>
      <w:r>
        <w:rPr>
          <w:rFonts w:hint="eastAsia" w:ascii="宋体" w:hAnsi="宋体"/>
          <w:sz w:val="36"/>
          <w:szCs w:val="36"/>
        </w:rPr>
        <w:t xml:space="preserve">三、机关运行经费安排情况            </w:t>
      </w:r>
    </w:p>
    <w:p>
      <w:pPr>
        <w:ind w:firstLine="640" w:firstLineChars="200"/>
        <w:jc w:val="left"/>
        <w:outlineLvl w:val="0"/>
        <w:rPr>
          <w:rFonts w:ascii="仿宋" w:hAnsi="仿宋" w:eastAsia="仿宋"/>
          <w:sz w:val="32"/>
          <w:szCs w:val="32"/>
        </w:rPr>
      </w:pPr>
      <w:r>
        <w:rPr>
          <w:rFonts w:ascii="仿宋" w:hAnsi="仿宋" w:eastAsia="仿宋"/>
          <w:sz w:val="32"/>
          <w:szCs w:val="32"/>
        </w:rPr>
        <w:t>机关运行经费共计安排</w:t>
      </w:r>
      <w:r>
        <w:rPr>
          <w:rFonts w:hint="eastAsia" w:ascii="仿宋" w:hAnsi="仿宋" w:eastAsia="仿宋"/>
          <w:sz w:val="32"/>
          <w:szCs w:val="32"/>
        </w:rPr>
        <w:t>266</w:t>
      </w:r>
      <w:r>
        <w:rPr>
          <w:rFonts w:ascii="仿宋" w:hAnsi="仿宋" w:eastAsia="仿宋"/>
          <w:sz w:val="32"/>
          <w:szCs w:val="32"/>
        </w:rPr>
        <w:t>万元，主要用于</w:t>
      </w:r>
      <w:r>
        <w:rPr>
          <w:rFonts w:hint="eastAsia" w:ascii="仿宋" w:hAnsi="仿宋" w:eastAsia="仿宋"/>
          <w:sz w:val="32"/>
          <w:szCs w:val="32"/>
        </w:rPr>
        <w:t>我部门办公及印刷费、差旅费、水电费、日常维修费等日常运行支出</w:t>
      </w:r>
      <w:r>
        <w:rPr>
          <w:rFonts w:ascii="仿宋" w:hAnsi="仿宋" w:eastAsia="仿宋"/>
          <w:sz w:val="32"/>
          <w:szCs w:val="32"/>
        </w:rPr>
        <w:t>。</w:t>
      </w:r>
      <w:r>
        <w:rPr>
          <w:rFonts w:hint="eastAsia" w:ascii="仿宋" w:hAnsi="仿宋" w:eastAsia="仿宋"/>
          <w:sz w:val="32"/>
          <w:szCs w:val="32"/>
        </w:rPr>
        <w:t xml:space="preserve">  </w:t>
      </w:r>
    </w:p>
    <w:p>
      <w:pPr>
        <w:jc w:val="left"/>
        <w:outlineLvl w:val="0"/>
        <w:rPr>
          <w:rFonts w:ascii="宋体" w:hAnsi="宋体"/>
          <w:sz w:val="36"/>
          <w:szCs w:val="36"/>
        </w:rPr>
      </w:pPr>
      <w:r>
        <w:rPr>
          <w:rFonts w:hint="eastAsia" w:ascii="宋体" w:hAnsi="宋体"/>
          <w:sz w:val="36"/>
          <w:szCs w:val="36"/>
        </w:rPr>
        <w:t xml:space="preserve">    四、财政拨款“三公”经费预算情况及增减变化原因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 xml:space="preserve"> 2019年本部门安排“三公”经费0万元与上年相比持平，无增减变化。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1、因公出国（境）费0万元，与上年相比持平，无增减变化。</w:t>
      </w:r>
      <w:r>
        <w:rPr>
          <w:rFonts w:ascii="仿宋" w:hAnsi="仿宋" w:eastAsia="仿宋"/>
          <w:sz w:val="32"/>
          <w:szCs w:val="32"/>
        </w:rPr>
        <w:t xml:space="preserve"> </w:t>
      </w:r>
    </w:p>
    <w:p>
      <w:pPr>
        <w:ind w:firstLine="640" w:firstLineChars="200"/>
        <w:outlineLvl w:val="0"/>
        <w:rPr>
          <w:rFonts w:ascii="仿宋" w:hAnsi="仿宋" w:eastAsia="仿宋"/>
          <w:sz w:val="32"/>
          <w:szCs w:val="32"/>
          <w:highlight w:val="red"/>
        </w:rPr>
      </w:pPr>
      <w:r>
        <w:rPr>
          <w:rFonts w:hint="eastAsia" w:ascii="仿宋" w:hAnsi="仿宋" w:eastAsia="仿宋"/>
          <w:sz w:val="32"/>
          <w:szCs w:val="32"/>
        </w:rPr>
        <w:t>2、公务用车购置及运行维护费0万元，其中：公务用车购置0万元，与上年相比持平，无增减变化；公务用车运行维护费0万元，与上年相比持平，无增减变化。</w:t>
      </w:r>
    </w:p>
    <w:p>
      <w:pPr>
        <w:numPr>
          <w:ilvl w:val="0"/>
          <w:numId w:val="1"/>
        </w:numPr>
        <w:ind w:firstLine="640" w:firstLineChars="200"/>
        <w:outlineLvl w:val="0"/>
        <w:rPr>
          <w:rFonts w:ascii="宋体" w:hAnsi="宋体"/>
          <w:sz w:val="36"/>
          <w:szCs w:val="36"/>
        </w:rPr>
      </w:pPr>
      <w:r>
        <w:rPr>
          <w:rFonts w:hint="eastAsia" w:ascii="仿宋" w:hAnsi="仿宋" w:eastAsia="仿宋"/>
          <w:sz w:val="32"/>
          <w:szCs w:val="32"/>
        </w:rPr>
        <w:t>公务接待费0万元，与上年相比持平，无增减变化。</w:t>
      </w:r>
    </w:p>
    <w:p>
      <w:pPr>
        <w:ind w:left="720"/>
        <w:outlineLvl w:val="0"/>
        <w:rPr>
          <w:rFonts w:ascii="宋体" w:hAnsi="宋体"/>
          <w:sz w:val="36"/>
          <w:szCs w:val="36"/>
        </w:rPr>
      </w:pPr>
      <w:r>
        <w:rPr>
          <w:rFonts w:hint="eastAsia" w:ascii="宋体" w:hAnsi="宋体"/>
          <w:sz w:val="36"/>
          <w:szCs w:val="36"/>
        </w:rPr>
        <w:t>五、绩效预算信息</w:t>
      </w:r>
    </w:p>
    <w:p>
      <w:pPr>
        <w:ind w:firstLine="640" w:firstLineChars="200"/>
        <w:outlineLvl w:val="0"/>
        <w:rPr>
          <w:rFonts w:ascii="仿宋" w:hAnsi="仿宋" w:eastAsia="仿宋"/>
          <w:sz w:val="32"/>
          <w:szCs w:val="32"/>
        </w:rPr>
      </w:pPr>
      <w:r>
        <w:rPr>
          <w:rFonts w:hint="eastAsia" w:ascii="仿宋" w:hAnsi="仿宋" w:eastAsia="仿宋"/>
          <w:sz w:val="32"/>
          <w:szCs w:val="32"/>
        </w:rPr>
        <w:t>总体绩效目标：</w:t>
      </w:r>
    </w:p>
    <w:p>
      <w:pPr>
        <w:ind w:firstLine="640" w:firstLineChars="200"/>
        <w:outlineLvl w:val="0"/>
        <w:rPr>
          <w:rFonts w:ascii="仿宋" w:hAnsi="仿宋" w:eastAsia="仿宋"/>
          <w:sz w:val="32"/>
          <w:szCs w:val="32"/>
        </w:rPr>
      </w:pPr>
      <w:r>
        <w:rPr>
          <w:rFonts w:hint="eastAsia" w:ascii="仿宋" w:hAnsi="仿宋" w:eastAsia="仿宋"/>
          <w:sz w:val="32"/>
          <w:szCs w:val="32"/>
        </w:rPr>
        <w:t>一是深入排查、源头预防。开展全方位、立体式的信访稳定苗头隐患排查工作，摸清底数、厘清责任，及时做好矛盾化解工作，把问题解决在基层。</w:t>
      </w:r>
    </w:p>
    <w:p>
      <w:pPr>
        <w:ind w:firstLine="640" w:firstLineChars="200"/>
        <w:outlineLvl w:val="0"/>
        <w:rPr>
          <w:rFonts w:ascii="仿宋" w:hAnsi="仿宋" w:eastAsia="仿宋"/>
          <w:sz w:val="32"/>
          <w:szCs w:val="32"/>
        </w:rPr>
      </w:pPr>
      <w:r>
        <w:rPr>
          <w:rFonts w:hint="eastAsia" w:ascii="仿宋" w:hAnsi="仿宋" w:eastAsia="仿宋"/>
          <w:sz w:val="32"/>
          <w:szCs w:val="32"/>
        </w:rPr>
        <w:t>二是建立信访数据。对全区信访情况及时进行汇总、梳理、量化，建立信访数据库，通过数据对比、分析，增强工作针对性和有效性。</w:t>
      </w:r>
    </w:p>
    <w:p>
      <w:pPr>
        <w:ind w:firstLine="640" w:firstLineChars="200"/>
        <w:outlineLvl w:val="0"/>
        <w:rPr>
          <w:rFonts w:ascii="仿宋" w:hAnsi="仿宋" w:eastAsia="仿宋"/>
          <w:sz w:val="32"/>
          <w:szCs w:val="32"/>
        </w:rPr>
      </w:pPr>
      <w:r>
        <w:rPr>
          <w:rFonts w:hint="eastAsia" w:ascii="仿宋" w:hAnsi="仿宋" w:eastAsia="仿宋"/>
          <w:sz w:val="32"/>
          <w:szCs w:val="32"/>
        </w:rPr>
        <w:t>三是加强进京非访、越级集体访治理。</w:t>
      </w:r>
    </w:p>
    <w:p>
      <w:pPr>
        <w:ind w:firstLine="640" w:firstLineChars="200"/>
        <w:outlineLvl w:val="0"/>
        <w:rPr>
          <w:rFonts w:ascii="仿宋" w:hAnsi="仿宋" w:eastAsia="仿宋"/>
          <w:sz w:val="32"/>
          <w:szCs w:val="32"/>
        </w:rPr>
      </w:pPr>
      <w:r>
        <w:rPr>
          <w:rFonts w:hint="eastAsia" w:ascii="仿宋" w:hAnsi="仿宋" w:eastAsia="仿宋"/>
          <w:sz w:val="32"/>
          <w:szCs w:val="32"/>
        </w:rPr>
        <w:t>四是加大解决问题力度。</w:t>
      </w:r>
    </w:p>
    <w:p>
      <w:pPr>
        <w:ind w:firstLine="640" w:firstLineChars="200"/>
        <w:outlineLvl w:val="0"/>
        <w:rPr>
          <w:rFonts w:ascii="仿宋" w:hAnsi="仿宋" w:eastAsia="仿宋"/>
          <w:sz w:val="32"/>
          <w:szCs w:val="32"/>
        </w:rPr>
      </w:pPr>
      <w:r>
        <w:rPr>
          <w:rFonts w:hint="eastAsia" w:ascii="仿宋" w:hAnsi="仿宋" w:eastAsia="仿宋"/>
          <w:sz w:val="32"/>
          <w:szCs w:val="32"/>
        </w:rPr>
        <w:t>五是加强依法治访。梳理正确舆论导向，引导信访群众依法、逐级、有序信访。</w:t>
      </w:r>
    </w:p>
    <w:p>
      <w:pPr>
        <w:ind w:firstLine="640" w:firstLineChars="200"/>
        <w:outlineLvl w:val="0"/>
        <w:rPr>
          <w:rFonts w:ascii="仿宋" w:hAnsi="仿宋" w:eastAsia="仿宋"/>
          <w:sz w:val="32"/>
          <w:szCs w:val="32"/>
        </w:rPr>
      </w:pPr>
      <w:r>
        <w:rPr>
          <w:rFonts w:hint="eastAsia" w:ascii="仿宋" w:hAnsi="仿宋" w:eastAsia="仿宋"/>
          <w:sz w:val="32"/>
          <w:szCs w:val="32"/>
        </w:rPr>
        <w:t>六是推进信访信息系统建设。依托省信访信息系统，实现全区各节点互联互通，信访业务、工作过程、工作范围全覆盖。</w:t>
      </w:r>
    </w:p>
    <w:p>
      <w:pPr>
        <w:ind w:firstLine="640" w:firstLineChars="200"/>
        <w:outlineLvl w:val="0"/>
        <w:rPr>
          <w:rFonts w:ascii="仿宋" w:hAnsi="仿宋" w:eastAsia="仿宋"/>
          <w:sz w:val="32"/>
          <w:szCs w:val="32"/>
        </w:rPr>
      </w:pPr>
      <w:r>
        <w:rPr>
          <w:rFonts w:hint="eastAsia" w:ascii="仿宋" w:hAnsi="仿宋" w:eastAsia="仿宋"/>
          <w:sz w:val="32"/>
          <w:szCs w:val="32"/>
        </w:rPr>
        <w:t>七是推进群众工作中心建设。</w:t>
      </w:r>
    </w:p>
    <w:p>
      <w:pPr>
        <w:ind w:firstLine="640" w:firstLineChars="200"/>
        <w:outlineLvl w:val="0"/>
        <w:rPr>
          <w:rFonts w:ascii="仿宋" w:hAnsi="仿宋" w:eastAsia="仿宋"/>
          <w:sz w:val="32"/>
          <w:szCs w:val="32"/>
        </w:rPr>
      </w:pPr>
      <w:r>
        <w:rPr>
          <w:rFonts w:hint="eastAsia" w:ascii="仿宋" w:hAnsi="仿宋" w:eastAsia="仿宋"/>
          <w:sz w:val="32"/>
          <w:szCs w:val="32"/>
        </w:rPr>
        <w:t>部门职责及工作活动绩效目标指标：</w:t>
      </w:r>
    </w:p>
    <w:tbl>
      <w:tblPr>
        <w:tblStyle w:val="7"/>
        <w:tblW w:w="976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1"/>
        <w:gridCol w:w="850"/>
        <w:gridCol w:w="2410"/>
        <w:gridCol w:w="1559"/>
        <w:gridCol w:w="1276"/>
        <w:gridCol w:w="850"/>
        <w:gridCol w:w="567"/>
        <w:gridCol w:w="567"/>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707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542石家庄市藁城区信访局</w:t>
            </w:r>
          </w:p>
        </w:tc>
        <w:tc>
          <w:tcPr>
            <w:tcW w:w="2693"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仿宋" w:hAnsi="仿宋" w:eastAsia="仿宋" w:cs="仿宋"/>
                <w:szCs w:val="21"/>
              </w:rPr>
            </w:pPr>
            <w:r>
              <w:rPr>
                <w:rFonts w:hint="eastAsia" w:ascii="仿宋" w:hAnsi="仿宋" w:eastAsia="仿宋" w:cs="仿宋"/>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981" w:type="dxa"/>
            <w:vMerge w:val="restart"/>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职责活动</w:t>
            </w:r>
          </w:p>
        </w:tc>
        <w:tc>
          <w:tcPr>
            <w:tcW w:w="850" w:type="dxa"/>
            <w:vMerge w:val="restart"/>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年度预算数</w:t>
            </w:r>
          </w:p>
        </w:tc>
        <w:tc>
          <w:tcPr>
            <w:tcW w:w="2410" w:type="dxa"/>
            <w:vMerge w:val="restart"/>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内容描述</w:t>
            </w:r>
          </w:p>
        </w:tc>
        <w:tc>
          <w:tcPr>
            <w:tcW w:w="1559" w:type="dxa"/>
            <w:vMerge w:val="restart"/>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绩效目标</w:t>
            </w:r>
          </w:p>
        </w:tc>
        <w:tc>
          <w:tcPr>
            <w:tcW w:w="1276" w:type="dxa"/>
            <w:vMerge w:val="restart"/>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绩效指标</w:t>
            </w:r>
          </w:p>
        </w:tc>
        <w:tc>
          <w:tcPr>
            <w:tcW w:w="2693" w:type="dxa"/>
            <w:gridSpan w:val="4"/>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981" w:type="dxa"/>
            <w:vMerge w:val="continue"/>
            <w:shd w:val="clear" w:color="auto" w:fill="auto"/>
            <w:vAlign w:val="center"/>
          </w:tcPr>
          <w:p>
            <w:pPr>
              <w:spacing w:line="300" w:lineRule="exact"/>
              <w:jc w:val="left"/>
              <w:outlineLvl w:val="0"/>
              <w:rPr>
                <w:rFonts w:ascii="仿宋" w:hAnsi="仿宋" w:eastAsia="仿宋" w:cs="仿宋"/>
                <w:szCs w:val="21"/>
              </w:rPr>
            </w:pPr>
          </w:p>
        </w:tc>
        <w:tc>
          <w:tcPr>
            <w:tcW w:w="850" w:type="dxa"/>
            <w:vMerge w:val="continue"/>
            <w:shd w:val="clear" w:color="auto" w:fill="auto"/>
            <w:vAlign w:val="center"/>
          </w:tcPr>
          <w:p>
            <w:pPr>
              <w:spacing w:line="300" w:lineRule="exact"/>
              <w:jc w:val="left"/>
              <w:outlineLvl w:val="0"/>
              <w:rPr>
                <w:rFonts w:ascii="仿宋" w:hAnsi="仿宋" w:eastAsia="仿宋" w:cs="仿宋"/>
                <w:szCs w:val="21"/>
              </w:rPr>
            </w:pPr>
          </w:p>
        </w:tc>
        <w:tc>
          <w:tcPr>
            <w:tcW w:w="2410" w:type="dxa"/>
            <w:vMerge w:val="continue"/>
            <w:shd w:val="clear" w:color="auto" w:fill="auto"/>
            <w:vAlign w:val="center"/>
          </w:tcPr>
          <w:p>
            <w:pPr>
              <w:spacing w:line="300" w:lineRule="exact"/>
              <w:jc w:val="left"/>
              <w:outlineLvl w:val="0"/>
              <w:rPr>
                <w:rFonts w:ascii="仿宋" w:hAnsi="仿宋" w:eastAsia="仿宋" w:cs="仿宋"/>
                <w:szCs w:val="21"/>
              </w:rPr>
            </w:pPr>
          </w:p>
        </w:tc>
        <w:tc>
          <w:tcPr>
            <w:tcW w:w="1559" w:type="dxa"/>
            <w:vMerge w:val="continue"/>
            <w:shd w:val="clear" w:color="auto" w:fill="auto"/>
            <w:vAlign w:val="center"/>
          </w:tcPr>
          <w:p>
            <w:pPr>
              <w:spacing w:line="300" w:lineRule="exact"/>
              <w:jc w:val="left"/>
              <w:outlineLvl w:val="0"/>
              <w:rPr>
                <w:rFonts w:ascii="仿宋" w:hAnsi="仿宋" w:eastAsia="仿宋" w:cs="仿宋"/>
                <w:szCs w:val="21"/>
              </w:rPr>
            </w:pPr>
          </w:p>
        </w:tc>
        <w:tc>
          <w:tcPr>
            <w:tcW w:w="1276" w:type="dxa"/>
            <w:vMerge w:val="continue"/>
            <w:shd w:val="clear" w:color="auto" w:fill="auto"/>
            <w:vAlign w:val="center"/>
          </w:tcPr>
          <w:p>
            <w:pPr>
              <w:spacing w:line="300" w:lineRule="exact"/>
              <w:jc w:val="left"/>
              <w:outlineLvl w:val="0"/>
              <w:rPr>
                <w:rFonts w:ascii="仿宋" w:hAnsi="仿宋" w:eastAsia="仿宋" w:cs="仿宋"/>
                <w:szCs w:val="21"/>
              </w:rPr>
            </w:pPr>
          </w:p>
        </w:tc>
        <w:tc>
          <w:tcPr>
            <w:tcW w:w="850" w:type="dxa"/>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优</w:t>
            </w:r>
          </w:p>
        </w:tc>
        <w:tc>
          <w:tcPr>
            <w:tcW w:w="567" w:type="dxa"/>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良</w:t>
            </w:r>
          </w:p>
        </w:tc>
        <w:tc>
          <w:tcPr>
            <w:tcW w:w="567" w:type="dxa"/>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中</w:t>
            </w:r>
          </w:p>
        </w:tc>
        <w:tc>
          <w:tcPr>
            <w:tcW w:w="709" w:type="dxa"/>
            <w:shd w:val="clear" w:color="auto" w:fill="auto"/>
            <w:vAlign w:val="center"/>
          </w:tcPr>
          <w:p>
            <w:pPr>
              <w:spacing w:line="300" w:lineRule="exact"/>
              <w:jc w:val="center"/>
              <w:rPr>
                <w:rFonts w:ascii="仿宋" w:hAnsi="仿宋" w:eastAsia="仿宋" w:cs="仿宋"/>
                <w:b/>
                <w:szCs w:val="21"/>
              </w:rPr>
            </w:pPr>
            <w:r>
              <w:rPr>
                <w:rFonts w:hint="eastAsia" w:ascii="仿宋" w:hAnsi="仿宋" w:eastAsia="仿宋" w:cs="仿宋"/>
                <w:b/>
                <w:szCs w:val="21"/>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一、信访事项办理</w:t>
            </w:r>
          </w:p>
        </w:tc>
        <w:tc>
          <w:tcPr>
            <w:tcW w:w="85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50.00</w:t>
            </w: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受理、交办、转送信访人提出的信访事项；承办上级和本级人民政府交由处理的信访事项；协调处理重要的信访事项；督促检查信访事项的处理。</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依法按政策处理信访事项，全面推进依法治访。全力维护全区的社会稳定。</w:t>
            </w:r>
          </w:p>
        </w:tc>
        <w:tc>
          <w:tcPr>
            <w:tcW w:w="1276" w:type="dxa"/>
            <w:shd w:val="clear" w:color="auto" w:fill="auto"/>
            <w:vAlign w:val="center"/>
          </w:tcPr>
          <w:p>
            <w:pPr>
              <w:spacing w:line="300" w:lineRule="exact"/>
              <w:jc w:val="left"/>
              <w:rPr>
                <w:rFonts w:ascii="仿宋" w:hAnsi="仿宋" w:eastAsia="仿宋" w:cs="仿宋"/>
                <w:szCs w:val="21"/>
              </w:rPr>
            </w:pPr>
          </w:p>
        </w:tc>
        <w:tc>
          <w:tcPr>
            <w:tcW w:w="850" w:type="dxa"/>
            <w:shd w:val="clear" w:color="auto" w:fill="auto"/>
            <w:vAlign w:val="center"/>
          </w:tcPr>
          <w:p>
            <w:pPr>
              <w:spacing w:line="300" w:lineRule="exact"/>
              <w:jc w:val="center"/>
              <w:rPr>
                <w:rFonts w:ascii="仿宋" w:hAnsi="仿宋" w:eastAsia="仿宋" w:cs="仿宋"/>
                <w:szCs w:val="21"/>
              </w:rPr>
            </w:pPr>
          </w:p>
        </w:tc>
        <w:tc>
          <w:tcPr>
            <w:tcW w:w="567" w:type="dxa"/>
            <w:shd w:val="clear" w:color="auto" w:fill="auto"/>
            <w:vAlign w:val="center"/>
          </w:tcPr>
          <w:p>
            <w:pPr>
              <w:spacing w:line="300" w:lineRule="exact"/>
              <w:jc w:val="center"/>
              <w:rPr>
                <w:rFonts w:ascii="仿宋" w:hAnsi="仿宋" w:eastAsia="仿宋" w:cs="仿宋"/>
                <w:szCs w:val="21"/>
              </w:rPr>
            </w:pPr>
          </w:p>
        </w:tc>
        <w:tc>
          <w:tcPr>
            <w:tcW w:w="567" w:type="dxa"/>
            <w:shd w:val="clear" w:color="auto" w:fill="auto"/>
            <w:vAlign w:val="center"/>
          </w:tcPr>
          <w:p>
            <w:pPr>
              <w:spacing w:line="300" w:lineRule="exact"/>
              <w:jc w:val="center"/>
              <w:rPr>
                <w:rFonts w:ascii="仿宋" w:hAnsi="仿宋" w:eastAsia="仿宋" w:cs="仿宋"/>
                <w:szCs w:val="21"/>
              </w:rPr>
            </w:pPr>
          </w:p>
        </w:tc>
        <w:tc>
          <w:tcPr>
            <w:tcW w:w="709" w:type="dxa"/>
            <w:shd w:val="clear" w:color="auto" w:fill="auto"/>
            <w:vAlign w:val="center"/>
          </w:tcPr>
          <w:p>
            <w:pPr>
              <w:spacing w:line="300" w:lineRule="exact"/>
              <w:jc w:val="center"/>
              <w:rPr>
                <w:rFonts w:ascii="仿宋" w:hAnsi="仿宋" w:eastAsia="仿宋" w:cs="仿宋"/>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1、办理正常信访业务</w:t>
            </w:r>
          </w:p>
        </w:tc>
        <w:tc>
          <w:tcPr>
            <w:tcW w:w="850" w:type="dxa"/>
            <w:shd w:val="clear" w:color="auto" w:fill="auto"/>
            <w:vAlign w:val="center"/>
          </w:tcPr>
          <w:p>
            <w:pPr>
              <w:spacing w:line="300" w:lineRule="exact"/>
              <w:jc w:val="left"/>
              <w:rPr>
                <w:rFonts w:ascii="仿宋" w:hAnsi="仿宋" w:eastAsia="仿宋" w:cs="仿宋"/>
                <w:szCs w:val="21"/>
              </w:rPr>
            </w:pP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办理来访、来信、网上信访业务。处理全区群众进京赴省到市上访。</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提高初信初访一次性办结率。</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初信初访办结率</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90-100%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80-89%</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70-79%</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69%以下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2、处置非访、突发性及群体事件</w:t>
            </w:r>
          </w:p>
        </w:tc>
        <w:tc>
          <w:tcPr>
            <w:tcW w:w="850" w:type="dxa"/>
            <w:shd w:val="clear" w:color="auto" w:fill="auto"/>
            <w:vAlign w:val="center"/>
          </w:tcPr>
          <w:p>
            <w:pPr>
              <w:spacing w:line="300" w:lineRule="exact"/>
              <w:jc w:val="left"/>
              <w:rPr>
                <w:rFonts w:ascii="仿宋" w:hAnsi="仿宋" w:eastAsia="仿宋" w:cs="仿宋"/>
                <w:szCs w:val="21"/>
              </w:rPr>
            </w:pP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与相关部门协调联动，维护重点区域的正常工作秩序；处置影响社会稳定的各类非访、处置非访、突发性及群体事件；组织协调、稳控劝返、服务保障工作。</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圆满实现省、市既定目标，确保全区社会和谐稳定。</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工作目标完成率</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90-100%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80-89%</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70-79%</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69%以下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3、着力化解信访积案</w:t>
            </w:r>
          </w:p>
        </w:tc>
        <w:tc>
          <w:tcPr>
            <w:tcW w:w="85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50.00</w:t>
            </w: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继续开展化解信访积案行动，对每一件积案落实“五包一”责任制，下大力化解到位。</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综合运用法律、政策、经济救助、行政等手段和教育、协商、调解、疏导等方法，切实解决一批疑难复杂信访问题。</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案件办结率</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75%</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60%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50%</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4、做好信访事项复查复核工作</w:t>
            </w:r>
          </w:p>
        </w:tc>
        <w:tc>
          <w:tcPr>
            <w:tcW w:w="850" w:type="dxa"/>
            <w:shd w:val="clear" w:color="auto" w:fill="auto"/>
            <w:vAlign w:val="center"/>
          </w:tcPr>
          <w:p>
            <w:pPr>
              <w:spacing w:line="300" w:lineRule="exact"/>
              <w:jc w:val="left"/>
              <w:rPr>
                <w:rFonts w:ascii="仿宋" w:hAnsi="仿宋" w:eastAsia="仿宋" w:cs="仿宋"/>
                <w:szCs w:val="21"/>
              </w:rPr>
            </w:pP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对无法进入行政复议、行政仲裁或行政诉讼等法定渠道的信访事项，按照《信访条例》的规定及时启动信访办理、复查、复核程序。</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提高信访事项办理的透明度和公信力，努力使每一起复查复核事项都经得起检验。</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复查复核工作程序规范保障率</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90-100%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80-89%</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70-79%</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69%以下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二、信访事务管理</w:t>
            </w:r>
          </w:p>
        </w:tc>
        <w:tc>
          <w:tcPr>
            <w:tcW w:w="85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156.60</w:t>
            </w: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研究、分析信访情况，开展调查研究，及时向区委、区政府提出完善政策和改进工作的建议；对各乡镇区、区直有关部门的信访工作进行指导。</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畅通信访渠道，以更好密切党和政府与人民群众的联系；创新机制，以提高处理信访事项的效率和效果；强化信访工作责任，促进问题的解决；切实维护正常信访秩序和社会稳定。</w:t>
            </w:r>
          </w:p>
        </w:tc>
        <w:tc>
          <w:tcPr>
            <w:tcW w:w="1276" w:type="dxa"/>
            <w:shd w:val="clear" w:color="auto" w:fill="auto"/>
            <w:vAlign w:val="center"/>
          </w:tcPr>
          <w:p>
            <w:pPr>
              <w:spacing w:line="300" w:lineRule="exact"/>
              <w:jc w:val="left"/>
              <w:rPr>
                <w:rFonts w:ascii="仿宋" w:hAnsi="仿宋" w:eastAsia="仿宋" w:cs="仿宋"/>
                <w:szCs w:val="21"/>
              </w:rPr>
            </w:pPr>
          </w:p>
        </w:tc>
        <w:tc>
          <w:tcPr>
            <w:tcW w:w="850" w:type="dxa"/>
            <w:shd w:val="clear" w:color="auto" w:fill="auto"/>
            <w:vAlign w:val="center"/>
          </w:tcPr>
          <w:p>
            <w:pPr>
              <w:spacing w:line="300" w:lineRule="exact"/>
              <w:jc w:val="center"/>
              <w:rPr>
                <w:rFonts w:ascii="仿宋" w:hAnsi="仿宋" w:eastAsia="仿宋" w:cs="仿宋"/>
                <w:szCs w:val="21"/>
              </w:rPr>
            </w:pPr>
          </w:p>
        </w:tc>
        <w:tc>
          <w:tcPr>
            <w:tcW w:w="567" w:type="dxa"/>
            <w:shd w:val="clear" w:color="auto" w:fill="auto"/>
            <w:vAlign w:val="center"/>
          </w:tcPr>
          <w:p>
            <w:pPr>
              <w:spacing w:line="300" w:lineRule="exact"/>
              <w:jc w:val="center"/>
              <w:rPr>
                <w:rFonts w:ascii="仿宋" w:hAnsi="仿宋" w:eastAsia="仿宋" w:cs="仿宋"/>
                <w:szCs w:val="21"/>
              </w:rPr>
            </w:pPr>
          </w:p>
        </w:tc>
        <w:tc>
          <w:tcPr>
            <w:tcW w:w="567" w:type="dxa"/>
            <w:shd w:val="clear" w:color="auto" w:fill="auto"/>
            <w:vAlign w:val="center"/>
          </w:tcPr>
          <w:p>
            <w:pPr>
              <w:spacing w:line="300" w:lineRule="exact"/>
              <w:jc w:val="center"/>
              <w:rPr>
                <w:rFonts w:ascii="仿宋" w:hAnsi="仿宋" w:eastAsia="仿宋" w:cs="仿宋"/>
                <w:szCs w:val="21"/>
              </w:rPr>
            </w:pPr>
          </w:p>
        </w:tc>
        <w:tc>
          <w:tcPr>
            <w:tcW w:w="709" w:type="dxa"/>
            <w:shd w:val="clear" w:color="auto" w:fill="auto"/>
            <w:vAlign w:val="center"/>
          </w:tcPr>
          <w:p>
            <w:pPr>
              <w:spacing w:line="300" w:lineRule="exact"/>
              <w:jc w:val="center"/>
              <w:rPr>
                <w:rFonts w:ascii="仿宋" w:hAnsi="仿宋" w:eastAsia="仿宋" w:cs="仿宋"/>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1、开展信访宣传活动</w:t>
            </w:r>
          </w:p>
        </w:tc>
        <w:tc>
          <w:tcPr>
            <w:tcW w:w="85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5.00</w:t>
            </w: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组织开展信访法律法规宣传活动，开展《信访条例》等法律法规的学习培训。</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引导信访人依法理性反映诉求，营造良好的信访秩序。引导广大信访干部依法规范信访工作。</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信访秩序覆盖率</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90-100%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80-89%</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70-79%</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69%以下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2、建立完善信访信息系统</w:t>
            </w:r>
          </w:p>
        </w:tc>
        <w:tc>
          <w:tcPr>
            <w:tcW w:w="85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13.60</w:t>
            </w: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加强“网上信访”信息系统建设，实现信访业务、工作过程、工作范围全覆盖。视频接访系统与省市对接畅通。</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增强信访工作的透明度和公正性。</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信访信息系统应用覆盖率,保障视屏接访畅通</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100%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90%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80%</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3、综合事务管理</w:t>
            </w:r>
          </w:p>
        </w:tc>
        <w:tc>
          <w:tcPr>
            <w:tcW w:w="85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108.00</w:t>
            </w: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研究、分析信访情况，开展调查研究，及时向区委、区政府提出完善政策和改进工作的建议；督促检查和指导全区信访工作。信访接待中心工作的运转通畅。</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信访日常工作通畅、机关运转正常。</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提高办公效率</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90-100%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80-89%</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70-79%</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69%以下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981" w:type="dxa"/>
            <w:shd w:val="clear" w:color="auto" w:fill="auto"/>
            <w:vAlign w:val="center"/>
          </w:tcPr>
          <w:p>
            <w:pPr>
              <w:spacing w:line="300" w:lineRule="exact"/>
              <w:jc w:val="left"/>
              <w:rPr>
                <w:rFonts w:ascii="仿宋" w:hAnsi="仿宋" w:eastAsia="仿宋" w:cs="仿宋"/>
                <w:b/>
                <w:szCs w:val="21"/>
              </w:rPr>
            </w:pPr>
            <w:r>
              <w:rPr>
                <w:rFonts w:hint="eastAsia" w:ascii="仿宋" w:hAnsi="仿宋" w:eastAsia="仿宋" w:cs="仿宋"/>
                <w:b/>
                <w:szCs w:val="21"/>
              </w:rPr>
              <w:t>　　4、保持群众工作中心的运行</w:t>
            </w:r>
          </w:p>
        </w:tc>
        <w:tc>
          <w:tcPr>
            <w:tcW w:w="85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30.00</w:t>
            </w:r>
          </w:p>
        </w:tc>
        <w:tc>
          <w:tcPr>
            <w:tcW w:w="2410"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引导来访群众有序信访，维持好秩序，做好安全保卫，保持群众工作中心安全整洁。为入驻部门人员提供良好的办公环境，保障工作顺利开展。</w:t>
            </w:r>
          </w:p>
        </w:tc>
        <w:tc>
          <w:tcPr>
            <w:tcW w:w="1559"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信访案件处置迅速，高效；信访秩序良好。</w:t>
            </w:r>
          </w:p>
        </w:tc>
        <w:tc>
          <w:tcPr>
            <w:tcW w:w="1276" w:type="dxa"/>
            <w:shd w:val="clear" w:color="auto" w:fill="auto"/>
            <w:vAlign w:val="center"/>
          </w:tcPr>
          <w:p>
            <w:pPr>
              <w:spacing w:line="300" w:lineRule="exact"/>
              <w:jc w:val="left"/>
              <w:rPr>
                <w:rFonts w:ascii="仿宋" w:hAnsi="仿宋" w:eastAsia="仿宋" w:cs="仿宋"/>
                <w:szCs w:val="21"/>
              </w:rPr>
            </w:pPr>
            <w:r>
              <w:rPr>
                <w:rFonts w:hint="eastAsia" w:ascii="仿宋" w:hAnsi="仿宋" w:eastAsia="仿宋" w:cs="仿宋"/>
                <w:szCs w:val="21"/>
              </w:rPr>
              <w:t>办公完成率</w:t>
            </w:r>
          </w:p>
        </w:tc>
        <w:tc>
          <w:tcPr>
            <w:tcW w:w="850"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90-100%</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80-89%</w:t>
            </w:r>
          </w:p>
        </w:tc>
        <w:tc>
          <w:tcPr>
            <w:tcW w:w="567"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70-79%</w:t>
            </w:r>
          </w:p>
        </w:tc>
        <w:tc>
          <w:tcPr>
            <w:tcW w:w="709" w:type="dxa"/>
            <w:shd w:val="clear" w:color="auto" w:fill="auto"/>
            <w:vAlign w:val="center"/>
          </w:tcPr>
          <w:p>
            <w:pPr>
              <w:spacing w:line="300" w:lineRule="exact"/>
              <w:jc w:val="center"/>
              <w:rPr>
                <w:rFonts w:ascii="仿宋" w:hAnsi="仿宋" w:eastAsia="仿宋" w:cs="仿宋"/>
                <w:szCs w:val="21"/>
              </w:rPr>
            </w:pPr>
            <w:r>
              <w:rPr>
                <w:rFonts w:hint="eastAsia" w:ascii="仿宋" w:hAnsi="仿宋" w:eastAsia="仿宋" w:cs="仿宋"/>
                <w:szCs w:val="21"/>
              </w:rPr>
              <w:t>69%以下</w:t>
            </w:r>
          </w:p>
        </w:tc>
      </w:tr>
    </w:tbl>
    <w:p>
      <w:pPr>
        <w:ind w:left="720"/>
        <w:outlineLvl w:val="0"/>
        <w:rPr>
          <w:rFonts w:hint="eastAsia" w:ascii="宋体" w:hAnsi="宋体"/>
          <w:sz w:val="36"/>
          <w:szCs w:val="36"/>
        </w:rPr>
      </w:pPr>
    </w:p>
    <w:p>
      <w:pPr>
        <w:ind w:left="720"/>
        <w:outlineLvl w:val="0"/>
        <w:rPr>
          <w:rFonts w:hint="eastAsia" w:ascii="宋体" w:hAnsi="宋体"/>
          <w:sz w:val="36"/>
          <w:szCs w:val="36"/>
        </w:rPr>
      </w:pPr>
    </w:p>
    <w:p>
      <w:pPr>
        <w:ind w:left="720"/>
        <w:outlineLvl w:val="0"/>
        <w:rPr>
          <w:rFonts w:hint="eastAsia" w:ascii="宋体" w:hAnsi="宋体"/>
          <w:sz w:val="36"/>
          <w:szCs w:val="36"/>
        </w:rPr>
      </w:pPr>
    </w:p>
    <w:p>
      <w:pPr>
        <w:ind w:left="720"/>
        <w:outlineLvl w:val="0"/>
        <w:rPr>
          <w:rFonts w:hint="eastAsia" w:ascii="宋体" w:hAnsi="宋体"/>
          <w:sz w:val="36"/>
          <w:szCs w:val="36"/>
        </w:rPr>
      </w:pPr>
    </w:p>
    <w:p>
      <w:pPr>
        <w:ind w:left="720"/>
        <w:outlineLvl w:val="0"/>
        <w:rPr>
          <w:rFonts w:hint="eastAsia" w:ascii="宋体" w:hAnsi="宋体"/>
          <w:sz w:val="36"/>
          <w:szCs w:val="36"/>
        </w:rPr>
      </w:pPr>
    </w:p>
    <w:p>
      <w:pPr>
        <w:ind w:left="720"/>
        <w:outlineLvl w:val="0"/>
        <w:rPr>
          <w:rFonts w:hint="eastAsia" w:ascii="宋体" w:hAnsi="宋体"/>
          <w:sz w:val="36"/>
          <w:szCs w:val="36"/>
        </w:rPr>
      </w:pPr>
    </w:p>
    <w:p>
      <w:pPr>
        <w:ind w:left="720"/>
        <w:outlineLvl w:val="0"/>
        <w:rPr>
          <w:rFonts w:hint="eastAsia" w:ascii="宋体" w:hAnsi="宋体"/>
          <w:sz w:val="36"/>
          <w:szCs w:val="36"/>
        </w:rPr>
      </w:pPr>
    </w:p>
    <w:p>
      <w:pPr>
        <w:ind w:left="720"/>
        <w:outlineLvl w:val="0"/>
        <w:rPr>
          <w:rFonts w:hint="eastAsia" w:ascii="宋体" w:hAnsi="宋体"/>
          <w:sz w:val="36"/>
          <w:szCs w:val="36"/>
        </w:rPr>
      </w:pPr>
    </w:p>
    <w:p>
      <w:pPr>
        <w:ind w:left="720"/>
        <w:outlineLvl w:val="0"/>
        <w:rPr>
          <w:rFonts w:ascii="宋体" w:hAnsi="宋体"/>
          <w:sz w:val="36"/>
          <w:szCs w:val="36"/>
        </w:rPr>
      </w:pPr>
      <w:r>
        <w:rPr>
          <w:rFonts w:hint="eastAsia" w:ascii="宋体" w:hAnsi="宋体"/>
          <w:sz w:val="36"/>
          <w:szCs w:val="36"/>
        </w:rPr>
        <w:t>六、政府采购预算情况</w:t>
      </w:r>
    </w:p>
    <w:p>
      <w:pPr>
        <w:pStyle w:val="24"/>
        <w:rPr>
          <w:rFonts w:ascii="仿宋" w:hAnsi="仿宋" w:eastAsia="仿宋"/>
          <w:sz w:val="32"/>
          <w:szCs w:val="32"/>
          <w:lang w:eastAsia="zh-CN"/>
        </w:rPr>
      </w:pPr>
      <w:r>
        <w:rPr>
          <w:rFonts w:hint="eastAsia" w:ascii="方正小标宋_GBK" w:hAnsi="宋体" w:eastAsia="方正小标宋_GBK"/>
          <w:sz w:val="44"/>
          <w:szCs w:val="44"/>
          <w:lang w:eastAsia="zh-CN"/>
        </w:rPr>
        <w:t xml:space="preserve">   </w:t>
      </w:r>
      <w:r>
        <w:rPr>
          <w:rFonts w:hint="eastAsia" w:ascii="仿宋" w:hAnsi="仿宋" w:eastAsia="仿宋"/>
          <w:sz w:val="32"/>
          <w:szCs w:val="32"/>
          <w:lang w:eastAsia="zh-CN"/>
        </w:rPr>
        <w:t>2019年，我局安排采购预算0万元。具体内容见下表。</w:t>
      </w:r>
    </w:p>
    <w:tbl>
      <w:tblPr>
        <w:tblStyle w:val="7"/>
        <w:tblW w:w="1008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6"/>
        <w:gridCol w:w="762"/>
        <w:gridCol w:w="633"/>
        <w:gridCol w:w="691"/>
        <w:gridCol w:w="649"/>
        <w:gridCol w:w="617"/>
        <w:gridCol w:w="647"/>
        <w:gridCol w:w="633"/>
        <w:gridCol w:w="633"/>
        <w:gridCol w:w="633"/>
        <w:gridCol w:w="633"/>
        <w:gridCol w:w="633"/>
        <w:gridCol w:w="633"/>
        <w:gridCol w:w="5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5685" w:type="dxa"/>
            <w:gridSpan w:val="7"/>
            <w:tcBorders>
              <w:top w:val="single" w:color="FFFFFF" w:sz="6" w:space="0"/>
              <w:left w:val="single" w:color="FFFFFF" w:sz="6" w:space="0"/>
              <w:right w:val="single" w:color="FFFFFF" w:sz="6" w:space="0"/>
            </w:tcBorders>
            <w:vAlign w:val="center"/>
          </w:tcPr>
          <w:p>
            <w:pPr>
              <w:spacing w:line="300" w:lineRule="exact"/>
              <w:jc w:val="left"/>
              <w:rPr>
                <w:rFonts w:ascii="仿宋_GB2312" w:hAnsi="仿宋_GB2312" w:eastAsia="仿宋_GB2312" w:cs="仿宋_GB2312"/>
                <w:szCs w:val="21"/>
              </w:rPr>
            </w:pPr>
          </w:p>
        </w:tc>
        <w:tc>
          <w:tcPr>
            <w:tcW w:w="4395" w:type="dxa"/>
            <w:gridSpan w:val="7"/>
            <w:tcBorders>
              <w:top w:val="single" w:color="FFFFFF" w:sz="6" w:space="0"/>
              <w:left w:val="single" w:color="FFFFFF" w:sz="6" w:space="0"/>
              <w:right w:val="single" w:color="FFFFFF" w:sz="6" w:space="0"/>
            </w:tcBorders>
            <w:vAlign w:val="center"/>
          </w:tcPr>
          <w:p>
            <w:pPr>
              <w:spacing w:line="300" w:lineRule="exact"/>
              <w:jc w:val="right"/>
              <w:rPr>
                <w:rFonts w:ascii="仿宋_GB2312" w:hAnsi="仿宋_GB2312" w:eastAsia="仿宋_GB2312" w:cs="仿宋_GB2312"/>
                <w:szCs w:val="21"/>
              </w:rPr>
            </w:pPr>
            <w:r>
              <w:rPr>
                <w:rFonts w:hint="eastAsia" w:ascii="仿宋_GB2312" w:hAnsi="仿宋_GB2312" w:eastAsia="仿宋_GB2312" w:cs="仿宋_GB2312"/>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448" w:type="dxa"/>
            <w:gridSpan w:val="2"/>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政府采购项目来源</w:t>
            </w:r>
          </w:p>
        </w:tc>
        <w:tc>
          <w:tcPr>
            <w:tcW w:w="633"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采购物品名称</w:t>
            </w:r>
          </w:p>
        </w:tc>
        <w:tc>
          <w:tcPr>
            <w:tcW w:w="691"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政府采购目录序号</w:t>
            </w:r>
          </w:p>
        </w:tc>
        <w:tc>
          <w:tcPr>
            <w:tcW w:w="649"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数量  单位</w:t>
            </w:r>
          </w:p>
        </w:tc>
        <w:tc>
          <w:tcPr>
            <w:tcW w:w="617"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数量</w:t>
            </w:r>
          </w:p>
        </w:tc>
        <w:tc>
          <w:tcPr>
            <w:tcW w:w="647"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单价</w:t>
            </w:r>
          </w:p>
        </w:tc>
        <w:tc>
          <w:tcPr>
            <w:tcW w:w="4395" w:type="dxa"/>
            <w:gridSpan w:val="7"/>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686"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项目名称</w:t>
            </w:r>
          </w:p>
        </w:tc>
        <w:tc>
          <w:tcPr>
            <w:tcW w:w="762"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预算资金</w:t>
            </w:r>
          </w:p>
        </w:tc>
        <w:tc>
          <w:tcPr>
            <w:tcW w:w="633" w:type="dxa"/>
            <w:vMerge w:val="continue"/>
            <w:vAlign w:val="center"/>
          </w:tcPr>
          <w:p>
            <w:pPr>
              <w:spacing w:line="300" w:lineRule="exact"/>
              <w:jc w:val="left"/>
              <w:outlineLvl w:val="0"/>
              <w:rPr>
                <w:rFonts w:ascii="仿宋_GB2312" w:hAnsi="仿宋_GB2312" w:eastAsia="仿宋_GB2312" w:cs="仿宋_GB2312"/>
                <w:szCs w:val="21"/>
              </w:rPr>
            </w:pPr>
          </w:p>
        </w:tc>
        <w:tc>
          <w:tcPr>
            <w:tcW w:w="691" w:type="dxa"/>
            <w:vMerge w:val="continue"/>
            <w:vAlign w:val="center"/>
          </w:tcPr>
          <w:p>
            <w:pPr>
              <w:spacing w:line="300" w:lineRule="exact"/>
              <w:jc w:val="left"/>
              <w:outlineLvl w:val="0"/>
              <w:rPr>
                <w:rFonts w:ascii="仿宋_GB2312" w:hAnsi="仿宋_GB2312" w:eastAsia="仿宋_GB2312" w:cs="仿宋_GB2312"/>
                <w:szCs w:val="21"/>
              </w:rPr>
            </w:pPr>
          </w:p>
        </w:tc>
        <w:tc>
          <w:tcPr>
            <w:tcW w:w="649" w:type="dxa"/>
            <w:vMerge w:val="continue"/>
            <w:vAlign w:val="center"/>
          </w:tcPr>
          <w:p>
            <w:pPr>
              <w:spacing w:line="300" w:lineRule="exact"/>
              <w:jc w:val="left"/>
              <w:outlineLvl w:val="0"/>
              <w:rPr>
                <w:rFonts w:ascii="仿宋_GB2312" w:hAnsi="仿宋_GB2312" w:eastAsia="仿宋_GB2312" w:cs="仿宋_GB2312"/>
                <w:szCs w:val="21"/>
              </w:rPr>
            </w:pPr>
          </w:p>
        </w:tc>
        <w:tc>
          <w:tcPr>
            <w:tcW w:w="617" w:type="dxa"/>
            <w:vMerge w:val="continue"/>
            <w:vAlign w:val="center"/>
          </w:tcPr>
          <w:p>
            <w:pPr>
              <w:spacing w:line="300" w:lineRule="exact"/>
              <w:jc w:val="left"/>
              <w:outlineLvl w:val="0"/>
              <w:rPr>
                <w:rFonts w:ascii="仿宋_GB2312" w:hAnsi="仿宋_GB2312" w:eastAsia="仿宋_GB2312" w:cs="仿宋_GB2312"/>
                <w:szCs w:val="21"/>
              </w:rPr>
            </w:pPr>
          </w:p>
        </w:tc>
        <w:tc>
          <w:tcPr>
            <w:tcW w:w="647" w:type="dxa"/>
            <w:vMerge w:val="continue"/>
            <w:vAlign w:val="center"/>
          </w:tcPr>
          <w:p>
            <w:pPr>
              <w:spacing w:line="300" w:lineRule="exact"/>
              <w:jc w:val="left"/>
              <w:outlineLvl w:val="0"/>
              <w:rPr>
                <w:rFonts w:ascii="仿宋_GB2312" w:hAnsi="仿宋_GB2312" w:eastAsia="仿宋_GB2312" w:cs="仿宋_GB2312"/>
                <w:szCs w:val="21"/>
              </w:rPr>
            </w:pPr>
          </w:p>
        </w:tc>
        <w:tc>
          <w:tcPr>
            <w:tcW w:w="633"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总计</w:t>
            </w:r>
          </w:p>
        </w:tc>
        <w:tc>
          <w:tcPr>
            <w:tcW w:w="3165" w:type="dxa"/>
            <w:gridSpan w:val="5"/>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当年部门预算安排资金</w:t>
            </w:r>
          </w:p>
        </w:tc>
        <w:tc>
          <w:tcPr>
            <w:tcW w:w="597" w:type="dxa"/>
            <w:vMerge w:val="restart"/>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686" w:type="dxa"/>
            <w:vMerge w:val="continue"/>
            <w:vAlign w:val="center"/>
          </w:tcPr>
          <w:p>
            <w:pPr>
              <w:spacing w:line="300" w:lineRule="exact"/>
              <w:jc w:val="left"/>
              <w:outlineLvl w:val="0"/>
              <w:rPr>
                <w:rFonts w:ascii="仿宋_GB2312" w:hAnsi="仿宋_GB2312" w:eastAsia="仿宋_GB2312" w:cs="仿宋_GB2312"/>
                <w:szCs w:val="21"/>
              </w:rPr>
            </w:pPr>
          </w:p>
        </w:tc>
        <w:tc>
          <w:tcPr>
            <w:tcW w:w="762" w:type="dxa"/>
            <w:vMerge w:val="continue"/>
            <w:vAlign w:val="center"/>
          </w:tcPr>
          <w:p>
            <w:pPr>
              <w:spacing w:line="300" w:lineRule="exact"/>
              <w:jc w:val="left"/>
              <w:outlineLvl w:val="0"/>
              <w:rPr>
                <w:rFonts w:ascii="仿宋_GB2312" w:hAnsi="仿宋_GB2312" w:eastAsia="仿宋_GB2312" w:cs="仿宋_GB2312"/>
                <w:szCs w:val="21"/>
              </w:rPr>
            </w:pPr>
          </w:p>
        </w:tc>
        <w:tc>
          <w:tcPr>
            <w:tcW w:w="633" w:type="dxa"/>
            <w:vMerge w:val="continue"/>
            <w:vAlign w:val="center"/>
          </w:tcPr>
          <w:p>
            <w:pPr>
              <w:spacing w:line="300" w:lineRule="exact"/>
              <w:jc w:val="left"/>
              <w:outlineLvl w:val="0"/>
              <w:rPr>
                <w:rFonts w:ascii="仿宋_GB2312" w:hAnsi="仿宋_GB2312" w:eastAsia="仿宋_GB2312" w:cs="仿宋_GB2312"/>
                <w:szCs w:val="21"/>
              </w:rPr>
            </w:pPr>
          </w:p>
        </w:tc>
        <w:tc>
          <w:tcPr>
            <w:tcW w:w="691" w:type="dxa"/>
            <w:vMerge w:val="continue"/>
            <w:vAlign w:val="center"/>
          </w:tcPr>
          <w:p>
            <w:pPr>
              <w:spacing w:line="300" w:lineRule="exact"/>
              <w:jc w:val="left"/>
              <w:outlineLvl w:val="0"/>
              <w:rPr>
                <w:rFonts w:ascii="仿宋_GB2312" w:hAnsi="仿宋_GB2312" w:eastAsia="仿宋_GB2312" w:cs="仿宋_GB2312"/>
                <w:szCs w:val="21"/>
              </w:rPr>
            </w:pPr>
          </w:p>
        </w:tc>
        <w:tc>
          <w:tcPr>
            <w:tcW w:w="649" w:type="dxa"/>
            <w:vMerge w:val="continue"/>
            <w:vAlign w:val="center"/>
          </w:tcPr>
          <w:p>
            <w:pPr>
              <w:spacing w:line="300" w:lineRule="exact"/>
              <w:jc w:val="left"/>
              <w:outlineLvl w:val="0"/>
              <w:rPr>
                <w:rFonts w:ascii="仿宋_GB2312" w:hAnsi="仿宋_GB2312" w:eastAsia="仿宋_GB2312" w:cs="仿宋_GB2312"/>
                <w:szCs w:val="21"/>
              </w:rPr>
            </w:pPr>
          </w:p>
        </w:tc>
        <w:tc>
          <w:tcPr>
            <w:tcW w:w="617" w:type="dxa"/>
            <w:vMerge w:val="continue"/>
            <w:vAlign w:val="center"/>
          </w:tcPr>
          <w:p>
            <w:pPr>
              <w:spacing w:line="300" w:lineRule="exact"/>
              <w:jc w:val="left"/>
              <w:outlineLvl w:val="0"/>
              <w:rPr>
                <w:rFonts w:ascii="仿宋_GB2312" w:hAnsi="仿宋_GB2312" w:eastAsia="仿宋_GB2312" w:cs="仿宋_GB2312"/>
                <w:szCs w:val="21"/>
              </w:rPr>
            </w:pPr>
          </w:p>
        </w:tc>
        <w:tc>
          <w:tcPr>
            <w:tcW w:w="647" w:type="dxa"/>
            <w:vMerge w:val="continue"/>
            <w:vAlign w:val="center"/>
          </w:tcPr>
          <w:p>
            <w:pPr>
              <w:spacing w:line="300" w:lineRule="exact"/>
              <w:jc w:val="left"/>
              <w:outlineLvl w:val="0"/>
              <w:rPr>
                <w:rFonts w:ascii="仿宋_GB2312" w:hAnsi="仿宋_GB2312" w:eastAsia="仿宋_GB2312" w:cs="仿宋_GB2312"/>
                <w:szCs w:val="21"/>
              </w:rPr>
            </w:pPr>
          </w:p>
        </w:tc>
        <w:tc>
          <w:tcPr>
            <w:tcW w:w="633" w:type="dxa"/>
            <w:vMerge w:val="continue"/>
            <w:vAlign w:val="center"/>
          </w:tcPr>
          <w:p>
            <w:pPr>
              <w:spacing w:line="300" w:lineRule="exact"/>
              <w:jc w:val="left"/>
              <w:outlineLvl w:val="0"/>
              <w:rPr>
                <w:rFonts w:ascii="仿宋_GB2312" w:hAnsi="仿宋_GB2312" w:eastAsia="仿宋_GB2312" w:cs="仿宋_GB2312"/>
                <w:szCs w:val="21"/>
              </w:rPr>
            </w:pPr>
          </w:p>
        </w:tc>
        <w:tc>
          <w:tcPr>
            <w:tcW w:w="633" w:type="dxa"/>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合计</w:t>
            </w:r>
          </w:p>
        </w:tc>
        <w:tc>
          <w:tcPr>
            <w:tcW w:w="633" w:type="dxa"/>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一般公共预算拨款</w:t>
            </w:r>
          </w:p>
        </w:tc>
        <w:tc>
          <w:tcPr>
            <w:tcW w:w="633" w:type="dxa"/>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基金预算拨款</w:t>
            </w:r>
          </w:p>
        </w:tc>
        <w:tc>
          <w:tcPr>
            <w:tcW w:w="633" w:type="dxa"/>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财政专户核拨</w:t>
            </w:r>
          </w:p>
        </w:tc>
        <w:tc>
          <w:tcPr>
            <w:tcW w:w="633" w:type="dxa"/>
            <w:vAlign w:val="center"/>
          </w:tcPr>
          <w:p>
            <w:pPr>
              <w:spacing w:line="300" w:lineRule="exact"/>
              <w:jc w:val="center"/>
              <w:rPr>
                <w:rFonts w:ascii="仿宋_GB2312" w:hAnsi="仿宋_GB2312" w:eastAsia="仿宋_GB2312" w:cs="仿宋_GB2312"/>
                <w:b/>
                <w:szCs w:val="21"/>
              </w:rPr>
            </w:pPr>
            <w:r>
              <w:rPr>
                <w:rFonts w:hint="eastAsia" w:ascii="仿宋_GB2312" w:hAnsi="仿宋_GB2312" w:eastAsia="仿宋_GB2312" w:cs="仿宋_GB2312"/>
                <w:b/>
                <w:szCs w:val="21"/>
              </w:rPr>
              <w:t>其他来源收入</w:t>
            </w:r>
          </w:p>
        </w:tc>
        <w:tc>
          <w:tcPr>
            <w:tcW w:w="597" w:type="dxa"/>
            <w:vMerge w:val="continue"/>
            <w:vAlign w:val="center"/>
          </w:tcPr>
          <w:p>
            <w:pPr>
              <w:spacing w:line="300" w:lineRule="exact"/>
              <w:jc w:val="left"/>
              <w:outlineLvl w:val="0"/>
              <w:rPr>
                <w:rFonts w:ascii="仿宋_GB2312" w:hAnsi="仿宋_GB2312" w:eastAsia="仿宋_GB2312" w:cs="仿宋_GB2312"/>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vAlign w:val="center"/>
          </w:tcPr>
          <w:p>
            <w:pPr>
              <w:spacing w:line="300" w:lineRule="exact"/>
              <w:jc w:val="center"/>
              <w:rPr>
                <w:rFonts w:ascii="仿宋_GB2312" w:hAnsi="仿宋_GB2312" w:eastAsia="仿宋_GB2312" w:cs="仿宋_GB2312"/>
                <w:b/>
                <w:szCs w:val="21"/>
              </w:rPr>
            </w:pPr>
          </w:p>
        </w:tc>
        <w:tc>
          <w:tcPr>
            <w:tcW w:w="762" w:type="dxa"/>
            <w:vAlign w:val="center"/>
          </w:tcPr>
          <w:p>
            <w:pPr>
              <w:spacing w:line="300" w:lineRule="exact"/>
              <w:jc w:val="right"/>
              <w:rPr>
                <w:rFonts w:ascii="仿宋_GB2312" w:hAnsi="仿宋_GB2312" w:eastAsia="仿宋_GB2312" w:cs="仿宋_GB2312"/>
                <w:b/>
                <w:szCs w:val="21"/>
              </w:rPr>
            </w:pPr>
          </w:p>
        </w:tc>
        <w:tc>
          <w:tcPr>
            <w:tcW w:w="633" w:type="dxa"/>
            <w:vAlign w:val="center"/>
          </w:tcPr>
          <w:p>
            <w:pPr>
              <w:spacing w:line="300" w:lineRule="exact"/>
              <w:jc w:val="left"/>
              <w:rPr>
                <w:rFonts w:ascii="仿宋_GB2312" w:hAnsi="仿宋_GB2312" w:eastAsia="仿宋_GB2312" w:cs="仿宋_GB2312"/>
                <w:b/>
                <w:szCs w:val="21"/>
              </w:rPr>
            </w:pPr>
          </w:p>
        </w:tc>
        <w:tc>
          <w:tcPr>
            <w:tcW w:w="691" w:type="dxa"/>
            <w:vAlign w:val="center"/>
          </w:tcPr>
          <w:p>
            <w:pPr>
              <w:spacing w:line="300" w:lineRule="exact"/>
              <w:jc w:val="left"/>
              <w:rPr>
                <w:rFonts w:ascii="仿宋_GB2312" w:hAnsi="仿宋_GB2312" w:eastAsia="仿宋_GB2312" w:cs="仿宋_GB2312"/>
                <w:b/>
                <w:szCs w:val="21"/>
              </w:rPr>
            </w:pPr>
          </w:p>
        </w:tc>
        <w:tc>
          <w:tcPr>
            <w:tcW w:w="649" w:type="dxa"/>
            <w:vAlign w:val="center"/>
          </w:tcPr>
          <w:p>
            <w:pPr>
              <w:spacing w:line="300" w:lineRule="exact"/>
              <w:jc w:val="left"/>
              <w:rPr>
                <w:rFonts w:ascii="仿宋_GB2312" w:hAnsi="仿宋_GB2312" w:eastAsia="仿宋_GB2312" w:cs="仿宋_GB2312"/>
                <w:b/>
                <w:szCs w:val="21"/>
              </w:rPr>
            </w:pPr>
          </w:p>
        </w:tc>
        <w:tc>
          <w:tcPr>
            <w:tcW w:w="617" w:type="dxa"/>
            <w:vAlign w:val="center"/>
          </w:tcPr>
          <w:p>
            <w:pPr>
              <w:spacing w:line="300" w:lineRule="exact"/>
              <w:jc w:val="right"/>
              <w:rPr>
                <w:rFonts w:ascii="仿宋_GB2312" w:hAnsi="仿宋_GB2312" w:eastAsia="仿宋_GB2312" w:cs="仿宋_GB2312"/>
                <w:b/>
                <w:szCs w:val="21"/>
              </w:rPr>
            </w:pPr>
          </w:p>
        </w:tc>
        <w:tc>
          <w:tcPr>
            <w:tcW w:w="647" w:type="dxa"/>
            <w:vAlign w:val="center"/>
          </w:tcPr>
          <w:p>
            <w:pPr>
              <w:spacing w:line="300" w:lineRule="exact"/>
              <w:jc w:val="right"/>
              <w:rPr>
                <w:rFonts w:ascii="仿宋_GB2312" w:hAnsi="仿宋_GB2312" w:eastAsia="仿宋_GB2312" w:cs="仿宋_GB2312"/>
                <w:b/>
                <w:szCs w:val="21"/>
              </w:rPr>
            </w:pPr>
          </w:p>
        </w:tc>
        <w:tc>
          <w:tcPr>
            <w:tcW w:w="633" w:type="dxa"/>
            <w:vAlign w:val="center"/>
          </w:tcPr>
          <w:p>
            <w:pPr>
              <w:spacing w:line="300" w:lineRule="exact"/>
              <w:jc w:val="right"/>
              <w:rPr>
                <w:rFonts w:ascii="仿宋_GB2312" w:hAnsi="仿宋_GB2312" w:eastAsia="仿宋_GB2312" w:cs="仿宋_GB2312"/>
                <w:b/>
                <w:szCs w:val="21"/>
              </w:rPr>
            </w:pPr>
          </w:p>
        </w:tc>
        <w:tc>
          <w:tcPr>
            <w:tcW w:w="633" w:type="dxa"/>
            <w:vAlign w:val="center"/>
          </w:tcPr>
          <w:p>
            <w:pPr>
              <w:spacing w:line="300" w:lineRule="exact"/>
              <w:jc w:val="right"/>
              <w:rPr>
                <w:rFonts w:ascii="仿宋_GB2312" w:hAnsi="仿宋_GB2312" w:eastAsia="仿宋_GB2312" w:cs="仿宋_GB2312"/>
                <w:b/>
                <w:szCs w:val="21"/>
              </w:rPr>
            </w:pPr>
          </w:p>
        </w:tc>
        <w:tc>
          <w:tcPr>
            <w:tcW w:w="633" w:type="dxa"/>
            <w:vAlign w:val="center"/>
          </w:tcPr>
          <w:p>
            <w:pPr>
              <w:spacing w:line="300" w:lineRule="exact"/>
              <w:jc w:val="right"/>
              <w:rPr>
                <w:rFonts w:ascii="仿宋_GB2312" w:hAnsi="仿宋_GB2312" w:eastAsia="仿宋_GB2312" w:cs="仿宋_GB2312"/>
                <w:b/>
                <w:szCs w:val="21"/>
              </w:rPr>
            </w:pPr>
          </w:p>
        </w:tc>
        <w:tc>
          <w:tcPr>
            <w:tcW w:w="633" w:type="dxa"/>
            <w:vAlign w:val="center"/>
          </w:tcPr>
          <w:p>
            <w:pPr>
              <w:spacing w:line="300" w:lineRule="exact"/>
              <w:jc w:val="right"/>
              <w:rPr>
                <w:rFonts w:ascii="仿宋_GB2312" w:hAnsi="仿宋_GB2312" w:eastAsia="仿宋_GB2312" w:cs="仿宋_GB2312"/>
                <w:b/>
                <w:szCs w:val="21"/>
              </w:rPr>
            </w:pPr>
          </w:p>
        </w:tc>
        <w:tc>
          <w:tcPr>
            <w:tcW w:w="633" w:type="dxa"/>
            <w:vAlign w:val="center"/>
          </w:tcPr>
          <w:p>
            <w:pPr>
              <w:spacing w:line="300" w:lineRule="exact"/>
              <w:jc w:val="right"/>
              <w:rPr>
                <w:rFonts w:ascii="仿宋_GB2312" w:hAnsi="仿宋_GB2312" w:eastAsia="仿宋_GB2312" w:cs="仿宋_GB2312"/>
                <w:b/>
                <w:szCs w:val="21"/>
              </w:rPr>
            </w:pPr>
          </w:p>
        </w:tc>
        <w:tc>
          <w:tcPr>
            <w:tcW w:w="633" w:type="dxa"/>
            <w:vAlign w:val="center"/>
          </w:tcPr>
          <w:p>
            <w:pPr>
              <w:spacing w:line="300" w:lineRule="exact"/>
              <w:jc w:val="right"/>
              <w:rPr>
                <w:rFonts w:ascii="仿宋_GB2312" w:hAnsi="仿宋_GB2312" w:eastAsia="仿宋_GB2312" w:cs="仿宋_GB2312"/>
                <w:b/>
                <w:szCs w:val="21"/>
              </w:rPr>
            </w:pPr>
          </w:p>
        </w:tc>
        <w:tc>
          <w:tcPr>
            <w:tcW w:w="597" w:type="dxa"/>
            <w:vAlign w:val="center"/>
          </w:tcPr>
          <w:p>
            <w:pPr>
              <w:spacing w:line="300" w:lineRule="exact"/>
              <w:jc w:val="right"/>
              <w:rPr>
                <w:rFonts w:ascii="仿宋_GB2312" w:hAnsi="仿宋_GB2312" w:eastAsia="仿宋_GB2312" w:cs="仿宋_GB2312"/>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vAlign w:val="center"/>
          </w:tcPr>
          <w:p>
            <w:pPr>
              <w:spacing w:line="300" w:lineRule="exact"/>
              <w:jc w:val="left"/>
              <w:rPr>
                <w:rFonts w:ascii="仿宋_GB2312" w:hAnsi="仿宋_GB2312" w:eastAsia="仿宋_GB2312" w:cs="仿宋_GB2312"/>
                <w:szCs w:val="21"/>
              </w:rPr>
            </w:pPr>
          </w:p>
        </w:tc>
        <w:tc>
          <w:tcPr>
            <w:tcW w:w="762"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left"/>
              <w:rPr>
                <w:rFonts w:ascii="仿宋_GB2312" w:hAnsi="仿宋_GB2312" w:eastAsia="仿宋_GB2312" w:cs="仿宋_GB2312"/>
                <w:szCs w:val="21"/>
              </w:rPr>
            </w:pPr>
          </w:p>
        </w:tc>
        <w:tc>
          <w:tcPr>
            <w:tcW w:w="691" w:type="dxa"/>
            <w:vAlign w:val="center"/>
          </w:tcPr>
          <w:p>
            <w:pPr>
              <w:spacing w:line="300" w:lineRule="exact"/>
              <w:jc w:val="left"/>
              <w:rPr>
                <w:rFonts w:ascii="仿宋_GB2312" w:hAnsi="仿宋_GB2312" w:eastAsia="仿宋_GB2312" w:cs="仿宋_GB2312"/>
                <w:szCs w:val="21"/>
              </w:rPr>
            </w:pPr>
          </w:p>
        </w:tc>
        <w:tc>
          <w:tcPr>
            <w:tcW w:w="649" w:type="dxa"/>
            <w:vAlign w:val="center"/>
          </w:tcPr>
          <w:p>
            <w:pPr>
              <w:spacing w:line="300" w:lineRule="exact"/>
              <w:jc w:val="left"/>
              <w:rPr>
                <w:rFonts w:ascii="仿宋_GB2312" w:hAnsi="仿宋_GB2312" w:eastAsia="仿宋_GB2312" w:cs="仿宋_GB2312"/>
                <w:szCs w:val="21"/>
              </w:rPr>
            </w:pPr>
          </w:p>
        </w:tc>
        <w:tc>
          <w:tcPr>
            <w:tcW w:w="617" w:type="dxa"/>
            <w:vAlign w:val="center"/>
          </w:tcPr>
          <w:p>
            <w:pPr>
              <w:spacing w:line="300" w:lineRule="exact"/>
              <w:jc w:val="right"/>
              <w:rPr>
                <w:rFonts w:ascii="仿宋_GB2312" w:hAnsi="仿宋_GB2312" w:eastAsia="仿宋_GB2312" w:cs="仿宋_GB2312"/>
                <w:szCs w:val="21"/>
              </w:rPr>
            </w:pPr>
          </w:p>
        </w:tc>
        <w:tc>
          <w:tcPr>
            <w:tcW w:w="647"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597" w:type="dxa"/>
            <w:vAlign w:val="center"/>
          </w:tcPr>
          <w:p>
            <w:pPr>
              <w:spacing w:line="300" w:lineRule="exact"/>
              <w:jc w:val="right"/>
              <w:rPr>
                <w:rFonts w:ascii="仿宋_GB2312" w:hAnsi="仿宋_GB2312" w:eastAsia="仿宋_GB2312" w:cs="仿宋_GB2312"/>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vAlign w:val="center"/>
          </w:tcPr>
          <w:p>
            <w:pPr>
              <w:spacing w:line="300" w:lineRule="exact"/>
              <w:jc w:val="left"/>
              <w:rPr>
                <w:rFonts w:ascii="仿宋_GB2312" w:hAnsi="仿宋_GB2312" w:eastAsia="仿宋_GB2312" w:cs="仿宋_GB2312"/>
                <w:szCs w:val="21"/>
              </w:rPr>
            </w:pPr>
          </w:p>
        </w:tc>
        <w:tc>
          <w:tcPr>
            <w:tcW w:w="762"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left"/>
              <w:rPr>
                <w:rFonts w:ascii="仿宋_GB2312" w:hAnsi="仿宋_GB2312" w:eastAsia="仿宋_GB2312" w:cs="仿宋_GB2312"/>
                <w:szCs w:val="21"/>
              </w:rPr>
            </w:pPr>
          </w:p>
        </w:tc>
        <w:tc>
          <w:tcPr>
            <w:tcW w:w="691" w:type="dxa"/>
            <w:vAlign w:val="center"/>
          </w:tcPr>
          <w:p>
            <w:pPr>
              <w:spacing w:line="300" w:lineRule="exact"/>
              <w:jc w:val="left"/>
              <w:rPr>
                <w:rFonts w:ascii="仿宋_GB2312" w:hAnsi="仿宋_GB2312" w:eastAsia="仿宋_GB2312" w:cs="仿宋_GB2312"/>
                <w:szCs w:val="21"/>
              </w:rPr>
            </w:pPr>
          </w:p>
        </w:tc>
        <w:tc>
          <w:tcPr>
            <w:tcW w:w="649" w:type="dxa"/>
            <w:vAlign w:val="center"/>
          </w:tcPr>
          <w:p>
            <w:pPr>
              <w:spacing w:line="300" w:lineRule="exact"/>
              <w:jc w:val="left"/>
              <w:rPr>
                <w:rFonts w:ascii="仿宋_GB2312" w:hAnsi="仿宋_GB2312" w:eastAsia="仿宋_GB2312" w:cs="仿宋_GB2312"/>
                <w:szCs w:val="21"/>
              </w:rPr>
            </w:pPr>
          </w:p>
        </w:tc>
        <w:tc>
          <w:tcPr>
            <w:tcW w:w="617" w:type="dxa"/>
            <w:vAlign w:val="center"/>
          </w:tcPr>
          <w:p>
            <w:pPr>
              <w:spacing w:line="300" w:lineRule="exact"/>
              <w:jc w:val="right"/>
              <w:rPr>
                <w:rFonts w:ascii="仿宋_GB2312" w:hAnsi="仿宋_GB2312" w:eastAsia="仿宋_GB2312" w:cs="仿宋_GB2312"/>
                <w:szCs w:val="21"/>
              </w:rPr>
            </w:pPr>
          </w:p>
        </w:tc>
        <w:tc>
          <w:tcPr>
            <w:tcW w:w="647"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597" w:type="dxa"/>
            <w:vAlign w:val="center"/>
          </w:tcPr>
          <w:p>
            <w:pPr>
              <w:spacing w:line="300" w:lineRule="exact"/>
              <w:jc w:val="right"/>
              <w:rPr>
                <w:rFonts w:ascii="仿宋_GB2312" w:hAnsi="仿宋_GB2312" w:eastAsia="仿宋_GB2312" w:cs="仿宋_GB2312"/>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vAlign w:val="center"/>
          </w:tcPr>
          <w:p>
            <w:pPr>
              <w:spacing w:line="300" w:lineRule="exact"/>
              <w:jc w:val="left"/>
              <w:rPr>
                <w:rFonts w:ascii="仿宋_GB2312" w:hAnsi="仿宋_GB2312" w:eastAsia="仿宋_GB2312" w:cs="仿宋_GB2312"/>
                <w:szCs w:val="21"/>
              </w:rPr>
            </w:pPr>
          </w:p>
        </w:tc>
        <w:tc>
          <w:tcPr>
            <w:tcW w:w="762"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left"/>
              <w:rPr>
                <w:rFonts w:ascii="仿宋_GB2312" w:hAnsi="仿宋_GB2312" w:eastAsia="仿宋_GB2312" w:cs="仿宋_GB2312"/>
                <w:szCs w:val="21"/>
              </w:rPr>
            </w:pPr>
          </w:p>
        </w:tc>
        <w:tc>
          <w:tcPr>
            <w:tcW w:w="691" w:type="dxa"/>
            <w:vAlign w:val="center"/>
          </w:tcPr>
          <w:p>
            <w:pPr>
              <w:spacing w:line="300" w:lineRule="exact"/>
              <w:jc w:val="left"/>
              <w:rPr>
                <w:rFonts w:ascii="仿宋_GB2312" w:hAnsi="仿宋_GB2312" w:eastAsia="仿宋_GB2312" w:cs="仿宋_GB2312"/>
                <w:szCs w:val="21"/>
              </w:rPr>
            </w:pPr>
          </w:p>
        </w:tc>
        <w:tc>
          <w:tcPr>
            <w:tcW w:w="649" w:type="dxa"/>
            <w:vAlign w:val="center"/>
          </w:tcPr>
          <w:p>
            <w:pPr>
              <w:spacing w:line="300" w:lineRule="exact"/>
              <w:jc w:val="left"/>
              <w:rPr>
                <w:rFonts w:ascii="仿宋_GB2312" w:hAnsi="仿宋_GB2312" w:eastAsia="仿宋_GB2312" w:cs="仿宋_GB2312"/>
                <w:szCs w:val="21"/>
              </w:rPr>
            </w:pPr>
          </w:p>
        </w:tc>
        <w:tc>
          <w:tcPr>
            <w:tcW w:w="617" w:type="dxa"/>
            <w:vAlign w:val="center"/>
          </w:tcPr>
          <w:p>
            <w:pPr>
              <w:spacing w:line="300" w:lineRule="exact"/>
              <w:jc w:val="right"/>
              <w:rPr>
                <w:rFonts w:ascii="仿宋_GB2312" w:hAnsi="仿宋_GB2312" w:eastAsia="仿宋_GB2312" w:cs="仿宋_GB2312"/>
                <w:szCs w:val="21"/>
              </w:rPr>
            </w:pPr>
          </w:p>
        </w:tc>
        <w:tc>
          <w:tcPr>
            <w:tcW w:w="647"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597" w:type="dxa"/>
            <w:vAlign w:val="center"/>
          </w:tcPr>
          <w:p>
            <w:pPr>
              <w:spacing w:line="300" w:lineRule="exact"/>
              <w:jc w:val="right"/>
              <w:rPr>
                <w:rFonts w:ascii="仿宋_GB2312" w:hAnsi="仿宋_GB2312" w:eastAsia="仿宋_GB2312" w:cs="仿宋_GB2312"/>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686" w:type="dxa"/>
            <w:vAlign w:val="center"/>
          </w:tcPr>
          <w:p>
            <w:pPr>
              <w:spacing w:line="300" w:lineRule="exact"/>
              <w:jc w:val="left"/>
              <w:rPr>
                <w:rFonts w:ascii="仿宋_GB2312" w:hAnsi="仿宋_GB2312" w:eastAsia="仿宋_GB2312" w:cs="仿宋_GB2312"/>
                <w:szCs w:val="21"/>
              </w:rPr>
            </w:pPr>
          </w:p>
        </w:tc>
        <w:tc>
          <w:tcPr>
            <w:tcW w:w="762"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left"/>
              <w:rPr>
                <w:rFonts w:ascii="仿宋_GB2312" w:hAnsi="仿宋_GB2312" w:eastAsia="仿宋_GB2312" w:cs="仿宋_GB2312"/>
                <w:szCs w:val="21"/>
              </w:rPr>
            </w:pPr>
          </w:p>
        </w:tc>
        <w:tc>
          <w:tcPr>
            <w:tcW w:w="691" w:type="dxa"/>
            <w:vAlign w:val="center"/>
          </w:tcPr>
          <w:p>
            <w:pPr>
              <w:spacing w:line="300" w:lineRule="exact"/>
              <w:jc w:val="left"/>
              <w:rPr>
                <w:rFonts w:ascii="仿宋_GB2312" w:hAnsi="仿宋_GB2312" w:eastAsia="仿宋_GB2312" w:cs="仿宋_GB2312"/>
                <w:szCs w:val="21"/>
              </w:rPr>
            </w:pPr>
          </w:p>
        </w:tc>
        <w:tc>
          <w:tcPr>
            <w:tcW w:w="649" w:type="dxa"/>
            <w:vAlign w:val="center"/>
          </w:tcPr>
          <w:p>
            <w:pPr>
              <w:spacing w:line="300" w:lineRule="exact"/>
              <w:jc w:val="left"/>
              <w:rPr>
                <w:rFonts w:ascii="仿宋_GB2312" w:hAnsi="仿宋_GB2312" w:eastAsia="仿宋_GB2312" w:cs="仿宋_GB2312"/>
                <w:szCs w:val="21"/>
              </w:rPr>
            </w:pPr>
          </w:p>
        </w:tc>
        <w:tc>
          <w:tcPr>
            <w:tcW w:w="617" w:type="dxa"/>
            <w:vAlign w:val="center"/>
          </w:tcPr>
          <w:p>
            <w:pPr>
              <w:spacing w:line="300" w:lineRule="exact"/>
              <w:jc w:val="right"/>
              <w:rPr>
                <w:rFonts w:ascii="仿宋_GB2312" w:hAnsi="仿宋_GB2312" w:eastAsia="仿宋_GB2312" w:cs="仿宋_GB2312"/>
                <w:szCs w:val="21"/>
              </w:rPr>
            </w:pPr>
          </w:p>
        </w:tc>
        <w:tc>
          <w:tcPr>
            <w:tcW w:w="647"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633" w:type="dxa"/>
            <w:vAlign w:val="center"/>
          </w:tcPr>
          <w:p>
            <w:pPr>
              <w:spacing w:line="300" w:lineRule="exact"/>
              <w:jc w:val="right"/>
              <w:rPr>
                <w:rFonts w:ascii="仿宋_GB2312" w:hAnsi="仿宋_GB2312" w:eastAsia="仿宋_GB2312" w:cs="仿宋_GB2312"/>
                <w:szCs w:val="21"/>
              </w:rPr>
            </w:pPr>
          </w:p>
        </w:tc>
        <w:tc>
          <w:tcPr>
            <w:tcW w:w="597" w:type="dxa"/>
            <w:vAlign w:val="center"/>
          </w:tcPr>
          <w:p>
            <w:pPr>
              <w:spacing w:line="300" w:lineRule="exact"/>
              <w:jc w:val="right"/>
              <w:rPr>
                <w:rFonts w:ascii="仿宋_GB2312" w:hAnsi="仿宋_GB2312" w:eastAsia="仿宋_GB2312" w:cs="仿宋_GB2312"/>
                <w:szCs w:val="21"/>
              </w:rPr>
            </w:pPr>
          </w:p>
        </w:tc>
      </w:tr>
    </w:tbl>
    <w:p>
      <w:pPr>
        <w:pStyle w:val="24"/>
        <w:rPr>
          <w:rFonts w:ascii="方正小标宋_GBK" w:hAnsi="宋体"/>
          <w:szCs w:val="36"/>
          <w:lang w:eastAsia="zh-CN"/>
        </w:rPr>
      </w:pPr>
      <w:r>
        <w:rPr>
          <w:rFonts w:hint="eastAsia" w:ascii="方正小标宋_GBK" w:hAnsi="宋体"/>
          <w:szCs w:val="36"/>
          <w:lang w:eastAsia="zh-CN"/>
        </w:rPr>
        <w:t>注：本部门无政府采购预算，空表列示。</w:t>
      </w:r>
    </w:p>
    <w:p>
      <w:pPr>
        <w:ind w:left="720"/>
        <w:outlineLvl w:val="0"/>
        <w:rPr>
          <w:rFonts w:ascii="宋体" w:hAnsi="宋体"/>
          <w:sz w:val="36"/>
          <w:szCs w:val="36"/>
        </w:rPr>
      </w:pPr>
      <w:r>
        <w:rPr>
          <w:rFonts w:hint="eastAsia" w:ascii="宋体" w:hAnsi="宋体"/>
          <w:sz w:val="36"/>
          <w:szCs w:val="36"/>
        </w:rPr>
        <w:t>七、国有资产信息</w:t>
      </w:r>
    </w:p>
    <w:p>
      <w:pPr>
        <w:pStyle w:val="24"/>
        <w:ind w:firstLine="640" w:firstLineChars="200"/>
        <w:rPr>
          <w:rFonts w:ascii="仿宋" w:hAnsi="仿宋" w:eastAsia="仿宋"/>
          <w:sz w:val="32"/>
          <w:szCs w:val="32"/>
          <w:lang w:eastAsia="zh-CN"/>
        </w:rPr>
      </w:pPr>
      <w:r>
        <w:rPr>
          <w:rFonts w:hint="eastAsia" w:ascii="仿宋" w:hAnsi="仿宋" w:eastAsia="仿宋"/>
          <w:sz w:val="32"/>
          <w:szCs w:val="32"/>
          <w:lang w:eastAsia="zh-CN"/>
        </w:rPr>
        <w:t>石家庄市藁城区信访局上年末单位固定资产46.31万元（详见下表），本年度拟购置固定资产总额为0万元.</w:t>
      </w:r>
    </w:p>
    <w:tbl>
      <w:tblPr>
        <w:tblStyle w:val="7"/>
        <w:tblW w:w="9400" w:type="dxa"/>
        <w:tblInd w:w="93" w:type="dxa"/>
        <w:tblLayout w:type="fixed"/>
        <w:tblCellMar>
          <w:top w:w="0" w:type="dxa"/>
          <w:left w:w="108" w:type="dxa"/>
          <w:bottom w:w="0" w:type="dxa"/>
          <w:right w:w="108" w:type="dxa"/>
        </w:tblCellMar>
      </w:tblPr>
      <w:tblGrid>
        <w:gridCol w:w="9400"/>
      </w:tblGrid>
      <w:tr>
        <w:tblPrEx>
          <w:tblLayout w:type="fixed"/>
          <w:tblCellMar>
            <w:top w:w="0" w:type="dxa"/>
            <w:left w:w="108" w:type="dxa"/>
            <w:bottom w:w="0" w:type="dxa"/>
            <w:right w:w="108" w:type="dxa"/>
          </w:tblCellMar>
        </w:tblPrEx>
        <w:trPr>
          <w:trHeight w:val="540" w:hRule="atLeast"/>
        </w:trPr>
        <w:tc>
          <w:tcPr>
            <w:tcW w:w="9400" w:type="dxa"/>
            <w:tcBorders>
              <w:top w:val="nil"/>
              <w:left w:val="nil"/>
              <w:bottom w:val="nil"/>
              <w:right w:val="nil"/>
            </w:tcBorders>
            <w:vAlign w:val="bottom"/>
          </w:tcPr>
          <w:p>
            <w:pPr>
              <w:widowControl/>
              <w:jc w:val="center"/>
              <w:rPr>
                <w:rFonts w:ascii="仿宋" w:hAnsi="仿宋" w:eastAsia="仿宋" w:cs="Arial"/>
                <w:color w:val="000000"/>
                <w:kern w:val="0"/>
                <w:sz w:val="44"/>
                <w:szCs w:val="44"/>
              </w:rPr>
            </w:pPr>
            <w:r>
              <w:rPr>
                <w:rFonts w:hint="eastAsia" w:ascii="仿宋" w:hAnsi="仿宋" w:eastAsia="仿宋" w:cs="Arial"/>
                <w:color w:val="000000"/>
                <w:kern w:val="0"/>
                <w:sz w:val="32"/>
                <w:szCs w:val="44"/>
              </w:rPr>
              <w:t>固定资产占用情况表</w:t>
            </w:r>
          </w:p>
        </w:tc>
      </w:tr>
    </w:tbl>
    <w:p>
      <w:pPr>
        <w:pStyle w:val="24"/>
        <w:rPr>
          <w:rFonts w:ascii="仿宋" w:hAnsi="仿宋" w:eastAsia="仿宋"/>
          <w:szCs w:val="24"/>
          <w:lang w:eastAsia="zh-CN"/>
        </w:rPr>
      </w:pPr>
      <w:r>
        <w:rPr>
          <w:rFonts w:hint="eastAsia" w:ascii="仿宋" w:hAnsi="仿宋" w:eastAsia="仿宋"/>
          <w:szCs w:val="24"/>
          <w:lang w:eastAsia="zh-CN"/>
        </w:rPr>
        <w:t>编制部门：石家庄市藁城区信访局                     截止时间：2018年12月31日</w:t>
      </w:r>
    </w:p>
    <w:p>
      <w:pPr>
        <w:pStyle w:val="24"/>
        <w:rPr>
          <w:rFonts w:ascii="仿宋" w:hAnsi="仿宋" w:eastAsia="仿宋"/>
          <w:szCs w:val="24"/>
          <w:lang w:eastAsia="zh-CN"/>
        </w:rPr>
      </w:pPr>
    </w:p>
    <w:tbl>
      <w:tblPr>
        <w:tblStyle w:val="7"/>
        <w:tblW w:w="98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5"/>
        <w:gridCol w:w="2074"/>
        <w:gridCol w:w="4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tcPr>
          <w:p>
            <w:pPr>
              <w:pStyle w:val="24"/>
              <w:jc w:val="center"/>
              <w:rPr>
                <w:rFonts w:ascii="仿宋" w:hAnsi="仿宋" w:eastAsia="仿宋"/>
                <w:szCs w:val="24"/>
                <w:lang w:eastAsia="zh-CN"/>
              </w:rPr>
            </w:pPr>
            <w:r>
              <w:rPr>
                <w:rFonts w:hint="eastAsia" w:ascii="仿宋" w:hAnsi="仿宋" w:eastAsia="仿宋"/>
                <w:szCs w:val="24"/>
                <w:lang w:eastAsia="zh-CN"/>
              </w:rPr>
              <w:t>项目</w:t>
            </w:r>
          </w:p>
        </w:tc>
        <w:tc>
          <w:tcPr>
            <w:tcW w:w="2074" w:type="dxa"/>
          </w:tcPr>
          <w:p>
            <w:pPr>
              <w:pStyle w:val="24"/>
              <w:jc w:val="center"/>
              <w:rPr>
                <w:rFonts w:ascii="仿宋" w:hAnsi="仿宋" w:eastAsia="仿宋"/>
                <w:szCs w:val="24"/>
                <w:lang w:eastAsia="zh-CN"/>
              </w:rPr>
            </w:pPr>
            <w:r>
              <w:rPr>
                <w:rFonts w:hint="eastAsia" w:ascii="仿宋" w:hAnsi="仿宋" w:eastAsia="仿宋"/>
                <w:szCs w:val="24"/>
                <w:lang w:eastAsia="zh-CN"/>
              </w:rPr>
              <w:t>数量</w:t>
            </w:r>
          </w:p>
        </w:tc>
        <w:tc>
          <w:tcPr>
            <w:tcW w:w="4516" w:type="dxa"/>
          </w:tcPr>
          <w:p>
            <w:pPr>
              <w:pStyle w:val="24"/>
              <w:jc w:val="center"/>
              <w:rPr>
                <w:rFonts w:ascii="仿宋" w:hAnsi="仿宋" w:eastAsia="仿宋"/>
                <w:szCs w:val="24"/>
                <w:lang w:eastAsia="zh-CN"/>
              </w:rPr>
            </w:pPr>
            <w:r>
              <w:rPr>
                <w:rFonts w:hint="eastAsia" w:ascii="仿宋" w:hAnsi="仿宋" w:eastAsia="仿宋"/>
                <w:szCs w:val="24"/>
                <w:lang w:eastAsia="zh-CN"/>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3295" w:type="dxa"/>
          </w:tcPr>
          <w:p>
            <w:pPr>
              <w:pStyle w:val="24"/>
              <w:jc w:val="center"/>
              <w:rPr>
                <w:rFonts w:ascii="仿宋" w:hAnsi="仿宋" w:eastAsia="仿宋"/>
                <w:szCs w:val="24"/>
                <w:lang w:eastAsia="zh-CN"/>
              </w:rPr>
            </w:pPr>
            <w:r>
              <w:rPr>
                <w:rFonts w:hint="eastAsia" w:ascii="仿宋" w:hAnsi="仿宋" w:eastAsia="仿宋"/>
                <w:szCs w:val="24"/>
                <w:lang w:eastAsia="zh-CN"/>
              </w:rPr>
              <w:t>资产总额</w:t>
            </w:r>
          </w:p>
        </w:tc>
        <w:tc>
          <w:tcPr>
            <w:tcW w:w="2074" w:type="dxa"/>
          </w:tcPr>
          <w:p>
            <w:pPr>
              <w:pStyle w:val="24"/>
              <w:jc w:val="center"/>
              <w:rPr>
                <w:rFonts w:ascii="仿宋" w:hAnsi="仿宋" w:eastAsia="仿宋"/>
                <w:szCs w:val="24"/>
                <w:lang w:eastAsia="zh-CN"/>
              </w:rPr>
            </w:pPr>
            <w:r>
              <w:rPr>
                <w:rFonts w:hint="eastAsia" w:ascii="仿宋" w:hAnsi="仿宋" w:eastAsia="仿宋"/>
                <w:szCs w:val="24"/>
                <w:lang w:eastAsia="zh-CN"/>
              </w:rPr>
              <w:t>--</w:t>
            </w:r>
          </w:p>
        </w:tc>
        <w:tc>
          <w:tcPr>
            <w:tcW w:w="4516" w:type="dxa"/>
          </w:tcPr>
          <w:p>
            <w:pPr>
              <w:pStyle w:val="24"/>
              <w:jc w:val="center"/>
              <w:rPr>
                <w:rFonts w:ascii="仿宋" w:hAnsi="仿宋" w:eastAsia="仿宋"/>
                <w:szCs w:val="24"/>
                <w:lang w:eastAsia="zh-CN"/>
              </w:rPr>
            </w:pPr>
            <w:r>
              <w:rPr>
                <w:rFonts w:hint="eastAsia" w:ascii="仿宋" w:hAnsi="仿宋" w:eastAsia="仿宋"/>
                <w:szCs w:val="24"/>
                <w:lang w:eastAsia="zh-CN"/>
              </w:rPr>
              <w:t>46.31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tcPr>
          <w:p>
            <w:pPr>
              <w:pStyle w:val="24"/>
              <w:rPr>
                <w:rFonts w:ascii="仿宋" w:hAnsi="仿宋" w:eastAsia="仿宋"/>
                <w:szCs w:val="24"/>
                <w:lang w:eastAsia="zh-CN"/>
              </w:rPr>
            </w:pPr>
            <w:r>
              <w:rPr>
                <w:rFonts w:hint="eastAsia" w:ascii="仿宋" w:hAnsi="仿宋" w:eastAsia="仿宋"/>
                <w:szCs w:val="24"/>
                <w:lang w:eastAsia="zh-CN"/>
              </w:rPr>
              <w:t>1.房屋（平方米）</w:t>
            </w:r>
          </w:p>
        </w:tc>
        <w:tc>
          <w:tcPr>
            <w:tcW w:w="2074" w:type="dxa"/>
          </w:tcPr>
          <w:p>
            <w:pPr>
              <w:pStyle w:val="24"/>
              <w:rPr>
                <w:rFonts w:ascii="仿宋" w:hAnsi="仿宋" w:eastAsia="仿宋"/>
                <w:szCs w:val="24"/>
                <w:lang w:eastAsia="zh-CN"/>
              </w:rPr>
            </w:pPr>
          </w:p>
        </w:tc>
        <w:tc>
          <w:tcPr>
            <w:tcW w:w="4516" w:type="dxa"/>
          </w:tcPr>
          <w:p>
            <w:pPr>
              <w:pStyle w:val="24"/>
              <w:rPr>
                <w:rFonts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3295" w:type="dxa"/>
          </w:tcPr>
          <w:p>
            <w:pPr>
              <w:pStyle w:val="24"/>
              <w:rPr>
                <w:rFonts w:ascii="仿宋" w:hAnsi="仿宋" w:eastAsia="仿宋"/>
                <w:szCs w:val="24"/>
                <w:lang w:eastAsia="zh-CN"/>
              </w:rPr>
            </w:pPr>
            <w:r>
              <w:rPr>
                <w:rFonts w:hint="eastAsia" w:ascii="仿宋" w:hAnsi="仿宋" w:eastAsia="仿宋"/>
                <w:szCs w:val="24"/>
                <w:lang w:eastAsia="zh-CN"/>
              </w:rPr>
              <w:t>其中办公用房（平方米）</w:t>
            </w:r>
          </w:p>
        </w:tc>
        <w:tc>
          <w:tcPr>
            <w:tcW w:w="2074" w:type="dxa"/>
          </w:tcPr>
          <w:p>
            <w:pPr>
              <w:pStyle w:val="24"/>
              <w:rPr>
                <w:rFonts w:ascii="仿宋" w:hAnsi="仿宋" w:eastAsia="仿宋"/>
                <w:szCs w:val="24"/>
                <w:lang w:eastAsia="zh-CN"/>
              </w:rPr>
            </w:pPr>
          </w:p>
        </w:tc>
        <w:tc>
          <w:tcPr>
            <w:tcW w:w="4516" w:type="dxa"/>
          </w:tcPr>
          <w:p>
            <w:pPr>
              <w:pStyle w:val="24"/>
              <w:rPr>
                <w:rFonts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trPr>
        <w:tc>
          <w:tcPr>
            <w:tcW w:w="3295" w:type="dxa"/>
          </w:tcPr>
          <w:p>
            <w:pPr>
              <w:pStyle w:val="24"/>
              <w:rPr>
                <w:rFonts w:ascii="仿宋" w:hAnsi="仿宋" w:eastAsia="仿宋"/>
                <w:szCs w:val="24"/>
                <w:lang w:eastAsia="zh-CN"/>
              </w:rPr>
            </w:pPr>
            <w:r>
              <w:rPr>
                <w:rFonts w:hint="eastAsia" w:ascii="仿宋" w:hAnsi="仿宋" w:eastAsia="仿宋"/>
                <w:szCs w:val="24"/>
                <w:lang w:eastAsia="zh-CN"/>
              </w:rPr>
              <w:t>2.车辆（台、辆）</w:t>
            </w:r>
          </w:p>
        </w:tc>
        <w:tc>
          <w:tcPr>
            <w:tcW w:w="2074" w:type="dxa"/>
          </w:tcPr>
          <w:p>
            <w:pPr>
              <w:pStyle w:val="24"/>
              <w:rPr>
                <w:rFonts w:ascii="仿宋" w:hAnsi="仿宋" w:eastAsia="仿宋"/>
                <w:szCs w:val="24"/>
                <w:lang w:eastAsia="zh-CN"/>
              </w:rPr>
            </w:pPr>
          </w:p>
        </w:tc>
        <w:tc>
          <w:tcPr>
            <w:tcW w:w="4516" w:type="dxa"/>
          </w:tcPr>
          <w:p>
            <w:pPr>
              <w:pStyle w:val="24"/>
              <w:rPr>
                <w:rFonts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tcPr>
          <w:p>
            <w:pPr>
              <w:pStyle w:val="24"/>
              <w:rPr>
                <w:rFonts w:ascii="仿宋" w:hAnsi="仿宋" w:eastAsia="仿宋"/>
                <w:szCs w:val="24"/>
                <w:lang w:eastAsia="zh-CN"/>
              </w:rPr>
            </w:pPr>
            <w:r>
              <w:rPr>
                <w:rFonts w:hint="eastAsia" w:ascii="仿宋" w:hAnsi="仿宋" w:eastAsia="仿宋"/>
                <w:szCs w:val="24"/>
                <w:lang w:eastAsia="zh-CN"/>
              </w:rPr>
              <w:t>3、单价在20万元以上的设备</w:t>
            </w:r>
          </w:p>
        </w:tc>
        <w:tc>
          <w:tcPr>
            <w:tcW w:w="2074" w:type="dxa"/>
          </w:tcPr>
          <w:p>
            <w:pPr>
              <w:pStyle w:val="24"/>
              <w:rPr>
                <w:rFonts w:ascii="仿宋" w:hAnsi="仿宋" w:eastAsia="仿宋"/>
                <w:szCs w:val="24"/>
                <w:lang w:eastAsia="zh-CN"/>
              </w:rPr>
            </w:pPr>
          </w:p>
        </w:tc>
        <w:tc>
          <w:tcPr>
            <w:tcW w:w="4516" w:type="dxa"/>
          </w:tcPr>
          <w:p>
            <w:pPr>
              <w:pStyle w:val="24"/>
              <w:rPr>
                <w:rFonts w:ascii="仿宋" w:hAnsi="仿宋" w:eastAsia="仿宋"/>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trPr>
        <w:tc>
          <w:tcPr>
            <w:tcW w:w="3295" w:type="dxa"/>
          </w:tcPr>
          <w:p>
            <w:pPr>
              <w:pStyle w:val="24"/>
              <w:rPr>
                <w:rFonts w:ascii="仿宋" w:hAnsi="仿宋" w:eastAsia="仿宋"/>
                <w:szCs w:val="24"/>
                <w:lang w:eastAsia="zh-CN"/>
              </w:rPr>
            </w:pPr>
            <w:r>
              <w:rPr>
                <w:rFonts w:hint="eastAsia" w:ascii="仿宋" w:hAnsi="仿宋" w:eastAsia="仿宋"/>
                <w:szCs w:val="24"/>
                <w:lang w:eastAsia="zh-CN"/>
              </w:rPr>
              <w:t>4、其它固定资产</w:t>
            </w:r>
          </w:p>
        </w:tc>
        <w:tc>
          <w:tcPr>
            <w:tcW w:w="2074" w:type="dxa"/>
          </w:tcPr>
          <w:p>
            <w:pPr>
              <w:pStyle w:val="24"/>
              <w:rPr>
                <w:rFonts w:ascii="仿宋" w:hAnsi="仿宋" w:eastAsia="仿宋"/>
                <w:szCs w:val="24"/>
                <w:lang w:eastAsia="zh-CN"/>
              </w:rPr>
            </w:pPr>
          </w:p>
        </w:tc>
        <w:tc>
          <w:tcPr>
            <w:tcW w:w="4516" w:type="dxa"/>
          </w:tcPr>
          <w:p>
            <w:pPr>
              <w:pStyle w:val="24"/>
              <w:rPr>
                <w:rFonts w:ascii="仿宋" w:hAnsi="仿宋" w:eastAsia="仿宋"/>
                <w:szCs w:val="24"/>
                <w:lang w:eastAsia="zh-CN"/>
              </w:rPr>
            </w:pPr>
          </w:p>
          <w:p>
            <w:pPr>
              <w:pStyle w:val="24"/>
              <w:jc w:val="center"/>
              <w:rPr>
                <w:rFonts w:ascii="仿宋" w:hAnsi="仿宋" w:eastAsia="仿宋"/>
                <w:szCs w:val="24"/>
                <w:lang w:eastAsia="zh-CN"/>
              </w:rPr>
            </w:pPr>
            <w:r>
              <w:rPr>
                <w:rFonts w:hint="eastAsia" w:ascii="仿宋" w:hAnsi="仿宋" w:eastAsia="仿宋"/>
                <w:szCs w:val="24"/>
                <w:lang w:eastAsia="zh-CN"/>
              </w:rPr>
              <w:t>46.31</w:t>
            </w:r>
          </w:p>
        </w:tc>
      </w:tr>
    </w:tbl>
    <w:p>
      <w:pPr>
        <w:ind w:left="720"/>
        <w:outlineLvl w:val="0"/>
        <w:rPr>
          <w:rFonts w:ascii="宋体" w:hAnsi="宋体"/>
          <w:sz w:val="36"/>
          <w:szCs w:val="36"/>
        </w:rPr>
      </w:pPr>
      <w:r>
        <w:rPr>
          <w:rFonts w:hint="eastAsia" w:ascii="宋体" w:hAnsi="宋体"/>
          <w:sz w:val="36"/>
          <w:szCs w:val="36"/>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pStyle w:val="24"/>
        <w:ind w:firstLine="660" w:firstLineChars="150"/>
        <w:rPr>
          <w:rFonts w:ascii="仿宋_GB2312" w:hAnsi="仿宋_GB2312" w:eastAsia="仿宋_GB2312" w:cs="仿宋_GB2312"/>
          <w:sz w:val="44"/>
          <w:szCs w:val="44"/>
          <w:lang w:eastAsia="zh-CN"/>
        </w:rPr>
      </w:pPr>
      <w:r>
        <w:rPr>
          <w:rFonts w:hint="eastAsia" w:ascii="仿宋_GB2312" w:hAnsi="仿宋_GB2312" w:eastAsia="仿宋_GB2312" w:cs="仿宋_GB2312"/>
          <w:sz w:val="44"/>
          <w:szCs w:val="44"/>
          <w:lang w:eastAsia="zh-CN"/>
        </w:rPr>
        <w:t>九、其他需要说明的事项</w:t>
      </w:r>
    </w:p>
    <w:p>
      <w:pPr>
        <w:pStyle w:val="24"/>
        <w:ind w:firstLine="640" w:firstLineChars="200"/>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我部门无其他需要说明的事项。</w:t>
      </w:r>
    </w:p>
    <w:sectPr>
      <w:headerReference r:id="rId5" w:type="default"/>
      <w:footerReference r:id="rId6" w:type="default"/>
      <w:footerReference r:id="rId7" w:type="even"/>
      <w:pgSz w:w="11907" w:h="16839"/>
      <w:pgMar w:top="1020" w:right="1134" w:bottom="102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hakuyoxingshu7000"/>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altName w:val="hakuyoxingshu7000"/>
    <w:panose1 w:val="00000000000000000000"/>
    <w:charset w:val="86"/>
    <w:family w:val="script"/>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hakuyoxingshu7000">
    <w:panose1 w:val="02000600000000000000"/>
    <w:charset w:val="86"/>
    <w:family w:val="auto"/>
    <w:pitch w:val="default"/>
    <w:sig w:usb0="FFFFFFFF" w:usb1="E9FFFFFF" w:usb2="0000003F" w:usb3="00000000" w:csb0="603F00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9"/>
      </w:rPr>
    </w:pPr>
    <w:r>
      <w:fldChar w:fldCharType="begin"/>
    </w:r>
    <w:r>
      <w:rPr>
        <w:rStyle w:val="9"/>
      </w:rPr>
      <w:instrText xml:space="preserve">PAGE  </w:instrText>
    </w:r>
    <w:r>
      <w:fldChar w:fldCharType="separate"/>
    </w:r>
    <w:r>
      <w:rPr>
        <w:rStyle w:val="9"/>
      </w:rPr>
      <w:t>8</w:t>
    </w:r>
    <w: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9"/>
      </w:rPr>
    </w:pPr>
    <w:r>
      <w:fldChar w:fldCharType="begin"/>
    </w:r>
    <w:r>
      <w:rPr>
        <w:rStyle w:val="9"/>
      </w:rPr>
      <w:instrText xml:space="preserve">PAGE  </w:instrText>
    </w:r>
    <w: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24277"/>
    <w:rsid w:val="00053A6C"/>
    <w:rsid w:val="00063313"/>
    <w:rsid w:val="000C5B9B"/>
    <w:rsid w:val="000D2FE2"/>
    <w:rsid w:val="00172A27"/>
    <w:rsid w:val="001E13EA"/>
    <w:rsid w:val="001F4222"/>
    <w:rsid w:val="002154FD"/>
    <w:rsid w:val="00241914"/>
    <w:rsid w:val="00283EFF"/>
    <w:rsid w:val="002A5799"/>
    <w:rsid w:val="002F414E"/>
    <w:rsid w:val="003677E1"/>
    <w:rsid w:val="004045C3"/>
    <w:rsid w:val="00421748"/>
    <w:rsid w:val="004B3627"/>
    <w:rsid w:val="004D75A7"/>
    <w:rsid w:val="004E4905"/>
    <w:rsid w:val="004F3D41"/>
    <w:rsid w:val="00500DFD"/>
    <w:rsid w:val="005033CF"/>
    <w:rsid w:val="005D169A"/>
    <w:rsid w:val="005D3940"/>
    <w:rsid w:val="0069615D"/>
    <w:rsid w:val="00702823"/>
    <w:rsid w:val="0075764D"/>
    <w:rsid w:val="007B12F8"/>
    <w:rsid w:val="00814D37"/>
    <w:rsid w:val="00890FD6"/>
    <w:rsid w:val="008A1B69"/>
    <w:rsid w:val="008F424D"/>
    <w:rsid w:val="009748BE"/>
    <w:rsid w:val="009F4492"/>
    <w:rsid w:val="00AB229D"/>
    <w:rsid w:val="00BF48A1"/>
    <w:rsid w:val="00C44301"/>
    <w:rsid w:val="00C71222"/>
    <w:rsid w:val="00CE66B4"/>
    <w:rsid w:val="00E3160D"/>
    <w:rsid w:val="00E54C07"/>
    <w:rsid w:val="00E733D1"/>
    <w:rsid w:val="00E87190"/>
    <w:rsid w:val="00EB3329"/>
    <w:rsid w:val="00EE394D"/>
    <w:rsid w:val="00F72DA7"/>
    <w:rsid w:val="00F94239"/>
    <w:rsid w:val="05C04508"/>
    <w:rsid w:val="19EB492A"/>
    <w:rsid w:val="3EFD4F42"/>
    <w:rsid w:val="4CE36167"/>
    <w:rsid w:val="54614387"/>
    <w:rsid w:val="596A783D"/>
    <w:rsid w:val="7C244F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link w:val="18"/>
    <w:uiPriority w:val="0"/>
    <w:pPr>
      <w:pBdr>
        <w:bottom w:val="single" w:color="auto" w:sz="6" w:space="1"/>
      </w:pBdr>
      <w:tabs>
        <w:tab w:val="center" w:pos="4153"/>
        <w:tab w:val="right" w:pos="8306"/>
      </w:tabs>
      <w:snapToGrid w:val="0"/>
      <w:jc w:val="center"/>
    </w:pPr>
    <w:rPr>
      <w:sz w:val="18"/>
      <w:szCs w:val="18"/>
    </w:rPr>
  </w:style>
  <w:style w:type="paragraph" w:styleId="4">
    <w:name w:val="toc 1"/>
    <w:basedOn w:val="1"/>
    <w:next w:val="1"/>
    <w:uiPriority w:val="0"/>
  </w:style>
  <w:style w:type="paragraph" w:styleId="5">
    <w:name w:val="toc 2"/>
    <w:basedOn w:val="1"/>
    <w:next w:val="1"/>
    <w:uiPriority w:val="0"/>
    <w:pPr>
      <w:ind w:left="420" w:leftChars="200"/>
    </w:pPr>
  </w:style>
  <w:style w:type="paragraph" w:styleId="6">
    <w:name w:val="Normal (Web)"/>
    <w:basedOn w:val="1"/>
    <w:uiPriority w:val="0"/>
    <w:pPr>
      <w:widowControl/>
      <w:spacing w:before="100" w:beforeAutospacing="1" w:after="100" w:afterAutospacing="1"/>
      <w:jc w:val="left"/>
    </w:pPr>
    <w:rPr>
      <w:rFonts w:ascii="宋体" w:hAnsi="宋体" w:cs="宋体"/>
      <w:kern w:val="0"/>
      <w:sz w:val="24"/>
    </w:rPr>
  </w:style>
  <w:style w:type="character" w:styleId="9">
    <w:name w:val="page number"/>
    <w:basedOn w:val="8"/>
    <w:qFormat/>
    <w:uiPriority w:val="0"/>
  </w:style>
  <w:style w:type="character" w:customStyle="1" w:styleId="10">
    <w:name w:val="font141"/>
    <w:uiPriority w:val="0"/>
    <w:rPr>
      <w:rFonts w:ascii="黑体" w:hAnsi="宋体" w:eastAsia="黑体" w:cs="黑体"/>
      <w:color w:val="000000"/>
      <w:sz w:val="22"/>
      <w:szCs w:val="22"/>
      <w:u w:val="none"/>
    </w:rPr>
  </w:style>
  <w:style w:type="character" w:customStyle="1" w:styleId="11">
    <w:name w:val="font81"/>
    <w:qFormat/>
    <w:uiPriority w:val="0"/>
    <w:rPr>
      <w:rFonts w:hint="default" w:ascii="Times New Roman" w:hAnsi="Times New Roman" w:cs="Times New Roman"/>
      <w:b/>
      <w:color w:val="000000"/>
      <w:sz w:val="22"/>
      <w:szCs w:val="22"/>
      <w:u w:val="none"/>
    </w:rPr>
  </w:style>
  <w:style w:type="character" w:customStyle="1" w:styleId="12">
    <w:name w:val="font61"/>
    <w:uiPriority w:val="0"/>
    <w:rPr>
      <w:rFonts w:hint="default" w:ascii="Times New Roman" w:hAnsi="Times New Roman" w:cs="Times New Roman"/>
      <w:color w:val="000000"/>
      <w:sz w:val="22"/>
      <w:szCs w:val="22"/>
      <w:u w:val="none"/>
    </w:rPr>
  </w:style>
  <w:style w:type="character" w:customStyle="1" w:styleId="13">
    <w:name w:val="font101"/>
    <w:uiPriority w:val="0"/>
    <w:rPr>
      <w:rFonts w:ascii="方正仿宋_GBK" w:hAnsi="方正仿宋_GBK" w:eastAsia="方正仿宋_GBK" w:cs="方正仿宋_GBK"/>
      <w:color w:val="000000"/>
      <w:sz w:val="22"/>
      <w:szCs w:val="22"/>
      <w:u w:val="none"/>
    </w:rPr>
  </w:style>
  <w:style w:type="character" w:customStyle="1" w:styleId="14">
    <w:name w:val="font01"/>
    <w:qFormat/>
    <w:uiPriority w:val="0"/>
    <w:rPr>
      <w:rFonts w:hint="default" w:ascii="方正仿宋_GBK" w:hAnsi="方正仿宋_GBK" w:eastAsia="方正仿宋_GBK" w:cs="方正仿宋_GBK"/>
      <w:b/>
      <w:color w:val="000000"/>
      <w:sz w:val="22"/>
      <w:szCs w:val="22"/>
      <w:u w:val="none"/>
    </w:rPr>
  </w:style>
  <w:style w:type="character" w:customStyle="1" w:styleId="15">
    <w:name w:val="font171"/>
    <w:uiPriority w:val="0"/>
    <w:rPr>
      <w:rFonts w:ascii="黑体" w:hAnsi="宋体" w:eastAsia="黑体" w:cs="黑体"/>
      <w:color w:val="000000"/>
      <w:sz w:val="22"/>
      <w:szCs w:val="22"/>
      <w:u w:val="none"/>
    </w:rPr>
  </w:style>
  <w:style w:type="character" w:customStyle="1" w:styleId="16">
    <w:name w:val="font121"/>
    <w:uiPriority w:val="0"/>
    <w:rPr>
      <w:rFonts w:hint="eastAsia" w:ascii="宋体" w:hAnsi="宋体" w:eastAsia="宋体" w:cs="宋体"/>
      <w:color w:val="000000"/>
      <w:sz w:val="16"/>
      <w:szCs w:val="16"/>
      <w:u w:val="none"/>
    </w:rPr>
  </w:style>
  <w:style w:type="character" w:customStyle="1" w:styleId="17">
    <w:name w:val="font111"/>
    <w:qFormat/>
    <w:uiPriority w:val="0"/>
    <w:rPr>
      <w:rFonts w:hint="default" w:ascii="Times New Roman" w:hAnsi="Times New Roman" w:cs="Times New Roman"/>
      <w:color w:val="000000"/>
      <w:sz w:val="22"/>
      <w:szCs w:val="22"/>
      <w:u w:val="none"/>
    </w:rPr>
  </w:style>
  <w:style w:type="character" w:customStyle="1" w:styleId="18">
    <w:name w:val="页眉 Char"/>
    <w:link w:val="3"/>
    <w:uiPriority w:val="0"/>
    <w:rPr>
      <w:rFonts w:eastAsia="宋体"/>
      <w:kern w:val="2"/>
      <w:sz w:val="18"/>
      <w:szCs w:val="18"/>
      <w:lang w:val="en-US" w:eastAsia="zh-CN" w:bidi="ar-SA"/>
    </w:rPr>
  </w:style>
  <w:style w:type="character" w:customStyle="1" w:styleId="19">
    <w:name w:val="font112"/>
    <w:uiPriority w:val="0"/>
    <w:rPr>
      <w:rFonts w:hint="default" w:ascii="方正仿宋_GBK" w:hAnsi="方正仿宋_GBK" w:eastAsia="方正仿宋_GBK" w:cs="方正仿宋_GBK"/>
      <w:color w:val="000000"/>
      <w:sz w:val="22"/>
      <w:szCs w:val="22"/>
      <w:u w:val="none"/>
    </w:rPr>
  </w:style>
  <w:style w:type="character" w:customStyle="1" w:styleId="20">
    <w:name w:val="font161"/>
    <w:uiPriority w:val="0"/>
    <w:rPr>
      <w:rFonts w:ascii="黑体" w:hAnsi="宋体" w:eastAsia="黑体" w:cs="黑体"/>
      <w:color w:val="000000"/>
      <w:sz w:val="22"/>
      <w:szCs w:val="22"/>
      <w:u w:val="none"/>
    </w:rPr>
  </w:style>
  <w:style w:type="character" w:customStyle="1" w:styleId="21">
    <w:name w:val="font51"/>
    <w:uiPriority w:val="0"/>
    <w:rPr>
      <w:rFonts w:hint="default" w:ascii="Times New Roman" w:hAnsi="Times New Roman" w:cs="Times New Roman"/>
      <w:color w:val="000000"/>
      <w:sz w:val="22"/>
      <w:szCs w:val="22"/>
      <w:u w:val="none"/>
    </w:rPr>
  </w:style>
  <w:style w:type="character" w:customStyle="1" w:styleId="22">
    <w:name w:val="font11"/>
    <w:uiPriority w:val="0"/>
    <w:rPr>
      <w:rFonts w:ascii="方正书宋_GBK" w:hAnsi="方正书宋_GBK" w:eastAsia="方正书宋_GBK" w:cs="方正书宋_GBK"/>
      <w:b/>
      <w:color w:val="000000"/>
      <w:sz w:val="22"/>
      <w:szCs w:val="22"/>
      <w:u w:val="none"/>
    </w:rPr>
  </w:style>
  <w:style w:type="character" w:customStyle="1" w:styleId="23">
    <w:name w:val="font91"/>
    <w:qFormat/>
    <w:uiPriority w:val="0"/>
    <w:rPr>
      <w:rFonts w:hint="default" w:ascii="方正仿宋_GBK" w:hAnsi="方正仿宋_GBK" w:eastAsia="方正仿宋_GBK" w:cs="方正仿宋_GBK"/>
      <w:color w:val="000000"/>
      <w:sz w:val="22"/>
      <w:szCs w:val="22"/>
      <w:u w:val="none"/>
    </w:rPr>
  </w:style>
  <w:style w:type="paragraph" w:customStyle="1" w:styleId="24">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0B9FA1-48AB-45CB-A5FD-3EFBA657FE2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Pages>
  <Words>635</Words>
  <Characters>3625</Characters>
  <Lines>30</Lines>
  <Paragraphs>8</Paragraphs>
  <TotalTime>51</TotalTime>
  <ScaleCrop>false</ScaleCrop>
  <LinksUpToDate>false</LinksUpToDate>
  <CharactersWithSpaces>4252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2021-05-18T07:26:00Z</dcterms:created>
  <dc:creator>微软用户</dc:creator>
  <cp:lastModifiedBy>Administrator</cp:lastModifiedBy>
  <dcterms:modified xsi:type="dcterms:W3CDTF">2021-05-27T08:28:24Z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