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12" w:name="_GoBack"/>
      <w:bookmarkEnd w:id="12"/>
      <w:r>
        <w:rPr>
          <w:rFonts w:hint="eastAsia" w:ascii="方正小标宋_GBK" w:hAnsi="Times New Roman" w:eastAsia="方正小标宋_GBK" w:cs="Times New Roman"/>
          <w:bCs/>
          <w:sz w:val="44"/>
          <w:szCs w:val="44"/>
        </w:rPr>
        <w:t>石家庄市藁城区工业和信息化局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按照《预算法》、《地方预决算公开操作规程》和《河北省省级预算公开办法》规定，现将石家庄市藁城区工业和信息化局2020年部门预算公开如下：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根据《石家庄市藁城区工业和信息化局职能配置、内设机构和人员编制规定》，石家庄市藁城区工业和信息化局的主要职责是：</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研究提出扶持工业企业发展政策和措施，对全市工业企业进行综合协调、指导和服务。研究拟订全市工业企业发展中长期规划及年度计划、工业经济运行调控方案并组织实施。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指导和推进工业企业产业结构、组织结构和产品结构的调整；指导工业企业发展技术进步、新产品开发和技术改造工作；负责国有工业企业的改革工作。指导工业企业开展国内经济技术交流与合作；指导工业企业参与国际贸易和开拓国际市场；指导企业间的协作联合；协调落实企业项目建设。</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加强对工业利税大户的培育；协调推进工业系统名牌战略。指导工业企业服务体系、担保体系和信用体系建设；承担市政府减轻企业负担的日常工作。统筹推进全区信息化工作和负责协调维护全区信息安全保障体系建设。获得一批重要原始创新成果，培养一批高层次科技人才和创新团队，提升基础研究能力。为产业转型升级、现代农业建设、和谐宜居环境创建和民生改善提供创新支撑；提升科技开放与合作的水平，提高科 技成果转化和产业化能力，促进京津冀科技协同创新。创新体系进一步完善，政策环境进一步优化，人才团队进一步壮大，创新平台对产业技术创新的支撑和服务能力进一步增强，园区和基地的培育、聚集和示范作用进一步提升。确保各项业务工作谋划到位、顺利开展。保障机关工作正常高效运转。围绕全区科技发展规划，开展技术咨询、技术服务，人才引进。</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推动科技基础条件服务平台建设；加强科技文献管理和科技情报研究分析；建立科技报告制度；向社会提供科技信息、科技政策、专利情报、专业标准检索查询及专题咨询等服务；开展科技统计、分析与监测；强化科技发展战略研究；推广应用创新方法，培育创新型企业；开展形式多样的科技交流、科技招商及科技展览活动。支持科研院所发展，开展软科学研究和科学技术普及，打造科技创新软环境。</w:t>
      </w:r>
    </w:p>
    <w:p>
      <w:pPr>
        <w:ind w:firstLine="640" w:firstLineChars="200"/>
        <w:rPr>
          <w:rFonts w:ascii="Times New Roman" w:hAnsi="Times New Roman" w:eastAsia="仿宋" w:cs="Times New Roman"/>
          <w:sz w:val="32"/>
          <w:szCs w:val="32"/>
        </w:rPr>
      </w:pPr>
    </w:p>
    <w:p>
      <w:pPr>
        <w:ind w:firstLine="640" w:firstLineChars="200"/>
        <w:rPr>
          <w:rFonts w:ascii="Times New Roman" w:hAnsi="Times New Roman" w:eastAsia="仿宋" w:cs="Times New Roman"/>
          <w:sz w:val="32"/>
          <w:szCs w:val="32"/>
        </w:rPr>
      </w:pPr>
    </w:p>
    <w:p>
      <w:pPr>
        <w:ind w:firstLine="640" w:firstLineChars="200"/>
        <w:rPr>
          <w:rFonts w:ascii="Times New Roman" w:hAnsi="Times New Roman"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石家庄市藁城区工业和信息化局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石家庄市藁城区工业和信息化局</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反映本部门当年全部收入。2020年预算收入1444.92万元，其中：一般公共预算收入1444.92万元，政府基金预算收入0万元，财政专户核拨收入0万元，其他来源收入0万元。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工业和信息化局预算中支出预算的总体情况。2020年部门支出预算为1444.92万元，其中基本支出606.32万元，包括人员经费555.96万元和日常公用经费50.36万元；项目支出838.6万元，主要为企事业单位补贴580万元，其他项目支出258.6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预算收支安排1444.92万元，较2019年减少268.29万元，其中：基本支出减少37.92万元，主要是人员减少，相应减少人员经费；项目支出减少230.36万元，主要是2020年安排的专项资金项目数量及金额均减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50.36万元，主要用于保证机关正常运转的办公及印刷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outlineLvl w:val="0"/>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2020年，我部门财政拨款“三公”经费预算安排2.2万元，其中：</w:t>
      </w:r>
    </w:p>
    <w:p>
      <w:pPr>
        <w:numPr>
          <w:ilvl w:val="0"/>
          <w:numId w:val="1"/>
        </w:numPr>
        <w:ind w:firstLine="640" w:firstLineChars="200"/>
        <w:outlineLvl w:val="0"/>
        <w:rPr>
          <w:rFonts w:ascii="Times New Roman" w:hAnsi="Times New Roman" w:eastAsia="仿宋" w:cs="Times New Roman"/>
          <w:sz w:val="32"/>
          <w:szCs w:val="32"/>
        </w:rPr>
      </w:pPr>
      <w:r>
        <w:rPr>
          <w:rFonts w:hint="eastAsia" w:ascii="Times New Roman" w:hAnsi="Times New Roman" w:eastAsia="仿宋" w:cs="Times New Roman"/>
          <w:sz w:val="32"/>
          <w:szCs w:val="32"/>
        </w:rPr>
        <w:t>因公出国（境）费0万元，与上年相比持平，无增减变化，主要原因：我单位没有出国培训交流业务。</w:t>
      </w:r>
    </w:p>
    <w:p>
      <w:pPr>
        <w:numPr>
          <w:ilvl w:val="0"/>
          <w:numId w:val="1"/>
        </w:numPr>
        <w:ind w:firstLine="640" w:firstLineChars="200"/>
        <w:outlineLvl w:val="0"/>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公务用车购置及运维费2.2万元，其中：公务用车购置费0万元，公务用车运行维护费2.2万元，与上年相比持平，无增减变化，主要原因：贯彻厉行节约，降低耗能。</w:t>
      </w:r>
    </w:p>
    <w:p>
      <w:pPr>
        <w:numPr>
          <w:ilvl w:val="0"/>
          <w:numId w:val="1"/>
        </w:numPr>
        <w:ind w:firstLine="640" w:firstLineChars="200"/>
        <w:outlineLvl w:val="0"/>
        <w:rPr>
          <w:rFonts w:ascii="Times New Roman" w:hAnsi="Times New Roman" w:eastAsia="仿宋" w:cs="Times New Roman"/>
          <w:sz w:val="32"/>
          <w:szCs w:val="32"/>
        </w:rPr>
      </w:pPr>
      <w:r>
        <w:rPr>
          <w:rFonts w:hint="eastAsia" w:ascii="Times New Roman" w:hAnsi="Times New Roman" w:eastAsia="仿宋" w:cs="Times New Roman"/>
          <w:sz w:val="32"/>
          <w:szCs w:val="32"/>
        </w:rPr>
        <w:t>公务接待费0万元，与上年相比持平，无增减变化，主要原因：响应国家号召，减少公务接待。</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坚持以习近平新时代中国特色社会主义思想为指导，深入贯彻落实</w:t>
      </w:r>
      <w:r>
        <w:rPr>
          <w:rFonts w:hint="eastAsia" w:ascii="Times New Roman" w:hAnsi="Times New Roman" w:eastAsia="仿宋" w:cs="Times New Roman"/>
          <w:sz w:val="32"/>
          <w:szCs w:val="32"/>
          <w:lang w:eastAsia="zh-CN"/>
        </w:rPr>
        <w:t>以习近平同志为核心</w:t>
      </w:r>
      <w:r>
        <w:rPr>
          <w:rFonts w:hint="eastAsia" w:ascii="Times New Roman" w:hAnsi="Times New Roman" w:eastAsia="仿宋" w:cs="Times New Roman"/>
          <w:sz w:val="32"/>
          <w:szCs w:val="32"/>
        </w:rPr>
        <w:t>的方针政策，大力推进我省贯彻落实战略纲要实施意见，加快推进工业和信息化发展指导意见的落地实施。统筹重点领域发展，突出改革创新，探索具有时代特征、富有河北特色的发展新路径，推动我省工业和信息化不断向纵深发展。</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1、确保全区工业企业物料堆放合规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绩效目标：人员培训工作同局房屋修缮工作顺利完成；确保全区工业企业物料堆放合规，按标准入棚苫盖。 </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绩效指标：对招聘的劳务派遣人员发放劳务费，劳务费发放额占应发劳务费的比率。应发数和实发数应达到100%。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根据房屋修缮验收报告，房屋中的破损地方被修缮的完工度达到80%以上，为工作人员提供完好工作环境。</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企业参加培训人员在经过培训以后，对单位的满意程度，可以通过调查问卷得知，80%以上的人对培训过程比较满意，则此次培训是成功的。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2、开展科学技术普及，提高科学技术普及率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绩效目标：提高科学技术普及率，助力文化强国的实现；提高人民群众满意度，增强政府在人民群众当中的影响力。</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绩效指标：发放科技宣传资料提高全民科技文化素质，顺利实施科技业务工作，顺利实施的科技业务工作数量占业务工作总数的90%以上；人民群众满意的数量占接受调查的数量的比例应在90%以上。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3、开展节能督查和监察，进一步实现节能降耗</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绩效目标：淘汰落后产能，实施节能项目，达到节能降耗的目的，通过万元GDP能耗降低率完成情况，体现节能工作效果。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节能项目完成率达到100%，通过节能项目完成情况体现节能效果。通过万元GDP能耗降低率指标考核情况体现节能工作效果。企业对工信局节能工作的满意程度达到80%以上，表示单位在实施节能项目中的方式方式是合乎企业期待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4、促进产业转型升级发展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绩效目标：健全技术创新市场导向机制，创新政府投入方式，组织实施自然科学和重点基础研究；促进产业转型升级、治理生态环境改善民生，支持重大科技成果转化和产业化。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重大科技成果转化方面，重大科技成果转化项目产出的高端新产品数量达到5个以上。研发关键技术方面，研发关机技术数量达到4个以上。经济效益方面，创新型企业研发费用占主营业务收入比率达到4%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5、提高项目管理水平和资金的使用效率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绩效目标：通过第三方机构出具的绩效评价报告，验证工程是否合格，保证国家资金的合规合理使用，总结项目管理经验，提高项目管理水平和资金的使用效益。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第三方机构出具绩效评价报告后，截止到委托业务费拨付的这段时间能够不超过7个工作日。截止到2020年第一季度，拨付给第三方评价机构的业务费能够全部到位，即资金拨付及时到位。通过第三场出具的绩效评价报告，可以了解工程完工程度以及工程合格与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6、解决历史遗留问题，维护社会稳定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2020年完成预算计划；积累的工程旧欠等问题不断得到解决，处理好历史遗留问题，防止出现债权人越级上访；通过还款降低债权人上访隐患，为社会稳定做贡献；原化纤厂、二电厂留守人员工资及社会保险等得到保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绩效指标：按照预算计划拨付数，完成100%资金拨付。留守人员工资、社保费及时按时发放和缴纳。债权人能够接受处理方案，对处理方案感到满意。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7、保障单位工业料堆监管等环保任务人员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绩效目标：招聘的8名劳务派遣人员，为工作开展提供人力支持，确保我局工业料堆等环保任务的顺利开展；招聘人员可协助我局的信访工作、涉军维稳和正常业务工作的开展，解决我局人力不足的问题。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招聘的劳务派遣人数占应招聘的劳务派遣人数比率达到80%以上。每月的月初发放前一个月的劳务费用，能做到不拖欠，工资发放时间应在次月的15号之前发放。单位对招聘的劳务派遣人员工作的完成度的评价结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8、保障局工作正常开展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绩效目标：吸纳社会专业技术人才，为局工作事务的开展提供技术支持。为局注入新生力量，满足局正常工作需求，保障局工作的正常开展。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招聘的劳务派遣人数占应招聘的劳务派遣人数比率达到80%以上。每月的月初发放前一个月的劳务费用，能做到不拖欠，工资发放时间应在次月的15号之前发放。单位对招聘的劳务派遣人员工作的完成度的评价结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单位内部处室间的协调联动，各业务科室在支出时，能够提前和财务科室联系，重视预算的支出进度，规范预算的支出方式；在支出预算后，收取发票，及时报销，财务科室能够从相对应的预算项目中支出；开展专业技术人员业务技能培训工作，确保能够在推进全区物料苫盖以及后续的环保任务中有专业技术人员的支撑，同时在后续，实时更新专业技术人员知识体系，大力提升专业技术人员的履职能力，提高干部队伍专业人才素质。</w:t>
      </w: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1、劳务派遣专业技术人员经费绩效目标表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、吸纳社会专业技术人才，为局工作事务的开展提供技术支持。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、为局注入新生力量，满足局正常工作需求，保障局工作的正常开展。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招聘劳务派遣人员到位率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实际招聘的劳务派遣人数占应招聘的劳务派遣人数比率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以劳务公司劳务合同为准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劳务费及社保费发放及时率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每月的月初发放前一个月的劳务费用，能做到不拖欠</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次月的15号之前发放</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财务转账时间的相关凭证记录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jc w:val="center"/>
              <w:textAlignment w:val="center"/>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招聘的劳务派遣人员对工作的完成度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在岗劳务派遣人员对工作的完成度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评价结果</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单位对相关人员的评价结果</w:t>
            </w:r>
          </w:p>
        </w:tc>
      </w:tr>
    </w:tbl>
    <w:p>
      <w:pPr>
        <w:spacing w:line="300" w:lineRule="exact"/>
        <w:jc w:val="left"/>
      </w:pPr>
    </w:p>
    <w:p>
      <w:pPr>
        <w:spacing w:line="300" w:lineRule="exact"/>
        <w:jc w:val="left"/>
      </w:pPr>
    </w:p>
    <w:p>
      <w:pPr>
        <w:spacing w:line="300" w:lineRule="exact"/>
        <w:jc w:val="left"/>
      </w:pPr>
    </w:p>
    <w:p>
      <w:pPr>
        <w:spacing w:line="300" w:lineRule="exact"/>
        <w:jc w:val="left"/>
      </w:pPr>
    </w:p>
    <w:p>
      <w:pPr>
        <w:jc w:val="left"/>
        <w:outlineLvl w:val="1"/>
        <w:rPr>
          <w:rFonts w:ascii="Times New Roman" w:hAnsi="宋体"/>
          <w:b/>
          <w:sz w:val="28"/>
        </w:rPr>
      </w:pPr>
      <w:r>
        <w:rPr>
          <w:rFonts w:hint="eastAsia" w:ascii="方正仿宋_GBK" w:eastAsia="方正仿宋_GBK"/>
          <w:b/>
          <w:sz w:val="28"/>
        </w:rPr>
        <w:t xml:space="preserve">  2、招聘劳务派遣人员经费绩效目标表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1、招聘的8名劳务派遣人员，为工作开展提供人力支持，确保我局工业料堆等环保任务的顺利开展。</w:t>
            </w:r>
          </w:p>
          <w:p>
            <w:pPr>
              <w:spacing w:line="300" w:lineRule="exact"/>
              <w:jc w:val="left"/>
              <w:rPr>
                <w:rFonts w:ascii="方正书宋_GBK" w:eastAsia="方正书宋_GBK"/>
              </w:rPr>
            </w:pPr>
            <w:r>
              <w:rPr>
                <w:rFonts w:hint="eastAsia" w:ascii="方正书宋_GBK" w:eastAsia="方正书宋_GBK"/>
              </w:rPr>
              <w:t>2、招聘人员可协助我局的信访工作、涉军维稳和正常业务工作的开展，解决我局人力不足的问题。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招聘劳务派遣人员到位率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实际招聘的劳务派遣人数占应招聘的劳务派遣人数比率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以劳务公司劳务合同为准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left"/>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劳务费发放及时率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每月的月初发放前一个月的劳务费用，能做到不拖欠</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次月的15号之前发放</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财务相关转账记录凭证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招聘的劳务派遣人员对工作的完成度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在岗劳务派遣人员对工作的完成度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评价结果</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单位对相关人员的评价结果</w:t>
            </w:r>
          </w:p>
        </w:tc>
      </w:tr>
    </w:tbl>
    <w:p>
      <w:pPr>
        <w:spacing w:line="300" w:lineRule="exact"/>
        <w:ind w:firstLine="420" w:firstLineChars="200"/>
        <w:jc w:val="left"/>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3、节能监察经费绩效目标表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1、淘汰落后产能，实施节能项目，达到节能降耗的目的。</w:t>
            </w:r>
          </w:p>
          <w:p>
            <w:pPr>
              <w:spacing w:line="300" w:lineRule="exact"/>
              <w:jc w:val="left"/>
              <w:rPr>
                <w:rFonts w:ascii="方正书宋_GBK" w:eastAsia="方正书宋_GBK"/>
              </w:rPr>
            </w:pPr>
            <w:r>
              <w:rPr>
                <w:rFonts w:hint="eastAsia" w:ascii="方正书宋_GBK" w:eastAsia="方正书宋_GBK"/>
              </w:rPr>
              <w:t>2、通过万元GDP能耗降低率完成情况，体现节能工作效果。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节能项目完成率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通过节能项目完成情况体现节能效果。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万元GDP能耗降低率完成情况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通过万元GDP能耗降低率指标考核情况体现节能工作效果。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完成/没完成</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企业对工信局节能工作的满意度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企业对工信局节能工作的满意程度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4、河北省藁城市化学纤维厂还款项目绩效目标表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1、2020年完成预算计划；积累的工程旧欠等问题不断得到解决，处理好历史遗留问题，防止出现债权人越级上访。</w:t>
            </w:r>
          </w:p>
          <w:p>
            <w:pPr>
              <w:spacing w:line="300" w:lineRule="exact"/>
              <w:jc w:val="left"/>
              <w:rPr>
                <w:rFonts w:ascii="方正书宋_GBK" w:eastAsia="方正书宋_GBK"/>
              </w:rPr>
            </w:pPr>
            <w:r>
              <w:rPr>
                <w:rFonts w:hint="eastAsia" w:ascii="方正书宋_GBK" w:eastAsia="方正书宋_GBK"/>
              </w:rPr>
              <w:t>2、通过还款降低债权人上访隐患，为社会稳定做贡献；原化纤厂、二电厂留守人员工资及社会保险等得到保障。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完成预算计划比率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资金按预算计划合理支出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留守人员工资社保费等保障率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留守人员工资社保费及时发放和缴纳</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债权人满意度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满意和比较满意债权人占接受调查人的比率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5、服务工业经济发展资金绩效目标表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484642"/>
      <w:r>
        <w:rPr>
          <w:rFonts w:hint="eastAsia" w:ascii="方正仿宋_GBK" w:eastAsia="方正仿宋_GBK"/>
          <w:b/>
          <w:sz w:val="28"/>
        </w:rPr>
        <w:instrText xml:space="preserve">11、省人大常委会办公厅信息化建设资金（预内基建）绩效目标表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hint="eastAsia"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1、局房屋修缮工作顺利完成。</w:t>
            </w:r>
          </w:p>
          <w:p>
            <w:pPr>
              <w:spacing w:line="300" w:lineRule="exact"/>
              <w:jc w:val="left"/>
              <w:rPr>
                <w:rFonts w:ascii="方正书宋_GBK" w:eastAsia="方正书宋_GBK"/>
              </w:rPr>
            </w:pPr>
            <w:r>
              <w:rPr>
                <w:rFonts w:hint="eastAsia" w:ascii="方正书宋_GBK" w:eastAsia="方正书宋_GBK"/>
              </w:rPr>
              <w:t>2、人员培训工作顺利完成。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委托劳务费发放率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劳务费发放额占应发劳务费的比率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根据单位财务数据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left"/>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房屋修缮完成程度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房屋中的破损地方被修缮的完成度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根据房屋修缮合同及验收报告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受训人员满意度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受训人员对局培训工作的满意程度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相关调查问卷</w:t>
            </w: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6、中央预算内投资生态文明建设专项绩效评价费绩效目标表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484631"/>
      <w:r>
        <w:rPr>
          <w:rFonts w:hint="eastAsia" w:ascii="方正仿宋_GBK" w:eastAsia="方正仿宋_GBK"/>
          <w:b/>
          <w:sz w:val="28"/>
        </w:rPr>
        <w:instrText xml:space="preserve">1、河北省人民代表大会会议费绩效目标表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r>
              <w:rPr>
                <w:rFonts w:hint="eastAsia"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1、通过第三方机构出具的绩效评价报告，验证工程是否合格，保证国家资金的合规合理使用。</w:t>
            </w:r>
          </w:p>
          <w:p>
            <w:pPr>
              <w:spacing w:line="300" w:lineRule="exact"/>
              <w:jc w:val="left"/>
              <w:rPr>
                <w:rFonts w:ascii="方正书宋_GBK" w:eastAsia="方正书宋_GBK"/>
              </w:rPr>
            </w:pPr>
            <w:r>
              <w:rPr>
                <w:rFonts w:hint="eastAsia" w:ascii="方正书宋_GBK" w:eastAsia="方正书宋_GBK"/>
              </w:rPr>
              <w:t>2、通过绩效评价，总结项目管理经验，提高项目管理水平和资金的使用效益。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绩效评价报告完工到委托业务费拨付之间的时间不超过七个工作日即为及时拨放。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≤7个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财务科室拨付资金的凭证；银行转账成功的凭证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left"/>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资金拨付到位率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截止到2019.3.31日前，拨付给第三方评价机构的业务费为全部业务费的100%，即为到位。</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财务科室拨付资金的凭证；银行转账成功的凭证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left"/>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通过第三方客观评价，了解工程完工程度，工程合格与否。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第三方绩效评价报告</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10"/>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471002石家庄市藁城区工业和信息化局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szCs w:val="21"/>
              </w:rPr>
            </w:pPr>
          </w:p>
        </w:tc>
        <w:tc>
          <w:tcPr>
            <w:tcW w:w="992" w:type="dxa"/>
            <w:vAlign w:val="center"/>
          </w:tcPr>
          <w:p>
            <w:pPr>
              <w:adjustRightInd w:val="0"/>
              <w:snapToGrid w:val="0"/>
              <w:jc w:val="right"/>
              <w:rPr>
                <w:rFonts w:ascii="方正书宋_GBK" w:hAnsi="宋体" w:eastAsia="方正书宋_GBK" w:cs="宋体"/>
                <w:b/>
                <w:bCs/>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szCs w:val="21"/>
              </w:rPr>
            </w:pPr>
          </w:p>
        </w:tc>
        <w:tc>
          <w:tcPr>
            <w:tcW w:w="992" w:type="dxa"/>
            <w:vAlign w:val="center"/>
          </w:tcPr>
          <w:p>
            <w:pPr>
              <w:adjustRightInd w:val="0"/>
              <w:snapToGrid w:val="0"/>
              <w:jc w:val="right"/>
              <w:rPr>
                <w:rFonts w:ascii="方正书宋_GBK" w:hAnsi="宋体" w:eastAsia="方正书宋_GBK" w:cs="宋体"/>
                <w:b/>
                <w:bCs/>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注：本部门无政府采购预算情况，故空表列示。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石家庄市藁城区工业和信息化局2019</w:t>
      </w:r>
      <w:r>
        <w:rPr>
          <w:rFonts w:ascii="Times New Roman" w:hAnsi="Times New Roman" w:eastAsia="仿宋" w:cs="Times New Roman"/>
          <w:sz w:val="32"/>
          <w:szCs w:val="32"/>
        </w:rPr>
        <w:t>年末固定资产金额为</w:t>
      </w:r>
      <w:r>
        <w:rPr>
          <w:rFonts w:hint="eastAsia" w:ascii="Times New Roman" w:hAnsi="Times New Roman" w:eastAsia="仿宋" w:cs="Times New Roman"/>
          <w:sz w:val="32"/>
          <w:szCs w:val="32"/>
        </w:rPr>
        <w:t>176.5</w:t>
      </w:r>
      <w:r>
        <w:rPr>
          <w:rFonts w:ascii="Times New Roman" w:hAnsi="Times New Roman" w:eastAsia="仿宋" w:cs="Times New Roman"/>
          <w:sz w:val="32"/>
          <w:szCs w:val="32"/>
        </w:rPr>
        <w:t>万元（详见下表），本年度各单位</w:t>
      </w:r>
      <w:r>
        <w:rPr>
          <w:rFonts w:hint="eastAsia" w:ascii="Times New Roman" w:hAnsi="Times New Roman" w:eastAsia="仿宋" w:cs="Times New Roman"/>
          <w:sz w:val="32"/>
          <w:szCs w:val="32"/>
        </w:rPr>
        <w:t>（处室）</w:t>
      </w:r>
      <w:r>
        <w:rPr>
          <w:rFonts w:ascii="Times New Roman" w:hAnsi="Times New Roman" w:eastAsia="仿宋" w:cs="Times New Roman"/>
          <w:sz w:val="32"/>
          <w:szCs w:val="32"/>
        </w:rPr>
        <w:t>拟购置固定资产</w:t>
      </w:r>
      <w:r>
        <w:rPr>
          <w:rFonts w:hint="eastAsia" w:ascii="Times New Roman" w:hAnsi="Times New Roman" w:eastAsia="仿宋" w:cs="Times New Roman"/>
          <w:sz w:val="32"/>
          <w:szCs w:val="32"/>
        </w:rPr>
        <w:t>总额为0</w:t>
      </w:r>
      <w:r>
        <w:rPr>
          <w:rFonts w:ascii="Times New Roman" w:hAnsi="Times New Roman" w:eastAsia="仿宋" w:cs="Times New Roman"/>
          <w:sz w:val="32"/>
          <w:szCs w:val="32"/>
        </w:rPr>
        <w:t>万元，</w:t>
      </w:r>
      <w:r>
        <w:rPr>
          <w:rFonts w:hint="eastAsia" w:ascii="Times New Roman" w:hAnsi="Times New Roman" w:eastAsia="仿宋" w:cs="Times New Roman"/>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石家庄市藁城区工业和信息化局固定资产占用情况表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石家庄市藁城区工业和信息化局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176.5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20.65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20.65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17.98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137.87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ascii="Times New Roman" w:hAnsi="Times New Roman" w:eastAsia="仿宋" w:cs="Times New Roman"/>
          <w:sz w:val="32"/>
          <w:szCs w:val="32"/>
        </w:rPr>
        <w:t>区县级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ascii="Times New Roman" w:hAnsi="Times New Roman" w:eastAsia="仿宋" w:cs="Times New Roman"/>
          <w:sz w:val="32"/>
          <w:szCs w:val="32"/>
        </w:rPr>
        <w:t>区县级</w:t>
      </w:r>
      <w:r>
        <w:rPr>
          <w:rFonts w:hint="eastAsia" w:ascii="Times New Roman" w:hAnsi="Times New Roman" w:eastAsia="仿宋" w:cs="Times New Roman"/>
          <w:sz w:val="32"/>
          <w:szCs w:val="32"/>
        </w:rPr>
        <w:t>财政预算管理的“三公”经费，是指</w:t>
      </w:r>
      <w:r>
        <w:rPr>
          <w:rFonts w:ascii="Times New Roman" w:hAnsi="Times New Roman" w:eastAsia="仿宋" w:cs="Times New Roman"/>
          <w:sz w:val="32"/>
          <w:szCs w:val="32"/>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Courier New"/>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Segoe UI">
    <w:panose1 w:val="020B0502040204020203"/>
    <w:charset w:val="00"/>
    <w:family w:val="auto"/>
    <w:pitch w:val="default"/>
    <w:sig w:usb0="E10022FF" w:usb1="C000E47F" w:usb2="00000029" w:usb3="00000000" w:csb0="200001DF" w:csb1="2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11</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15</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8DEBE8"/>
    <w:multiLevelType w:val="singleLevel"/>
    <w:tmpl w:val="5C8DEBE8"/>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B7749"/>
    <w:rsid w:val="000C7140"/>
    <w:rsid w:val="00323B29"/>
    <w:rsid w:val="0039059E"/>
    <w:rsid w:val="00524F34"/>
    <w:rsid w:val="007E1365"/>
    <w:rsid w:val="007F0341"/>
    <w:rsid w:val="009A521C"/>
    <w:rsid w:val="00D607DA"/>
    <w:rsid w:val="00DC6EE5"/>
    <w:rsid w:val="00EE71BA"/>
    <w:rsid w:val="00F867E4"/>
    <w:rsid w:val="051725DC"/>
    <w:rsid w:val="056D17C0"/>
    <w:rsid w:val="097A49CE"/>
    <w:rsid w:val="0C534897"/>
    <w:rsid w:val="10B1312F"/>
    <w:rsid w:val="127A685D"/>
    <w:rsid w:val="14FA164A"/>
    <w:rsid w:val="1E381DD3"/>
    <w:rsid w:val="1F12511D"/>
    <w:rsid w:val="207E2F83"/>
    <w:rsid w:val="219B6F4B"/>
    <w:rsid w:val="222C48FB"/>
    <w:rsid w:val="2E802B84"/>
    <w:rsid w:val="34DF4E78"/>
    <w:rsid w:val="3B807851"/>
    <w:rsid w:val="3BDB617C"/>
    <w:rsid w:val="3CA17080"/>
    <w:rsid w:val="424309C3"/>
    <w:rsid w:val="42623A85"/>
    <w:rsid w:val="44CE2C8E"/>
    <w:rsid w:val="4D2C391B"/>
    <w:rsid w:val="569B2EA0"/>
    <w:rsid w:val="5DE10516"/>
    <w:rsid w:val="60226D5F"/>
    <w:rsid w:val="611700D1"/>
    <w:rsid w:val="63C13045"/>
    <w:rsid w:val="65530892"/>
    <w:rsid w:val="696A6939"/>
    <w:rsid w:val="6B9C3F97"/>
    <w:rsid w:val="6E340B02"/>
    <w:rsid w:val="72E371D3"/>
    <w:rsid w:val="76582ADA"/>
    <w:rsid w:val="781E2B03"/>
    <w:rsid w:val="784E7A02"/>
    <w:rsid w:val="7A6E214D"/>
    <w:rsid w:val="7AF015C6"/>
    <w:rsid w:val="7C027C42"/>
    <w:rsid w:val="7CD849DD"/>
    <w:rsid w:val="7FB8445E"/>
    <w:rsid w:val="A6FED89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1124</Words>
  <Characters>6408</Characters>
  <Lines>53</Lines>
  <Paragraphs>15</Paragraphs>
  <TotalTime>46</TotalTime>
  <ScaleCrop>false</ScaleCrop>
  <LinksUpToDate>false</LinksUpToDate>
  <CharactersWithSpaces>7517</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2024-02-01T08:33:24Z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