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石家庄市藁城区工商业联合会</w:t>
      </w:r>
    </w:p>
    <w:p>
      <w:pPr>
        <w:adjustRightInd w:val="0"/>
        <w:snapToGrid w:val="0"/>
        <w:jc w:val="center"/>
        <w:rPr>
          <w:rFonts w:ascii="方正小标宋_GBK" w:hAnsi="Times New Roman" w:eastAsia="方正小标宋_GBK" w:cs="Times New Roman"/>
          <w:bCs/>
          <w:sz w:val="44"/>
          <w:szCs w:val="44"/>
        </w:rPr>
      </w:pP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按照《预算法》、《地方预决算公开操作规程》和《河北省省级预算公开办法》规定，现将石家庄市藁城区工商业联合会单位</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_GB2312" w:hAnsi="仿宋_GB2312" w:eastAsia="仿宋_GB2312" w:cs="仿宋_GB2312"/>
          <w:sz w:val="32"/>
          <w:szCs w:val="32"/>
        </w:rPr>
      </w:pPr>
      <w:bookmarkStart w:id="0" w:name="_Toc441517130"/>
      <w:r>
        <w:rPr>
          <w:rFonts w:hint="eastAsia" w:ascii="仿宋_GB2312" w:hAnsi="仿宋_GB2312" w:eastAsia="仿宋_GB2312" w:cs="仿宋_GB2312"/>
          <w:sz w:val="32"/>
          <w:szCs w:val="32"/>
        </w:rPr>
        <w:t>藁城区工商联的主要工作职责是：</w:t>
      </w:r>
      <w:bookmarkEnd w:id="0"/>
    </w:p>
    <w:p>
      <w:pPr>
        <w:ind w:firstLine="64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(一)</w:t>
      </w:r>
      <w:r>
        <w:fldChar w:fldCharType="begin"/>
      </w:r>
      <w:r>
        <w:instrText xml:space="preserve"> HYPERLINK "http://www.unjs.com/Special/tuanjie/" </w:instrText>
      </w:r>
      <w:r>
        <w:fldChar w:fldCharType="separate"/>
      </w:r>
      <w:r>
        <w:rPr>
          <w:rFonts w:hint="eastAsia" w:ascii="仿宋" w:hAnsi="仿宋" w:eastAsia="仿宋" w:cs="仿宋"/>
          <w:color w:val="000000"/>
          <w:sz w:val="30"/>
          <w:szCs w:val="30"/>
          <w:shd w:val="clear" w:color="auto" w:fill="FFFFFF"/>
        </w:rPr>
        <w:t>团结</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、服务、引导、教育非公有制经济人士</w:t>
      </w:r>
      <w:r>
        <w:fldChar w:fldCharType="begin"/>
      </w:r>
      <w:r>
        <w:instrText xml:space="preserve"> HYPERLINK "http://www.unjs.com/Special/aiguoyanjianggao/" </w:instrText>
      </w:r>
      <w:r>
        <w:fldChar w:fldCharType="separate"/>
      </w:r>
      <w:r>
        <w:fldChar w:fldCharType="end"/>
      </w:r>
      <w:r>
        <w:fldChar w:fldCharType="begin"/>
      </w:r>
      <w:r>
        <w:instrText xml:space="preserve"> HYPERLINK "http://www.unjs.com/Special/ai/" </w:instrText>
      </w:r>
      <w:r>
        <w:fldChar w:fldCharType="separate"/>
      </w:r>
      <w:r>
        <w:rPr>
          <w:rFonts w:hint="eastAsia" w:ascii="仿宋" w:hAnsi="仿宋" w:eastAsia="仿宋" w:cs="仿宋"/>
          <w:color w:val="000000"/>
          <w:sz w:val="30"/>
          <w:szCs w:val="30"/>
          <w:shd w:val="clear" w:color="auto" w:fill="FFFFFF"/>
        </w:rPr>
        <w:t>爱</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国、敬业、</w:t>
      </w:r>
      <w:r>
        <w:fldChar w:fldCharType="begin"/>
      </w:r>
      <w:r>
        <w:instrText xml:space="preserve"> HYPERLINK "http://www.unjs.com/Special/chengxin/" </w:instrText>
      </w:r>
      <w:r>
        <w:fldChar w:fldCharType="separate"/>
      </w:r>
      <w:r>
        <w:rPr>
          <w:rFonts w:hint="eastAsia" w:ascii="仿宋" w:hAnsi="仿宋" w:eastAsia="仿宋" w:cs="仿宋"/>
          <w:color w:val="000000"/>
          <w:sz w:val="30"/>
          <w:szCs w:val="30"/>
          <w:shd w:val="clear" w:color="auto" w:fill="FFFFFF"/>
        </w:rPr>
        <w:t>诚信</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、守法、贡献，培养拥护党的</w:t>
      </w:r>
      <w:r>
        <w:fldChar w:fldCharType="begin"/>
      </w:r>
      <w:r>
        <w:instrText xml:space="preserve"> HYPERLINK "http://www.unjs.com/Special/lingdaofayangao/" </w:instrText>
      </w:r>
      <w:r>
        <w:fldChar w:fldCharType="separate"/>
      </w:r>
      <w:r>
        <w:rPr>
          <w:rFonts w:hint="eastAsia" w:ascii="仿宋" w:hAnsi="仿宋" w:eastAsia="仿宋" w:cs="仿宋"/>
          <w:color w:val="000000"/>
          <w:sz w:val="30"/>
          <w:szCs w:val="30"/>
          <w:shd w:val="clear" w:color="auto" w:fill="FFFFFF"/>
        </w:rPr>
        <w:t>领导</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、走</w:t>
      </w:r>
      <w:r>
        <w:fldChar w:fldCharType="begin"/>
      </w:r>
      <w:r>
        <w:instrText xml:space="preserve"> HYPERLINK "http://www.unjs.com/Special/zhongguomeng/" </w:instrText>
      </w:r>
      <w:r>
        <w:fldChar w:fldCharType="separate"/>
      </w:r>
      <w:r>
        <w:rPr>
          <w:rFonts w:hint="eastAsia" w:ascii="仿宋" w:hAnsi="仿宋" w:eastAsia="仿宋" w:cs="仿宋"/>
          <w:color w:val="000000"/>
          <w:sz w:val="30"/>
          <w:szCs w:val="30"/>
          <w:shd w:val="clear" w:color="auto" w:fill="FFFFFF"/>
        </w:rPr>
        <w:t>中国</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特色</w:t>
      </w:r>
      <w:r>
        <w:fldChar w:fldCharType="begin"/>
      </w:r>
      <w:r>
        <w:instrText xml:space="preserve"> HYPERLINK "http://www.unjs.com/Special/hanjiashehuishijianbaogao/" </w:instrText>
      </w:r>
      <w:r>
        <w:fldChar w:fldCharType="separate"/>
      </w:r>
      <w:r>
        <w:rPr>
          <w:rFonts w:hint="eastAsia" w:ascii="仿宋" w:hAnsi="仿宋" w:eastAsia="仿宋" w:cs="仿宋"/>
          <w:color w:val="000000"/>
          <w:sz w:val="30"/>
          <w:szCs w:val="30"/>
          <w:shd w:val="clear" w:color="auto" w:fill="FFFFFF"/>
        </w:rPr>
        <w:t>社会</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主义道</w:t>
      </w:r>
      <w:r>
        <w:fldChar w:fldCharType="begin"/>
      </w:r>
      <w:r>
        <w:instrText xml:space="preserve"> HYPERLINK "http://www.unjs.com/Special/lu/" </w:instrText>
      </w:r>
      <w:r>
        <w:fldChar w:fldCharType="separate"/>
      </w:r>
      <w:r>
        <w:rPr>
          <w:rFonts w:hint="eastAsia" w:ascii="仿宋" w:hAnsi="仿宋" w:eastAsia="仿宋" w:cs="仿宋"/>
          <w:color w:val="000000"/>
          <w:sz w:val="30"/>
          <w:szCs w:val="30"/>
          <w:shd w:val="clear" w:color="auto" w:fill="FFFFFF"/>
        </w:rPr>
        <w:t>路</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的非公有制经济人士队伍。</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(二)做好非公有制经济代表人士政治安排的推荐工作。参与政治协商，发挥</w:t>
      </w:r>
      <w:r>
        <w:fldChar w:fldCharType="begin"/>
      </w:r>
      <w:r>
        <w:instrText xml:space="preserve"> HYPERLINK "http://www.unjs.com/Special/minzhushenghuohui/" </w:instrText>
      </w:r>
      <w:r>
        <w:fldChar w:fldCharType="separate"/>
      </w:r>
      <w:r>
        <w:rPr>
          <w:rFonts w:hint="eastAsia" w:ascii="仿宋" w:hAnsi="仿宋" w:eastAsia="仿宋" w:cs="仿宋"/>
          <w:color w:val="000000"/>
          <w:sz w:val="30"/>
          <w:szCs w:val="30"/>
          <w:shd w:val="clear" w:color="auto" w:fill="FFFFFF"/>
        </w:rPr>
        <w:t>民主</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监督作用，积极参政议政。</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(三)参与政府相关的经济</w:t>
      </w:r>
      <w:r>
        <w:fldChar w:fldCharType="begin"/>
      </w:r>
      <w:r>
        <w:instrText xml:space="preserve"> HYPERLINK "http://www.unjs.com/Special/huodongcehua/" </w:instrText>
      </w:r>
      <w:r>
        <w:fldChar w:fldCharType="separate"/>
      </w:r>
      <w:r>
        <w:rPr>
          <w:rFonts w:hint="eastAsia" w:ascii="仿宋" w:hAnsi="仿宋" w:eastAsia="仿宋" w:cs="仿宋"/>
          <w:color w:val="000000"/>
          <w:sz w:val="30"/>
          <w:szCs w:val="30"/>
          <w:shd w:val="clear" w:color="auto" w:fill="FFFFFF"/>
        </w:rPr>
        <w:t>活动</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，广泛联系各地工商界人士，开展民间外交，推动经贸</w:t>
      </w:r>
      <w:r>
        <w:fldChar w:fldCharType="begin"/>
      </w:r>
      <w:r>
        <w:instrText xml:space="preserve"> HYPERLINK "http://www.unjs.com/Special/jingyanjiaoliucailiao/" </w:instrText>
      </w:r>
      <w:r>
        <w:fldChar w:fldCharType="separate"/>
      </w:r>
      <w:r>
        <w:rPr>
          <w:rFonts w:hint="eastAsia" w:ascii="仿宋" w:hAnsi="仿宋" w:eastAsia="仿宋" w:cs="仿宋"/>
          <w:color w:val="000000"/>
          <w:sz w:val="30"/>
          <w:szCs w:val="30"/>
          <w:shd w:val="clear" w:color="auto" w:fill="FFFFFF"/>
        </w:rPr>
        <w:t>交流</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和协作，促进经济社会发展。</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(四)参与协调</w:t>
      </w:r>
      <w:r>
        <w:fldChar w:fldCharType="begin"/>
      </w:r>
      <w:r>
        <w:instrText xml:space="preserve"> HYPERLINK "http://www.unjs.com/Special/laodonghetongfa/" </w:instrText>
      </w:r>
      <w:r>
        <w:fldChar w:fldCharType="separate"/>
      </w:r>
      <w:r>
        <w:rPr>
          <w:rFonts w:hint="eastAsia" w:ascii="仿宋" w:hAnsi="仿宋" w:eastAsia="仿宋" w:cs="仿宋"/>
          <w:color w:val="000000"/>
          <w:sz w:val="30"/>
          <w:szCs w:val="30"/>
          <w:shd w:val="clear" w:color="auto" w:fill="FFFFFF"/>
        </w:rPr>
        <w:t>劳动</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关系，促进和谐社会建设。</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(五)指导本会直属商会工作，积极参与社会组织建设工作，促进行业协会商会改革发展。</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 xml:space="preserve">(六)反映非公有制企业和非公有制经济人士利益诉求维护其合法权益。 </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(七)为会员提供政策信息、人才交流</w:t>
      </w:r>
      <w:r>
        <w:fldChar w:fldCharType="begin"/>
      </w:r>
      <w:r>
        <w:instrText xml:space="preserve"> HYPERLINK "http://www.unjs.com/Special/peixunxindetihui/" </w:instrText>
      </w:r>
      <w:r>
        <w:fldChar w:fldCharType="separate"/>
      </w:r>
      <w:r>
        <w:rPr>
          <w:rFonts w:hint="eastAsia" w:ascii="仿宋" w:hAnsi="仿宋" w:eastAsia="仿宋" w:cs="仿宋"/>
          <w:color w:val="000000"/>
          <w:sz w:val="30"/>
          <w:szCs w:val="30"/>
          <w:shd w:val="clear" w:color="auto" w:fill="FFFFFF"/>
        </w:rPr>
        <w:t>培训</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等服务。组织会员企业参加各类经贸活动，外出参观考察，</w:t>
      </w:r>
      <w:r>
        <w:fldChar w:fldCharType="begin"/>
      </w:r>
      <w:r>
        <w:instrText xml:space="preserve"> HYPERLINK "http://www.unjs.com/Special/bangzhu/" </w:instrText>
      </w:r>
      <w:r>
        <w:fldChar w:fldCharType="separate"/>
      </w:r>
      <w:r>
        <w:rPr>
          <w:rFonts w:hint="eastAsia" w:ascii="仿宋" w:hAnsi="仿宋" w:eastAsia="仿宋" w:cs="仿宋"/>
          <w:color w:val="000000"/>
          <w:sz w:val="30"/>
          <w:szCs w:val="30"/>
          <w:shd w:val="clear" w:color="auto" w:fill="FFFFFF"/>
        </w:rPr>
        <w:t>帮助</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会员企业</w:t>
      </w:r>
      <w:r>
        <w:fldChar w:fldCharType="begin"/>
      </w:r>
      <w:r>
        <w:instrText xml:space="preserve"> HYPERLINK "http://www.unjs.com/Special/tuozhanxunlian/" </w:instrText>
      </w:r>
      <w:r>
        <w:fldChar w:fldCharType="separate"/>
      </w:r>
      <w:r>
        <w:rPr>
          <w:rFonts w:hint="eastAsia" w:ascii="仿宋" w:hAnsi="仿宋" w:eastAsia="仿宋" w:cs="仿宋"/>
          <w:color w:val="000000"/>
          <w:sz w:val="30"/>
          <w:szCs w:val="30"/>
          <w:shd w:val="clear" w:color="auto" w:fill="FFFFFF"/>
        </w:rPr>
        <w:t>拓展</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市常</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(八)配合有关部门开展非公有制会员企业</w:t>
      </w:r>
      <w:r>
        <w:fldChar w:fldCharType="begin"/>
      </w:r>
      <w:r>
        <w:instrText xml:space="preserve"> HYPERLINK "http://www.unjs.com/Special/dangjiangongzuozongjie/" </w:instrText>
      </w:r>
      <w:r>
        <w:fldChar w:fldCharType="separate"/>
      </w:r>
      <w:r>
        <w:rPr>
          <w:rFonts w:hint="eastAsia" w:ascii="仿宋" w:hAnsi="仿宋" w:eastAsia="仿宋" w:cs="仿宋"/>
          <w:color w:val="000000"/>
          <w:sz w:val="30"/>
          <w:szCs w:val="30"/>
          <w:shd w:val="clear" w:color="auto" w:fill="FFFFFF"/>
        </w:rPr>
        <w:t>党建</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工作。</w:t>
      </w:r>
    </w:p>
    <w:p>
      <w:pPr>
        <w:shd w:val="solid" w:color="FFFFFF" w:fill="auto"/>
        <w:autoSpaceDN w:val="0"/>
        <w:spacing w:line="420" w:lineRule="atLeast"/>
        <w:ind w:firstLine="600" w:firstLineChars="200"/>
        <w:rPr>
          <w:rFonts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(九)积极引导非公有制企业及其非公有制经济人士承担社会</w:t>
      </w:r>
      <w:r>
        <w:fldChar w:fldCharType="begin"/>
      </w:r>
      <w:r>
        <w:instrText xml:space="preserve"> HYPERLINK "http://www.unjs.com/Special/zerenzuowen/" </w:instrText>
      </w:r>
      <w:r>
        <w:fldChar w:fldCharType="separate"/>
      </w:r>
      <w:r>
        <w:rPr>
          <w:rFonts w:hint="eastAsia" w:ascii="仿宋" w:hAnsi="仿宋" w:eastAsia="仿宋" w:cs="仿宋"/>
          <w:color w:val="000000"/>
          <w:sz w:val="30"/>
          <w:szCs w:val="30"/>
          <w:shd w:val="clear" w:color="auto" w:fill="FFFFFF"/>
        </w:rPr>
        <w:t>责任</w:t>
      </w:r>
      <w:r>
        <w:rPr>
          <w:rFonts w:hint="eastAsia" w:ascii="仿宋" w:hAnsi="仿宋" w:eastAsia="仿宋" w:cs="仿宋"/>
          <w:color w:val="000000"/>
          <w:sz w:val="30"/>
          <w:szCs w:val="30"/>
          <w:shd w:val="clear" w:color="auto" w:fill="FFFFFF"/>
        </w:rPr>
        <w:fldChar w:fldCharType="end"/>
      </w:r>
      <w:r>
        <w:rPr>
          <w:rFonts w:hint="eastAsia" w:ascii="仿宋" w:hAnsi="仿宋" w:eastAsia="仿宋" w:cs="仿宋"/>
          <w:color w:val="000000"/>
          <w:sz w:val="30"/>
          <w:szCs w:val="30"/>
          <w:shd w:val="clear" w:color="auto" w:fill="FFFFFF"/>
        </w:rPr>
        <w:t>，大力支持慈善公益事业发展，积极投身光彩事业。</w:t>
      </w:r>
    </w:p>
    <w:p>
      <w:pPr>
        <w:shd w:val="solid" w:color="FFFFFF" w:fill="auto"/>
        <w:autoSpaceDN w:val="0"/>
        <w:spacing w:line="420" w:lineRule="atLeast"/>
        <w:ind w:firstLine="600" w:firstLineChars="200"/>
        <w:rPr>
          <w:rFonts w:hint="eastAsia" w:ascii="仿宋" w:hAnsi="仿宋" w:eastAsia="仿宋" w:cs="仿宋"/>
          <w:color w:val="000000"/>
          <w:sz w:val="30"/>
          <w:szCs w:val="30"/>
          <w:shd w:val="clear" w:color="auto" w:fill="FFFFFF"/>
        </w:rPr>
      </w:pPr>
      <w:r>
        <w:rPr>
          <w:rFonts w:hint="eastAsia" w:ascii="仿宋" w:hAnsi="仿宋" w:eastAsia="仿宋" w:cs="仿宋"/>
          <w:color w:val="000000"/>
          <w:sz w:val="30"/>
          <w:szCs w:val="30"/>
          <w:shd w:val="clear" w:color="auto" w:fill="FFFFFF"/>
        </w:rPr>
        <w:t>(十)承办区委、区政府和上级工商联交办的其它任务。</w:t>
      </w:r>
    </w:p>
    <w:p>
      <w:pPr>
        <w:shd w:val="solid" w:color="FFFFFF" w:fill="auto"/>
        <w:autoSpaceDN w:val="0"/>
        <w:spacing w:line="420" w:lineRule="atLeast"/>
        <w:ind w:firstLine="600" w:firstLineChars="200"/>
        <w:rPr>
          <w:rFonts w:hint="eastAsia" w:ascii="仿宋" w:hAnsi="仿宋" w:eastAsia="仿宋" w:cs="仿宋"/>
          <w:color w:val="000000"/>
          <w:sz w:val="30"/>
          <w:szCs w:val="30"/>
          <w:shd w:val="clear" w:color="auto" w:fill="FFFFFF"/>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tcPr>
          <w:p>
            <w:pPr>
              <w:pStyle w:val="15"/>
              <w:jc w:val="left"/>
              <w:rPr>
                <w:rFonts w:ascii="宋体"/>
              </w:rPr>
            </w:pPr>
            <w:r>
              <w:rPr>
                <w:rFonts w:hint="eastAsia" w:ascii="宋体" w:hAnsi="宋体"/>
              </w:rPr>
              <w:t>石家庄市藁城区工商业联合会</w:t>
            </w:r>
          </w:p>
        </w:tc>
        <w:tc>
          <w:tcPr>
            <w:tcW w:w="1134" w:type="dxa"/>
          </w:tcPr>
          <w:p>
            <w:pPr>
              <w:pStyle w:val="15"/>
              <w:jc w:val="left"/>
              <w:rPr>
                <w:rFonts w:ascii="宋体"/>
              </w:rPr>
            </w:pPr>
            <w:r>
              <w:rPr>
                <w:rFonts w:hint="eastAsia" w:ascii="宋体" w:hAnsi="宋体"/>
              </w:rPr>
              <w:t>行政</w:t>
            </w:r>
          </w:p>
        </w:tc>
        <w:tc>
          <w:tcPr>
            <w:tcW w:w="1276" w:type="dxa"/>
          </w:tcPr>
          <w:p>
            <w:pPr>
              <w:pStyle w:val="15"/>
              <w:jc w:val="center"/>
              <w:rPr>
                <w:rFonts w:ascii="宋体"/>
              </w:rPr>
            </w:pPr>
            <w:r>
              <w:rPr>
                <w:rFonts w:hint="eastAsia" w:ascii="宋体" w:hAnsi="宋体"/>
              </w:rPr>
              <w:t>正科级</w:t>
            </w:r>
          </w:p>
        </w:tc>
        <w:tc>
          <w:tcPr>
            <w:tcW w:w="2902" w:type="dxa"/>
          </w:tcPr>
          <w:p>
            <w:pPr>
              <w:pStyle w:val="15"/>
              <w:jc w:val="left"/>
              <w:rPr>
                <w:rFonts w:ascii="宋体"/>
              </w:rPr>
            </w:pPr>
            <w:r>
              <w:rPr>
                <w:rFonts w:hint="eastAsia" w:ascii="宋体" w:hAnsi="宋体"/>
              </w:rPr>
              <w:t>财政拨款</w:t>
            </w:r>
          </w:p>
        </w:tc>
      </w:tr>
    </w:tbl>
    <w:p>
      <w:pPr>
        <w:shd w:val="solid" w:color="FFFFFF" w:fill="auto"/>
        <w:autoSpaceDN w:val="0"/>
        <w:spacing w:line="420" w:lineRule="atLeast"/>
        <w:rPr>
          <w:rFonts w:eastAsia="仿宋"/>
        </w:rPr>
        <w:sectPr>
          <w:pgSz w:w="11907" w:h="16839"/>
          <w:pgMar w:top="1361" w:right="1020" w:bottom="1361" w:left="1020" w:header="851" w:footer="992" w:gutter="0"/>
          <w:cols w:space="720" w:num="1"/>
          <w:docGrid w:type="lines" w:linePitch="312" w:charSpace="0"/>
        </w:sectPr>
      </w:pPr>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720"/>
        <w:jc w:val="left"/>
        <w:outlineLvl w:val="0"/>
        <w:rPr>
          <w:rFonts w:ascii="仿宋" w:hAnsi="仿宋" w:eastAsia="仿宋"/>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年预算收入41.75万元，其中：一般公共预算收入41.75万元，政府性基金收入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r>
        <w:rPr>
          <w:rFonts w:hint="eastAsia" w:ascii="仿宋" w:hAnsi="仿宋" w:eastAsia="仿宋"/>
          <w:sz w:val="32"/>
          <w:szCs w:val="32"/>
        </w:rPr>
        <w:t>财政专户核拨收入0万元，其他来源收入0万元。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收支预算总表支出栏、基本支出表、项目支出表按经济分类和支出功能分类科目编制，反映石家庄市藁城区工商联部门预算中支出预算的总体情况。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年部门支出预算为41.75万元，其中基本支出41.75万元，包括人员经费32.64万元和日常公用经费3.85万元；项目支出5.26万元，主要为执委活动经费。</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年部门预算收支安排41.75万元，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2019</w:t>
      </w:r>
      <w:r>
        <w:rPr>
          <w:rFonts w:hint="eastAsia" w:ascii="Times New Roman" w:hAnsi="Times New Roman" w:eastAsia="仿宋" w:cs="Times New Roman"/>
          <w:sz w:val="32"/>
          <w:szCs w:val="32"/>
        </w:rPr>
        <w:t>年减少37.72万元，</w:t>
      </w:r>
      <w:r>
        <w:rPr>
          <w:rFonts w:hint="eastAsia" w:ascii="Times New Roman" w:hAnsi="Times New Roman" w:eastAsia="仿宋" w:cs="Times New Roman"/>
          <w:sz w:val="32"/>
          <w:szCs w:val="32"/>
          <w:lang w:eastAsia="zh-CN"/>
        </w:rPr>
        <w:t>主要原因是单位退休一人、调出一人，减少了人员经费</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 w:hAnsi="仿宋" w:eastAsia="仿宋" w:cs="Times New Roman"/>
          <w:sz w:val="32"/>
          <w:szCs w:val="32"/>
        </w:rPr>
      </w:pPr>
      <w:r>
        <w:rPr>
          <w:rFonts w:ascii="仿宋" w:hAnsi="仿宋" w:eastAsia="仿宋" w:cs="Times New Roman"/>
          <w:sz w:val="32"/>
          <w:szCs w:val="32"/>
        </w:rPr>
        <w:t>2020</w:t>
      </w:r>
      <w:r>
        <w:rPr>
          <w:rFonts w:hint="eastAsia" w:ascii="仿宋" w:hAnsi="仿宋" w:eastAsia="仿宋" w:cs="Times New Roman"/>
          <w:sz w:val="32"/>
          <w:szCs w:val="32"/>
        </w:rPr>
        <w:t>年，我部门机关运行经费共计安排3.85万元，主要用于</w:t>
      </w:r>
      <w:r>
        <w:rPr>
          <w:rFonts w:hint="eastAsia" w:ascii="仿宋" w:hAnsi="仿宋" w:eastAsia="仿宋" w:cs="Times New Roman"/>
          <w:sz w:val="32"/>
          <w:szCs w:val="32"/>
          <w:lang w:eastAsia="zh-CN"/>
        </w:rPr>
        <w:t>办公费、邮电费、工会费、党组织活动经费等支出</w:t>
      </w:r>
      <w:r>
        <w:rPr>
          <w:rFonts w:hint="eastAsia"/>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836" w:leftChars="398"/>
        <w:jc w:val="left"/>
        <w:rPr>
          <w:rFonts w:hint="eastAsia" w:ascii="仿宋" w:hAnsi="仿宋" w:eastAsia="仿宋" w:cs="Times New Roman"/>
          <w:sz w:val="32"/>
          <w:szCs w:val="32"/>
        </w:rPr>
      </w:pPr>
      <w:r>
        <w:rPr>
          <w:rFonts w:ascii="仿宋" w:hAnsi="仿宋" w:eastAsia="仿宋" w:cs="Times New Roman"/>
          <w:sz w:val="32"/>
          <w:szCs w:val="32"/>
        </w:rPr>
        <w:t>2020</w:t>
      </w:r>
      <w:r>
        <w:rPr>
          <w:rFonts w:hint="eastAsia" w:ascii="仿宋" w:hAnsi="仿宋" w:eastAsia="仿宋" w:cs="Times New Roman"/>
          <w:sz w:val="32"/>
          <w:szCs w:val="32"/>
        </w:rPr>
        <w:t>年，我部门财政拨款“三公”经费预算安排</w:t>
      </w:r>
      <w:r>
        <w:rPr>
          <w:rFonts w:ascii="仿宋" w:hAnsi="仿宋" w:eastAsia="仿宋" w:cs="Times New Roman"/>
          <w:sz w:val="32"/>
          <w:szCs w:val="32"/>
        </w:rPr>
        <w:t>0</w:t>
      </w:r>
      <w:r>
        <w:rPr>
          <w:rFonts w:hint="eastAsia" w:ascii="仿宋" w:hAnsi="仿宋" w:eastAsia="仿宋" w:cs="Times New Roman"/>
          <w:sz w:val="32"/>
          <w:szCs w:val="32"/>
        </w:rPr>
        <w:t>万元，与上年持平，无增减变化，其中：</w:t>
      </w:r>
    </w:p>
    <w:p>
      <w:pPr>
        <w:autoSpaceDE w:val="0"/>
        <w:autoSpaceDN w:val="0"/>
        <w:adjustRightInd w:val="0"/>
        <w:ind w:left="836" w:leftChars="398"/>
        <w:jc w:val="left"/>
        <w:rPr>
          <w:rFonts w:hint="eastAsia" w:ascii="仿宋" w:hAnsi="仿宋" w:eastAsia="仿宋" w:cs="Times New Roman"/>
          <w:sz w:val="32"/>
          <w:szCs w:val="32"/>
        </w:rPr>
      </w:pPr>
      <w:r>
        <w:rPr>
          <w:rFonts w:hint="eastAsia" w:ascii="仿宋" w:hAnsi="仿宋" w:eastAsia="仿宋" w:cs="Times New Roman"/>
          <w:sz w:val="32"/>
          <w:szCs w:val="32"/>
        </w:rPr>
        <w:t>因公出国（境）费</w:t>
      </w:r>
      <w:r>
        <w:rPr>
          <w:rFonts w:ascii="仿宋" w:hAnsi="仿宋" w:eastAsia="仿宋" w:cs="Times New Roman"/>
          <w:sz w:val="32"/>
          <w:szCs w:val="32"/>
        </w:rPr>
        <w:t>0</w:t>
      </w:r>
      <w:r>
        <w:rPr>
          <w:rFonts w:hint="eastAsia" w:ascii="仿宋" w:hAnsi="仿宋" w:eastAsia="仿宋" w:cs="Times New Roman"/>
          <w:sz w:val="32"/>
          <w:szCs w:val="32"/>
        </w:rPr>
        <w:t>万元，与上年持平，无增减变化；</w:t>
      </w:r>
    </w:p>
    <w:p>
      <w:pPr>
        <w:autoSpaceDE w:val="0"/>
        <w:autoSpaceDN w:val="0"/>
        <w:adjustRightInd w:val="0"/>
        <w:ind w:left="198" w:firstLine="640" w:firstLineChars="200"/>
        <w:jc w:val="left"/>
        <w:rPr>
          <w:rFonts w:hint="eastAsia" w:ascii="仿宋" w:hAnsi="仿宋" w:eastAsia="仿宋" w:cs="Times New Roman"/>
          <w:sz w:val="32"/>
          <w:szCs w:val="32"/>
        </w:rPr>
      </w:pPr>
      <w:r>
        <w:rPr>
          <w:rFonts w:hint="eastAsia" w:ascii="仿宋" w:hAnsi="仿宋" w:eastAsia="仿宋" w:cs="Times New Roman"/>
          <w:sz w:val="32"/>
          <w:szCs w:val="32"/>
        </w:rPr>
        <w:t>公务用车购置及运维费</w:t>
      </w:r>
      <w:r>
        <w:rPr>
          <w:rFonts w:ascii="仿宋" w:hAnsi="仿宋" w:eastAsia="仿宋" w:cs="Times New Roman"/>
          <w:sz w:val="32"/>
          <w:szCs w:val="32"/>
        </w:rPr>
        <w:t>0</w:t>
      </w:r>
      <w:r>
        <w:rPr>
          <w:rFonts w:hint="eastAsia" w:ascii="仿宋" w:hAnsi="仿宋" w:eastAsia="仿宋" w:cs="Times New Roman"/>
          <w:sz w:val="32"/>
          <w:szCs w:val="32"/>
        </w:rPr>
        <w:t>万元，与上年持平，无增减变化；</w:t>
      </w:r>
    </w:p>
    <w:p>
      <w:pPr>
        <w:autoSpaceDE w:val="0"/>
        <w:autoSpaceDN w:val="0"/>
        <w:adjustRightInd w:val="0"/>
        <w:ind w:left="198" w:firstLine="640" w:firstLineChars="200"/>
        <w:jc w:val="left"/>
        <w:rPr>
          <w:rFonts w:hint="eastAsia" w:ascii="仿宋" w:hAnsi="仿宋" w:eastAsia="仿宋" w:cs="Times New Roman"/>
          <w:sz w:val="32"/>
          <w:szCs w:val="32"/>
        </w:rPr>
      </w:pPr>
      <w:r>
        <w:rPr>
          <w:rFonts w:hint="eastAsia" w:ascii="仿宋" w:hAnsi="仿宋" w:eastAsia="仿宋" w:cs="Times New Roman"/>
          <w:sz w:val="32"/>
          <w:szCs w:val="32"/>
        </w:rPr>
        <w:t>公务接待费</w:t>
      </w:r>
      <w:r>
        <w:rPr>
          <w:rFonts w:ascii="仿宋" w:hAnsi="仿宋" w:eastAsia="仿宋" w:cs="Times New Roman"/>
          <w:sz w:val="32"/>
          <w:szCs w:val="32"/>
        </w:rPr>
        <w:t>0</w:t>
      </w:r>
      <w:r>
        <w:rPr>
          <w:rFonts w:hint="eastAsia" w:ascii="仿宋" w:hAnsi="仿宋" w:eastAsia="仿宋" w:cs="Times New Roman"/>
          <w:sz w:val="32"/>
          <w:szCs w:val="32"/>
        </w:rPr>
        <w:t>万元，与上年持平，无增减变化。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方正仿宋_GBK" w:cs="Times New Roman"/>
          <w:sz w:val="32"/>
          <w:szCs w:val="32"/>
        </w:rPr>
      </w:pPr>
      <w:bookmarkStart w:id="1" w:name="_Toc471398463"/>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（一）总体绩效目标</w:t>
      </w:r>
      <w:r>
        <w:rPr>
          <w:rFonts w:ascii="黑体" w:hAnsi="黑体" w:eastAsia="黑体" w:cs="Times New Roman"/>
          <w:sz w:val="32"/>
          <w:szCs w:val="32"/>
        </w:rPr>
        <w:fldChar w:fldCharType="begin"/>
      </w:r>
      <w:r>
        <w:rPr>
          <w:rFonts w:ascii="黑体" w:hAnsi="黑体" w:eastAsia="黑体" w:cs="Times New Roman"/>
          <w:sz w:val="32"/>
          <w:szCs w:val="32"/>
        </w:rPr>
        <w:instrText xml:space="preserve">tc "</w:instrText>
      </w:r>
      <w:bookmarkStart w:id="2" w:name="_Toc29484628"/>
      <w:r>
        <w:rPr>
          <w:rFonts w:hint="eastAsia" w:ascii="黑体" w:hAnsi="黑体" w:eastAsia="黑体" w:cs="Times New Roman"/>
          <w:sz w:val="32"/>
          <w:szCs w:val="32"/>
        </w:rPr>
        <w:instrText xml:space="preserve">总体绩效目标</w:instrText>
      </w:r>
      <w:bookmarkEnd w:id="2"/>
      <w:r>
        <w:rPr>
          <w:rFonts w:ascii="黑体" w:hAnsi="黑体" w:eastAsia="黑体" w:cs="Times New Roman"/>
          <w:sz w:val="32"/>
          <w:szCs w:val="32"/>
        </w:rPr>
        <w:instrText xml:space="preserve">" \f A \l 001</w:instrText>
      </w:r>
      <w:r>
        <w:rPr>
          <w:rFonts w:ascii="黑体" w:hAnsi="黑体" w:eastAsia="黑体" w:cs="Times New Roman"/>
          <w:sz w:val="32"/>
          <w:szCs w:val="32"/>
        </w:rPr>
        <w:fldChar w:fldCharType="end"/>
      </w:r>
    </w:p>
    <w:p>
      <w:pPr>
        <w:pStyle w:val="15"/>
        <w:spacing w:line="500" w:lineRule="atLeast"/>
        <w:ind w:firstLine="560"/>
        <w:jc w:val="left"/>
        <w:rPr>
          <w:rFonts w:ascii="仿宋" w:hAnsi="仿宋" w:eastAsia="仿宋"/>
          <w:color w:val="000000"/>
          <w:sz w:val="32"/>
          <w:szCs w:val="32"/>
        </w:rPr>
      </w:pPr>
      <w:r>
        <w:rPr>
          <w:rFonts w:hint="eastAsia" w:ascii="仿宋" w:hAnsi="仿宋" w:eastAsia="仿宋"/>
          <w:color w:val="000000"/>
          <w:sz w:val="32"/>
          <w:szCs w:val="32"/>
        </w:rPr>
        <w:t>坚持以习近平新时代中国特色社会主义思想、区委、区政府的中心工作为指导，紧紧围绕区工商联的中心工作，立足服务民营企业，服务地方经济发展大局，积极发挥桥梁纽带和助手作用，优化服务机制，不断拓展工商联工作领域，积极拼搏的精神状态、昂扬向上的工作作风、奋发有为的工作举措，在促进我区非公有经济健康发展、非公经济人士健康成长等方面开展一系列服务活动，使工商联的凝聚力、号召力，社会影响力显著提高，实现为我区的改革开放、经济建设和社会发展服务的目标。</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（二）分项绩效目标</w:t>
      </w:r>
      <w:r>
        <w:rPr>
          <w:rFonts w:ascii="黑体" w:hAnsi="黑体" w:eastAsia="黑体" w:cs="Times New Roman"/>
          <w:sz w:val="32"/>
          <w:szCs w:val="32"/>
        </w:rPr>
        <w:fldChar w:fldCharType="begin"/>
      </w:r>
      <w:r>
        <w:rPr>
          <w:rFonts w:ascii="黑体" w:hAnsi="黑体" w:eastAsia="黑体" w:cs="Times New Roman"/>
          <w:sz w:val="32"/>
          <w:szCs w:val="32"/>
        </w:rPr>
        <w:instrText xml:space="preserve">tc "</w:instrText>
      </w:r>
      <w:bookmarkStart w:id="3" w:name="_Toc29484629"/>
      <w:r>
        <w:rPr>
          <w:rFonts w:hint="eastAsia" w:ascii="黑体" w:hAnsi="黑体" w:eastAsia="黑体" w:cs="Times New Roman"/>
          <w:sz w:val="32"/>
          <w:szCs w:val="32"/>
        </w:rPr>
        <w:instrText xml:space="preserve">分项绩效目标</w:instrText>
      </w:r>
      <w:bookmarkEnd w:id="3"/>
      <w:r>
        <w:rPr>
          <w:rFonts w:ascii="黑体" w:hAnsi="黑体" w:eastAsia="黑体" w:cs="Times New Roman"/>
          <w:sz w:val="32"/>
          <w:szCs w:val="32"/>
        </w:rPr>
        <w:instrText xml:space="preserve">" \f A \l 001</w:instrText>
      </w:r>
      <w:r>
        <w:rPr>
          <w:rFonts w:ascii="黑体" w:hAnsi="黑体" w:eastAsia="黑体" w:cs="Times New Roman"/>
          <w:sz w:val="32"/>
          <w:szCs w:val="32"/>
        </w:rPr>
        <w:fldChar w:fldCharType="end"/>
      </w:r>
    </w:p>
    <w:p>
      <w:pPr>
        <w:pStyle w:val="15"/>
        <w:spacing w:line="500" w:lineRule="atLeast"/>
        <w:ind w:firstLine="560"/>
        <w:jc w:val="left"/>
        <w:rPr>
          <w:rFonts w:ascii="楷体" w:hAnsi="楷体" w:eastAsia="楷体"/>
          <w:sz w:val="32"/>
          <w:szCs w:val="32"/>
        </w:rPr>
      </w:pPr>
      <w:r>
        <w:rPr>
          <w:rFonts w:hint="eastAsia" w:ascii="楷体" w:hAnsi="楷体" w:eastAsia="楷体"/>
          <w:sz w:val="32"/>
          <w:szCs w:val="32"/>
        </w:rPr>
        <w:t>（一）为民营企业提供各种培训和服务。</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 xml:space="preserve"> 绩效目标：举办研修班和各种类型的培训活动，采取多种途径引导企业家认真学习政治、经济，加大培训力度，开展各类服务活动。</w:t>
      </w:r>
    </w:p>
    <w:p>
      <w:pPr>
        <w:pStyle w:val="15"/>
        <w:spacing w:line="500" w:lineRule="atLeast"/>
        <w:ind w:firstLine="640" w:firstLineChars="200"/>
        <w:jc w:val="left"/>
        <w:rPr>
          <w:rFonts w:ascii="仿宋" w:hAnsi="仿宋" w:eastAsia="仿宋"/>
          <w:sz w:val="32"/>
          <w:szCs w:val="32"/>
        </w:rPr>
      </w:pPr>
      <w:r>
        <w:rPr>
          <w:rFonts w:hint="eastAsia" w:ascii="仿宋" w:hAnsi="仿宋" w:eastAsia="仿宋"/>
          <w:sz w:val="32"/>
          <w:szCs w:val="32"/>
        </w:rPr>
        <w:t>绩效指标：组织各类培训2次，各类服务3次。</w:t>
      </w:r>
    </w:p>
    <w:p>
      <w:pPr>
        <w:pStyle w:val="15"/>
        <w:spacing w:line="500" w:lineRule="atLeast"/>
        <w:ind w:firstLine="560"/>
        <w:jc w:val="left"/>
        <w:rPr>
          <w:rFonts w:ascii="楷体" w:hAnsi="楷体" w:eastAsia="楷体"/>
          <w:sz w:val="32"/>
          <w:szCs w:val="32"/>
        </w:rPr>
      </w:pPr>
      <w:r>
        <w:rPr>
          <w:rFonts w:hint="eastAsia" w:ascii="楷体" w:hAnsi="楷体" w:eastAsia="楷体"/>
          <w:sz w:val="32"/>
          <w:szCs w:val="32"/>
        </w:rPr>
        <w:t>（二）引领民营企业参政议政，深入企业调研。</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绩效目标：开展民企大走访活动，通过对民企集中走访</w:t>
      </w:r>
      <w:r>
        <w:rPr>
          <w:rFonts w:hint="eastAsia" w:ascii="仿宋" w:hAnsi="仿宋" w:eastAsia="仿宋"/>
          <w:sz w:val="32"/>
          <w:szCs w:val="32"/>
          <w:lang w:eastAsia="zh-CN"/>
        </w:rPr>
        <w:t>座谈</w:t>
      </w:r>
      <w:r>
        <w:rPr>
          <w:rFonts w:hint="eastAsia" w:ascii="仿宋" w:hAnsi="仿宋" w:eastAsia="仿宋"/>
          <w:sz w:val="32"/>
          <w:szCs w:val="32"/>
        </w:rPr>
        <w:t>调研，切实为企业解决生产、经营中遇到的各类问题。</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绩效指标：深入企业调研每月不少于3次，写出高质量的调研报告1篇，切实为企业解决问题5件。</w:t>
      </w:r>
    </w:p>
    <w:p>
      <w:pPr>
        <w:pStyle w:val="15"/>
        <w:spacing w:line="500" w:lineRule="atLeast"/>
        <w:ind w:firstLine="560"/>
        <w:jc w:val="left"/>
        <w:rPr>
          <w:rFonts w:ascii="楷体" w:hAnsi="楷体" w:eastAsia="楷体"/>
          <w:sz w:val="32"/>
          <w:szCs w:val="32"/>
        </w:rPr>
      </w:pPr>
      <w:r>
        <w:rPr>
          <w:rFonts w:hint="eastAsia" w:ascii="楷体" w:hAnsi="楷体" w:eastAsia="楷体"/>
          <w:sz w:val="32"/>
          <w:szCs w:val="32"/>
        </w:rPr>
        <w:t>（三）做好非公有制经济人士理想信念教育工作。</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绩效目标：深化非公有制经济人士理想信念实践教育，加大对非公经济人士特别是新生代非公经济人士的理想信念实践教育，提高思想政治觉悟。</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绩效指标：组织执委参加不少于1次的理想信念爱国主义活动，进一步坚定非公经济人士信念。</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（三）工作保障措施</w:t>
      </w:r>
      <w:r>
        <w:rPr>
          <w:rFonts w:ascii="黑体" w:hAnsi="黑体" w:eastAsia="黑体" w:cs="Times New Roman"/>
          <w:sz w:val="32"/>
          <w:szCs w:val="32"/>
        </w:rPr>
        <w:fldChar w:fldCharType="begin"/>
      </w:r>
      <w:r>
        <w:rPr>
          <w:rFonts w:ascii="黑体" w:hAnsi="黑体" w:eastAsia="黑体" w:cs="Times New Roman"/>
          <w:sz w:val="32"/>
          <w:szCs w:val="32"/>
        </w:rPr>
        <w:instrText xml:space="preserve">tc "</w:instrText>
      </w:r>
      <w:bookmarkStart w:id="4" w:name="_Toc29484630"/>
      <w:r>
        <w:rPr>
          <w:rFonts w:hint="eastAsia" w:ascii="黑体" w:hAnsi="黑体" w:eastAsia="黑体" w:cs="Times New Roman"/>
          <w:sz w:val="32"/>
          <w:szCs w:val="32"/>
        </w:rPr>
        <w:instrText xml:space="preserve">工作保障措施</w:instrText>
      </w:r>
      <w:bookmarkEnd w:id="4"/>
      <w:r>
        <w:rPr>
          <w:rFonts w:ascii="黑体" w:hAnsi="黑体" w:eastAsia="黑体" w:cs="Times New Roman"/>
          <w:sz w:val="32"/>
          <w:szCs w:val="32"/>
        </w:rPr>
        <w:instrText xml:space="preserve">" \f A \l 001</w:instrText>
      </w:r>
      <w:r>
        <w:rPr>
          <w:rFonts w:ascii="黑体" w:hAnsi="黑体" w:eastAsia="黑体" w:cs="Times New Roman"/>
          <w:sz w:val="32"/>
          <w:szCs w:val="32"/>
        </w:rPr>
        <w:fldChar w:fldCharType="end"/>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（二）加强支出管理。以项目预算绩效为依据，优化支出结构，预算编制做细做实，支出执行有章可循。资金支出安排科学合理，为项目组织实施保驾护航。</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（三）加强绩效运行监控。按要求开展绩效运行监控，发现问题及时采取措施，确保绩效目标如期保质实现。</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（四）做好绩效自评。按要求开展上年度部门预算绩效自评和重点评价工作，对评价中发现的问题及时整改，调整优化项目支出结构，提高财政资金使用效益。</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（五）规范财务资产管理。完善财务管理制度，严格审批程序，加强固定资产登记、使用和报废处置管理，做到支出合理，物尽其用。</w:t>
      </w:r>
    </w:p>
    <w:p>
      <w:pPr>
        <w:pStyle w:val="15"/>
        <w:spacing w:line="500" w:lineRule="atLeast"/>
        <w:ind w:firstLine="560"/>
        <w:jc w:val="left"/>
        <w:rPr>
          <w:rFonts w:ascii="仿宋" w:hAnsi="仿宋" w:eastAsia="仿宋"/>
          <w:sz w:val="32"/>
          <w:szCs w:val="32"/>
        </w:rPr>
      </w:pPr>
      <w:r>
        <w:rPr>
          <w:rFonts w:hint="eastAsia" w:ascii="仿宋" w:hAnsi="仿宋" w:eastAsia="仿宋"/>
          <w:sz w:val="32"/>
          <w:szCs w:val="32"/>
        </w:rP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15"/>
        <w:spacing w:line="500" w:lineRule="atLeast"/>
        <w:ind w:firstLine="560"/>
        <w:jc w:val="left"/>
        <w:rPr>
          <w:rFonts w:hint="eastAsia" w:ascii="仿宋" w:hAnsi="仿宋" w:eastAsia="仿宋"/>
          <w:sz w:val="32"/>
          <w:szCs w:val="32"/>
        </w:rPr>
      </w:pPr>
      <w:r>
        <w:rPr>
          <w:rFonts w:hint="eastAsia" w:ascii="仿宋" w:hAnsi="仿宋" w:eastAsia="仿宋"/>
          <w:sz w:val="32"/>
          <w:szCs w:val="32"/>
        </w:rP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hint="eastAsia" w:ascii="仿宋" w:hAnsi="仿宋" w:eastAsia="仿宋"/>
          <w:sz w:val="32"/>
          <w:szCs w:val="32"/>
        </w:rPr>
      </w:pPr>
    </w:p>
    <w:p>
      <w:pPr>
        <w:pStyle w:val="15"/>
        <w:spacing w:line="500" w:lineRule="atLeast"/>
        <w:ind w:firstLine="560"/>
        <w:jc w:val="left"/>
        <w:rPr>
          <w:rFonts w:ascii="仿宋" w:hAnsi="仿宋" w:eastAsia="仿宋"/>
          <w:sz w:val="32"/>
          <w:szCs w:val="32"/>
        </w:rPr>
      </w:pP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pPr>
        <w:widowControl/>
        <w:ind w:firstLine="560"/>
        <w:jc w:val="left"/>
        <w:rPr>
          <w:rFonts w:ascii="方正仿宋_GBK" w:hAnsi="Times New Roman" w:eastAsia="方正仿宋_GBK" w:cs="Times New Roman"/>
          <w:b/>
          <w:bCs/>
          <w:kern w:val="0"/>
          <w:sz w:val="28"/>
          <w:szCs w:val="28"/>
        </w:rPr>
      </w:pPr>
      <w:r>
        <w:rPr>
          <w:rFonts w:ascii="方正仿宋_GBK" w:hAnsi="Times New Roman" w:eastAsia="方正仿宋_GBK" w:cs="Times New Roman"/>
          <w:b/>
          <w:bCs/>
          <w:kern w:val="0"/>
          <w:sz w:val="28"/>
          <w:szCs w:val="28"/>
        </w:rPr>
        <w:t>1</w:t>
      </w:r>
      <w:r>
        <w:rPr>
          <w:rFonts w:hint="eastAsia" w:ascii="方正仿宋_GBK" w:hAnsi="Times New Roman" w:eastAsia="方正仿宋_GBK" w:cs="Times New Roman"/>
          <w:b/>
          <w:bCs/>
          <w:kern w:val="0"/>
          <w:sz w:val="28"/>
          <w:szCs w:val="28"/>
        </w:rPr>
        <w:t>、</w:t>
      </w:r>
      <w:bookmarkStart w:id="5" w:name="_Toc32844482"/>
      <w:bookmarkEnd w:id="5"/>
      <w:r>
        <w:rPr>
          <w:rFonts w:hint="eastAsia" w:ascii="方正仿宋_GBK" w:hAnsi="Times New Roman" w:eastAsia="方正仿宋_GBK" w:cs="Times New Roman"/>
          <w:b/>
          <w:bCs/>
          <w:kern w:val="0"/>
          <w:sz w:val="28"/>
          <w:szCs w:val="28"/>
        </w:rPr>
        <w:t>执委活动经费绩效目标表</w:t>
      </w:r>
    </w:p>
    <w:tbl>
      <w:tblPr>
        <w:tblStyle w:val="7"/>
        <w:tblW w:w="0" w:type="auto"/>
        <w:jc w:val="center"/>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vAlign w:val="center"/>
          </w:tcPr>
          <w:p>
            <w:pPr>
              <w:widowControl/>
              <w:spacing w:line="300" w:lineRule="atLeast"/>
              <w:jc w:val="left"/>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714002石家庄市藁城区工商业联合会</w:t>
            </w:r>
          </w:p>
        </w:tc>
        <w:tc>
          <w:tcPr>
            <w:tcW w:w="1701" w:type="dxa"/>
            <w:tcBorders>
              <w:top w:val="single" w:color="FFFFFF" w:sz="6" w:space="0"/>
              <w:left w:val="nil"/>
              <w:bottom w:val="single" w:color="000000" w:sz="6" w:space="0"/>
              <w:right w:val="single" w:color="FFFFFF" w:sz="6" w:space="0"/>
            </w:tcBorders>
            <w:vAlign w:val="center"/>
          </w:tcPr>
          <w:p>
            <w:pPr>
              <w:widowControl/>
              <w:spacing w:line="300" w:lineRule="atLeast"/>
              <w:jc w:val="righ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单位：万元</w:t>
            </w:r>
          </w:p>
        </w:tc>
      </w:tr>
      <w:tr>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项目编码</w:t>
            </w:r>
          </w:p>
        </w:tc>
        <w:tc>
          <w:tcPr>
            <w:tcW w:w="2410" w:type="dxa"/>
            <w:gridSpan w:val="2"/>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714-0302-JQN-TG16</w:t>
            </w:r>
          </w:p>
        </w:tc>
        <w:tc>
          <w:tcPr>
            <w:tcW w:w="1587"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项目名称</w:t>
            </w:r>
          </w:p>
        </w:tc>
        <w:tc>
          <w:tcPr>
            <w:tcW w:w="4281" w:type="dxa"/>
            <w:gridSpan w:val="3"/>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执委活动经费</w:t>
            </w:r>
          </w:p>
        </w:tc>
      </w:tr>
      <w:tr>
        <w:tblPrEx>
          <w:tblCellMar>
            <w:top w:w="0" w:type="dxa"/>
            <w:left w:w="108" w:type="dxa"/>
            <w:bottom w:w="0" w:type="dxa"/>
            <w:right w:w="108" w:type="dxa"/>
          </w:tblCellMar>
        </w:tblPrEx>
        <w:trPr>
          <w:trHeight w:val="369" w:hRule="atLeast"/>
          <w:jc w:val="center"/>
        </w:trPr>
        <w:tc>
          <w:tcPr>
            <w:tcW w:w="1134" w:type="dxa"/>
            <w:vMerge w:val="restart"/>
            <w:tcBorders>
              <w:top w:val="nil"/>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预算规模及资金用途</w:t>
            </w:r>
          </w:p>
        </w:tc>
        <w:tc>
          <w:tcPr>
            <w:tcW w:w="1134"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预算数</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5.26</w:t>
            </w:r>
          </w:p>
        </w:tc>
        <w:tc>
          <w:tcPr>
            <w:tcW w:w="1587"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其中：财政资金</w:t>
            </w:r>
          </w:p>
        </w:tc>
        <w:tc>
          <w:tcPr>
            <w:tcW w:w="1304"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5.26</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其他资金</w:t>
            </w:r>
          </w:p>
        </w:tc>
        <w:tc>
          <w:tcPr>
            <w:tcW w:w="170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p>
        </w:tc>
      </w:tr>
      <w:tr>
        <w:tblPrEx>
          <w:tblCellMar>
            <w:top w:w="0" w:type="dxa"/>
            <w:left w:w="108" w:type="dxa"/>
            <w:bottom w:w="0" w:type="dxa"/>
            <w:right w:w="108" w:type="dxa"/>
          </w:tblCellMar>
        </w:tblPrEx>
        <w:trPr>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Times New Roman" w:eastAsia="方正书宋_GBK" w:cs="Times New Roman"/>
                <w:b/>
                <w:bCs/>
                <w:kern w:val="0"/>
                <w:szCs w:val="21"/>
              </w:rPr>
            </w:pPr>
          </w:p>
        </w:tc>
        <w:tc>
          <w:tcPr>
            <w:tcW w:w="8278" w:type="dxa"/>
            <w:gridSpan w:val="6"/>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召开执常委会，考察调研，思想教育培训等</w:t>
            </w:r>
          </w:p>
        </w:tc>
      </w:tr>
      <w:tr>
        <w:tblPrEx>
          <w:tblCellMar>
            <w:top w:w="0" w:type="dxa"/>
            <w:left w:w="108" w:type="dxa"/>
            <w:bottom w:w="0" w:type="dxa"/>
            <w:right w:w="108" w:type="dxa"/>
          </w:tblCellMar>
        </w:tblPrEx>
        <w:trPr>
          <w:trHeight w:val="369" w:hRule="atLeast"/>
          <w:jc w:val="center"/>
        </w:trPr>
        <w:tc>
          <w:tcPr>
            <w:tcW w:w="1134" w:type="dxa"/>
            <w:vMerge w:val="restart"/>
            <w:tcBorders>
              <w:top w:val="nil"/>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资金支出计划（</w:t>
            </w:r>
            <w:r>
              <w:rPr>
                <w:rFonts w:ascii="方正书宋_GBK" w:hAnsi="Times New Roman" w:eastAsia="方正书宋_GBK" w:cs="Times New Roman"/>
                <w:b/>
                <w:bCs/>
                <w:kern w:val="0"/>
                <w:szCs w:val="21"/>
              </w:rPr>
              <w:t>%</w:t>
            </w:r>
            <w:r>
              <w:rPr>
                <w:rFonts w:hint="eastAsia" w:ascii="方正书宋_GBK" w:hAnsi="Times New Roman" w:eastAsia="方正书宋_GBK" w:cs="Times New Roman"/>
                <w:b/>
                <w:bCs/>
                <w:kern w:val="0"/>
                <w:szCs w:val="21"/>
              </w:rPr>
              <w:t>）</w:t>
            </w:r>
          </w:p>
        </w:tc>
        <w:tc>
          <w:tcPr>
            <w:tcW w:w="2410" w:type="dxa"/>
            <w:gridSpan w:val="2"/>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ascii="方正书宋_GBK" w:hAnsi="Times New Roman" w:eastAsia="方正书宋_GBK" w:cs="Times New Roman"/>
                <w:b/>
                <w:bCs/>
                <w:kern w:val="0"/>
                <w:szCs w:val="21"/>
              </w:rPr>
              <w:t>3</w:t>
            </w:r>
            <w:r>
              <w:rPr>
                <w:rFonts w:hint="eastAsia" w:ascii="方正书宋_GBK" w:hAnsi="Times New Roman" w:eastAsia="方正书宋_GBK" w:cs="Times New Roman"/>
                <w:b/>
                <w:bCs/>
                <w:kern w:val="0"/>
                <w:szCs w:val="21"/>
              </w:rPr>
              <w:t>月底</w:t>
            </w:r>
          </w:p>
        </w:tc>
        <w:tc>
          <w:tcPr>
            <w:tcW w:w="1587"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ascii="方正书宋_GBK" w:hAnsi="Times New Roman" w:eastAsia="方正书宋_GBK" w:cs="Times New Roman"/>
                <w:b/>
                <w:bCs/>
                <w:kern w:val="0"/>
                <w:szCs w:val="21"/>
              </w:rPr>
              <w:t>6</w:t>
            </w:r>
            <w:r>
              <w:rPr>
                <w:rFonts w:hint="eastAsia" w:ascii="方正书宋_GBK" w:hAnsi="Times New Roman" w:eastAsia="方正书宋_GBK" w:cs="Times New Roman"/>
                <w:b/>
                <w:bCs/>
                <w:kern w:val="0"/>
                <w:szCs w:val="21"/>
              </w:rPr>
              <w:t>月底</w:t>
            </w:r>
          </w:p>
        </w:tc>
        <w:tc>
          <w:tcPr>
            <w:tcW w:w="1304"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ascii="方正书宋_GBK" w:hAnsi="Times New Roman" w:eastAsia="方正书宋_GBK" w:cs="Times New Roman"/>
                <w:b/>
                <w:bCs/>
                <w:kern w:val="0"/>
                <w:szCs w:val="21"/>
              </w:rPr>
              <w:t>10</w:t>
            </w:r>
            <w:r>
              <w:rPr>
                <w:rFonts w:hint="eastAsia" w:ascii="方正书宋_GBK" w:hAnsi="Times New Roman" w:eastAsia="方正书宋_GBK" w:cs="Times New Roman"/>
                <w:b/>
                <w:bCs/>
                <w:kern w:val="0"/>
                <w:szCs w:val="21"/>
              </w:rPr>
              <w:t>月底</w:t>
            </w:r>
          </w:p>
        </w:tc>
        <w:tc>
          <w:tcPr>
            <w:tcW w:w="2977" w:type="dxa"/>
            <w:gridSpan w:val="2"/>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ascii="方正书宋_GBK" w:hAnsi="Times New Roman" w:eastAsia="方正书宋_GBK" w:cs="Times New Roman"/>
                <w:b/>
                <w:bCs/>
                <w:kern w:val="0"/>
                <w:szCs w:val="21"/>
              </w:rPr>
              <w:t>12</w:t>
            </w:r>
            <w:r>
              <w:rPr>
                <w:rFonts w:hint="eastAsia" w:ascii="方正书宋_GBK" w:hAnsi="Times New Roman" w:eastAsia="方正书宋_GBK" w:cs="Times New Roman"/>
                <w:b/>
                <w:bCs/>
                <w:kern w:val="0"/>
                <w:szCs w:val="21"/>
              </w:rPr>
              <w:t>月底</w:t>
            </w:r>
          </w:p>
        </w:tc>
      </w:tr>
      <w:tr>
        <w:tblPrEx>
          <w:tblCellMar>
            <w:top w:w="0" w:type="dxa"/>
            <w:left w:w="108" w:type="dxa"/>
            <w:bottom w:w="0" w:type="dxa"/>
            <w:right w:w="108" w:type="dxa"/>
          </w:tblCellMar>
        </w:tblPrEx>
        <w:trPr>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Times New Roman" w:eastAsia="方正书宋_GBK" w:cs="Times New Roman"/>
                <w:b/>
                <w:bCs/>
                <w:kern w:val="0"/>
                <w:szCs w:val="21"/>
              </w:rPr>
            </w:pPr>
          </w:p>
        </w:tc>
        <w:tc>
          <w:tcPr>
            <w:tcW w:w="2410" w:type="dxa"/>
            <w:gridSpan w:val="2"/>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20.00</w:t>
            </w:r>
          </w:p>
        </w:tc>
        <w:tc>
          <w:tcPr>
            <w:tcW w:w="1587"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50.00</w:t>
            </w:r>
          </w:p>
        </w:tc>
        <w:tc>
          <w:tcPr>
            <w:tcW w:w="1304"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ascii="方正书宋_GBK" w:hAnsi="Times New Roman" w:eastAsia="方正书宋_GBK" w:cs="Times New Roman"/>
                <w:kern w:val="0"/>
                <w:szCs w:val="21"/>
              </w:rPr>
              <w:t>80.00</w:t>
            </w:r>
          </w:p>
        </w:tc>
        <w:tc>
          <w:tcPr>
            <w:tcW w:w="2977" w:type="dxa"/>
            <w:gridSpan w:val="2"/>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ascii="方正书宋_GBK" w:hAnsi="Times New Roman" w:eastAsia="方正书宋_GBK" w:cs="Times New Roman"/>
                <w:kern w:val="0"/>
                <w:szCs w:val="21"/>
              </w:rPr>
              <w:t>100.00</w:t>
            </w:r>
          </w:p>
        </w:tc>
      </w:tr>
      <w:tr>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绩效目标</w:t>
            </w:r>
          </w:p>
        </w:tc>
        <w:tc>
          <w:tcPr>
            <w:tcW w:w="8278" w:type="dxa"/>
            <w:gridSpan w:val="6"/>
            <w:tcBorders>
              <w:top w:val="single" w:color="000000" w:sz="6" w:space="0"/>
              <w:left w:val="nil"/>
              <w:bottom w:val="nil"/>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ascii="方正书宋_GBK" w:hAnsi="Times New Roman" w:eastAsia="方正书宋_GBK" w:cs="Times New Roman"/>
                <w:kern w:val="0"/>
                <w:szCs w:val="21"/>
              </w:rPr>
              <w:t>1</w:t>
            </w:r>
            <w:r>
              <w:rPr>
                <w:rFonts w:hint="eastAsia" w:ascii="方正书宋_GBK" w:hAnsi="Times New Roman" w:eastAsia="方正书宋_GBK" w:cs="Times New Roman"/>
                <w:kern w:val="0"/>
                <w:szCs w:val="21"/>
              </w:rPr>
              <w:t>、召开执常委会议1次。</w:t>
            </w:r>
          </w:p>
          <w:p>
            <w:pPr>
              <w:widowControl/>
              <w:spacing w:line="300" w:lineRule="atLeast"/>
              <w:jc w:val="left"/>
              <w:rPr>
                <w:rFonts w:ascii="方正书宋_GBK" w:hAnsi="Times New Roman" w:eastAsia="方正书宋_GBK" w:cs="Times New Roman"/>
                <w:kern w:val="0"/>
                <w:szCs w:val="21"/>
              </w:rPr>
            </w:pPr>
            <w:r>
              <w:rPr>
                <w:rFonts w:ascii="方正书宋_GBK" w:hAnsi="Times New Roman" w:eastAsia="方正书宋_GBK" w:cs="Times New Roman"/>
                <w:kern w:val="0"/>
                <w:szCs w:val="21"/>
              </w:rPr>
              <w:t>2</w:t>
            </w:r>
            <w:r>
              <w:rPr>
                <w:rFonts w:hint="eastAsia" w:ascii="方正书宋_GBK" w:hAnsi="Times New Roman" w:eastAsia="方正书宋_GBK" w:cs="Times New Roman"/>
                <w:kern w:val="0"/>
                <w:szCs w:val="21"/>
              </w:rPr>
              <w:t>、调研5次、培训1次。</w:t>
            </w:r>
          </w:p>
        </w:tc>
      </w:tr>
    </w:tbl>
    <w:p>
      <w:pPr>
        <w:widowControl/>
        <w:spacing w:line="14" w:lineRule="atLeast"/>
        <w:ind w:firstLine="420"/>
        <w:jc w:val="center"/>
        <w:rPr>
          <w:rFonts w:ascii="Times New Roman" w:hAnsi="Times New Roman" w:cs="Times New Roman"/>
          <w:kern w:val="0"/>
          <w:szCs w:val="21"/>
        </w:rPr>
      </w:pPr>
      <w:r>
        <w:rPr>
          <w:rFonts w:ascii="方正书宋_GBK" w:hAnsi="Times New Roman" w:eastAsia="方正书宋_GBK" w:cs="Times New Roman"/>
          <w:kern w:val="0"/>
          <w:szCs w:val="21"/>
        </w:rPr>
        <w:t xml:space="preserve"> </w:t>
      </w:r>
    </w:p>
    <w:tbl>
      <w:tblPr>
        <w:tblStyle w:val="7"/>
        <w:tblW w:w="0" w:type="auto"/>
        <w:jc w:val="center"/>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一级指标</w:t>
            </w:r>
          </w:p>
        </w:tc>
        <w:tc>
          <w:tcPr>
            <w:tcW w:w="1134"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二级指标</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三级指标</w:t>
            </w:r>
          </w:p>
        </w:tc>
        <w:tc>
          <w:tcPr>
            <w:tcW w:w="2891"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绩效指标描述</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指标值</w:t>
            </w:r>
          </w:p>
        </w:tc>
        <w:tc>
          <w:tcPr>
            <w:tcW w:w="1701" w:type="dxa"/>
            <w:tcBorders>
              <w:top w:val="single" w:color="000000" w:sz="6" w:space="0"/>
              <w:left w:val="nil"/>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b/>
                <w:bCs/>
                <w:kern w:val="0"/>
                <w:szCs w:val="21"/>
              </w:rPr>
            </w:pPr>
            <w:r>
              <w:rPr>
                <w:rFonts w:hint="eastAsia" w:ascii="方正书宋_GBK" w:hAnsi="Times New Roman" w:eastAsia="方正书宋_GBK" w:cs="Times New Roman"/>
                <w:b/>
                <w:bCs/>
                <w:kern w:val="0"/>
                <w:szCs w:val="21"/>
              </w:rPr>
              <w:t>指标值确定依据</w:t>
            </w:r>
          </w:p>
        </w:tc>
      </w:tr>
      <w:tr>
        <w:tblPrEx>
          <w:tblCellMar>
            <w:top w:w="0" w:type="dxa"/>
            <w:left w:w="108" w:type="dxa"/>
            <w:bottom w:w="0" w:type="dxa"/>
            <w:right w:w="108" w:type="dxa"/>
          </w:tblCellMar>
        </w:tblPrEx>
        <w:trPr>
          <w:trHeight w:val="999" w:hRule="atLeast"/>
          <w:jc w:val="center"/>
        </w:trPr>
        <w:tc>
          <w:tcPr>
            <w:tcW w:w="1134" w:type="dxa"/>
            <w:tcBorders>
              <w:top w:val="nil"/>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产出指标</w:t>
            </w:r>
          </w:p>
        </w:tc>
        <w:tc>
          <w:tcPr>
            <w:tcW w:w="1134"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数量指标</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数量指标</w:t>
            </w:r>
          </w:p>
        </w:tc>
        <w:tc>
          <w:tcPr>
            <w:tcW w:w="289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召开会议次数，调研次数、培训次数</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≥7召开执委常委会议1次，调研5次，培训1次。</w:t>
            </w:r>
          </w:p>
        </w:tc>
        <w:tc>
          <w:tcPr>
            <w:tcW w:w="170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档案</w:t>
            </w:r>
          </w:p>
        </w:tc>
      </w:tr>
      <w:tr>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效果指标</w:t>
            </w:r>
          </w:p>
        </w:tc>
        <w:tc>
          <w:tcPr>
            <w:tcW w:w="1134"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社会效益指标</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社会效益指标</w:t>
            </w:r>
          </w:p>
        </w:tc>
        <w:tc>
          <w:tcPr>
            <w:tcW w:w="289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高质量调研报告1篇，支持服务民营经济发展解决民营经济人士发展面临的问题</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≥0为区委区政府提供调研报告1篇</w:t>
            </w:r>
          </w:p>
        </w:tc>
        <w:tc>
          <w:tcPr>
            <w:tcW w:w="170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档案</w:t>
            </w:r>
          </w:p>
        </w:tc>
      </w:tr>
      <w:tr>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widowControl/>
              <w:spacing w:line="300" w:lineRule="atLeast"/>
              <w:jc w:val="center"/>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满意度指标</w:t>
            </w:r>
          </w:p>
        </w:tc>
        <w:tc>
          <w:tcPr>
            <w:tcW w:w="1134"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服务对象满意度指标</w:t>
            </w:r>
          </w:p>
        </w:tc>
        <w:tc>
          <w:tcPr>
            <w:tcW w:w="289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解决民营经济人士经济发展中突出问题</w:t>
            </w:r>
          </w:p>
        </w:tc>
        <w:tc>
          <w:tcPr>
            <w:tcW w:w="1276"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0解决民营经济人士经济发展中突出问题1件</w:t>
            </w:r>
          </w:p>
        </w:tc>
        <w:tc>
          <w:tcPr>
            <w:tcW w:w="1701" w:type="dxa"/>
            <w:tcBorders>
              <w:top w:val="single" w:color="000000" w:sz="6" w:space="0"/>
              <w:left w:val="nil"/>
              <w:bottom w:val="single" w:color="000000" w:sz="6" w:space="0"/>
              <w:right w:val="single" w:color="000000" w:sz="6" w:space="0"/>
            </w:tcBorders>
            <w:vAlign w:val="center"/>
          </w:tcPr>
          <w:p>
            <w:pPr>
              <w:widowControl/>
              <w:spacing w:line="300" w:lineRule="atLeast"/>
              <w:jc w:val="left"/>
              <w:rPr>
                <w:rFonts w:ascii="方正书宋_GBK" w:hAnsi="Times New Roman" w:eastAsia="方正书宋_GBK" w:cs="Times New Roman"/>
                <w:kern w:val="0"/>
                <w:szCs w:val="21"/>
              </w:rPr>
            </w:pPr>
            <w:r>
              <w:rPr>
                <w:rFonts w:hint="eastAsia" w:ascii="方正书宋_GBK" w:hAnsi="Times New Roman" w:eastAsia="方正书宋_GBK" w:cs="Times New Roman"/>
                <w:kern w:val="0"/>
                <w:szCs w:val="21"/>
              </w:rPr>
              <w:t>档案</w:t>
            </w:r>
          </w:p>
        </w:tc>
      </w:tr>
    </w:tbl>
    <w:p>
      <w:pPr>
        <w:widowControl/>
        <w:spacing w:line="300" w:lineRule="atLeast"/>
        <w:ind w:firstLine="420"/>
        <w:jc w:val="left"/>
        <w:rPr>
          <w:rFonts w:ascii="Times New Roman" w:hAnsi="Times New Roman" w:cs="Times New Roman"/>
          <w:kern w:val="0"/>
          <w:szCs w:val="21"/>
        </w:rPr>
      </w:pPr>
    </w:p>
    <w:p>
      <w:pPr>
        <w:widowControl/>
        <w:ind w:firstLine="560"/>
        <w:jc w:val="left"/>
        <w:rPr>
          <w:rFonts w:ascii="Times New Roman" w:hAnsi="Times New Roman" w:cs="Times New Roman"/>
          <w:b/>
          <w:bCs/>
          <w:kern w:val="0"/>
          <w:sz w:val="28"/>
          <w:szCs w:val="28"/>
        </w:rPr>
      </w:pPr>
      <w:bookmarkStart w:id="6" w:name="_Toc32844483"/>
      <w:bookmarkEnd w:id="6"/>
    </w:p>
    <w:p>
      <w:pPr>
        <w:widowControl/>
        <w:spacing w:line="14" w:lineRule="atLeast"/>
        <w:ind w:firstLine="420"/>
        <w:jc w:val="center"/>
        <w:rPr>
          <w:rFonts w:ascii="Times New Roman" w:hAnsi="Times New Roman" w:cs="Times New Roman"/>
          <w:kern w:val="0"/>
          <w:szCs w:val="21"/>
        </w:rPr>
      </w:pPr>
      <w:r>
        <w:rPr>
          <w:rFonts w:ascii="方正书宋_GBK" w:hAnsi="Times New Roman" w:eastAsia="方正书宋_GBK" w:cs="Times New Roman"/>
          <w:kern w:val="0"/>
          <w:szCs w:val="21"/>
        </w:rPr>
        <w:t xml:space="preserve"> </w:t>
      </w: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1"/>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 xml:space="preserve"> 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0</w:t>
      </w:r>
      <w:r>
        <w:rPr>
          <w:rFonts w:hint="eastAsia" w:ascii="Times New Roman" w:hAnsi="Times New Roman" w:eastAsia="仿宋" w:cs="Times New Roman"/>
          <w:sz w:val="32"/>
          <w:szCs w:val="24"/>
        </w:rPr>
        <w:t>万元。具体内容见下表。</w:t>
      </w:r>
      <w:bookmarkEnd w:id="7"/>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rPr>
          <w:rFonts w:ascii="方正小标宋_GBK" w:eastAsia="方正小标宋_GBK"/>
          <w:sz w:val="32"/>
        </w:rPr>
        <w:fldChar w:fldCharType="begin"/>
      </w:r>
      <w:r>
        <w:rPr>
          <w:rFonts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ascii="方正小标宋_GBK" w:eastAsia="方正小标宋_GBK"/>
          <w:sz w:val="32"/>
        </w:rPr>
        <w:instrText xml:space="preserve">" \f A \l 001</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887"/>
        <w:gridCol w:w="1098"/>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87"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098"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887" w:type="dxa"/>
            <w:vAlign w:val="center"/>
          </w:tcPr>
          <w:p>
            <w:pPr>
              <w:adjustRightInd w:val="0"/>
              <w:snapToGrid w:val="0"/>
              <w:ind w:right="105"/>
              <w:jc w:val="right"/>
              <w:rPr>
                <w:rFonts w:ascii="方正书宋_GBK" w:hAnsi="宋体" w:eastAsia="方正书宋_GBK" w:cs="宋体"/>
                <w:b/>
                <w:bCs/>
                <w:color w:val="000000"/>
                <w:szCs w:val="21"/>
              </w:rPr>
            </w:pPr>
          </w:p>
        </w:tc>
        <w:tc>
          <w:tcPr>
            <w:tcW w:w="1098"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887" w:type="dxa"/>
            <w:vAlign w:val="center"/>
          </w:tcPr>
          <w:p>
            <w:pPr>
              <w:adjustRightInd w:val="0"/>
              <w:snapToGrid w:val="0"/>
              <w:jc w:val="right"/>
              <w:rPr>
                <w:rFonts w:ascii="方正书宋_GBK" w:hAnsi="宋体" w:eastAsia="方正书宋_GBK" w:cs="宋体"/>
                <w:b/>
                <w:bCs/>
                <w:color w:val="000000"/>
                <w:szCs w:val="21"/>
              </w:rPr>
            </w:pPr>
          </w:p>
        </w:tc>
        <w:tc>
          <w:tcPr>
            <w:tcW w:w="1098"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42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735"/>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42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42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42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42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42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887" w:type="dxa"/>
            <w:vAlign w:val="center"/>
          </w:tcPr>
          <w:p>
            <w:pPr>
              <w:spacing w:line="300" w:lineRule="exact"/>
              <w:jc w:val="right"/>
              <w:rPr>
                <w:rFonts w:ascii="方正书宋_GBK" w:eastAsia="方正书宋_GBK"/>
              </w:rPr>
            </w:pPr>
          </w:p>
        </w:tc>
        <w:tc>
          <w:tcPr>
            <w:tcW w:w="1098"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560" w:firstLineChars="200"/>
        <w:jc w:val="left"/>
        <w:rPr>
          <w:rFonts w:ascii="仿宋" w:hAnsi="仿宋" w:eastAsia="仿宋" w:cs="Times New Roman"/>
          <w:sz w:val="28"/>
          <w:szCs w:val="32"/>
        </w:rPr>
      </w:pPr>
      <w:r>
        <w:rPr>
          <w:rFonts w:hint="eastAsia" w:ascii="仿宋" w:hAnsi="仿宋" w:eastAsia="仿宋" w:cs="Times New Roman"/>
          <w:sz w:val="28"/>
          <w:szCs w:val="32"/>
        </w:rPr>
        <w:t>注：本部门无政府采购预算情况，故空表列示。</w:t>
      </w: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pStyle w:val="16"/>
        <w:ind w:firstLine="640"/>
        <w:rPr>
          <w:rFonts w:ascii="仿宋" w:hAnsi="仿宋" w:eastAsia="仿宋"/>
          <w:sz w:val="32"/>
          <w:szCs w:val="32"/>
        </w:rPr>
      </w:pPr>
      <w:r>
        <w:rPr>
          <w:rFonts w:hint="eastAsia" w:ascii="仿宋" w:hAnsi="仿宋" w:eastAsia="仿宋"/>
          <w:sz w:val="32"/>
          <w:szCs w:val="32"/>
        </w:rPr>
        <w:t>石家庄市藁城区工商业联合会上年末单位固定资产</w:t>
      </w:r>
      <w:r>
        <w:rPr>
          <w:rFonts w:hint="eastAsia" w:ascii="仿宋" w:hAnsi="仿宋" w:eastAsia="仿宋"/>
          <w:sz w:val="32"/>
          <w:szCs w:val="32"/>
          <w:lang w:val="en-US" w:eastAsia="zh-CN"/>
        </w:rPr>
        <w:t>7.27</w:t>
      </w:r>
      <w:bookmarkStart w:id="9" w:name="_GoBack"/>
      <w:bookmarkEnd w:id="9"/>
      <w:r>
        <w:rPr>
          <w:rFonts w:hint="eastAsia" w:ascii="仿宋" w:hAnsi="仿宋" w:eastAsia="仿宋"/>
          <w:sz w:val="32"/>
          <w:szCs w:val="32"/>
        </w:rPr>
        <w:t>万元（详见下表），本年度拟购置固定资产总额为</w:t>
      </w:r>
      <w:r>
        <w:rPr>
          <w:rFonts w:ascii="仿宋" w:hAnsi="仿宋" w:eastAsia="仿宋"/>
          <w:sz w:val="32"/>
          <w:szCs w:val="32"/>
        </w:rPr>
        <w:t>0</w:t>
      </w:r>
      <w:r>
        <w:rPr>
          <w:rFonts w:hint="eastAsia" w:ascii="仿宋" w:hAnsi="仿宋" w:eastAsia="仿宋"/>
          <w:sz w:val="32"/>
          <w:szCs w:val="32"/>
        </w:rPr>
        <w:t>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石家庄市藁城区</w:t>
            </w:r>
            <w:r>
              <w:rPr>
                <w:rFonts w:hint="eastAsia" w:ascii="宋体" w:hAnsi="宋体" w:cs="宋体"/>
                <w:b/>
                <w:bCs/>
                <w:kern w:val="0"/>
                <w:sz w:val="32"/>
                <w:szCs w:val="32"/>
                <w:lang w:eastAsia="zh-CN"/>
              </w:rPr>
              <w:t>工商业联合会</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w:t>
            </w:r>
            <w:r>
              <w:rPr>
                <w:rFonts w:hint="eastAsia" w:ascii="Times New Roman" w:hAnsi="Times New Roman" w:eastAsia="仿宋" w:cs="Times New Roman"/>
                <w:color w:val="000000"/>
                <w:kern w:val="0"/>
                <w:sz w:val="22"/>
              </w:rPr>
              <w:t>石家庄市藁城区工商业联合会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7.27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4.47</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、一般公共预算拨款收入：指区县级财政当年拨付的资金。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0" w:firstLineChars="200"/>
        <w:rPr>
          <w:rFonts w:ascii="黑体" w:hAnsi="黑体" w:eastAsia="黑体" w:cs="宋体-方正超大字符集"/>
          <w:bCs/>
          <w:sz w:val="32"/>
          <w:szCs w:val="32"/>
        </w:rPr>
      </w:pPr>
      <w:r>
        <w:rPr>
          <w:rFonts w:hint="eastAsia" w:ascii="黑体" w:hAnsi="黑体" w:eastAsia="黑体" w:cs="宋体-方正超大字符集"/>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7</w:t>
    </w:r>
    <w:r>
      <w:rPr>
        <w:rStyle w:val="14"/>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9</w:t>
    </w:r>
    <w:r>
      <w:rPr>
        <w:rStyle w:val="14"/>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1D7044"/>
    <w:rsid w:val="00323B29"/>
    <w:rsid w:val="0039059E"/>
    <w:rsid w:val="004F594C"/>
    <w:rsid w:val="00582E6C"/>
    <w:rsid w:val="00667D67"/>
    <w:rsid w:val="006B25D8"/>
    <w:rsid w:val="006E0488"/>
    <w:rsid w:val="007C309C"/>
    <w:rsid w:val="007F0341"/>
    <w:rsid w:val="008F40C9"/>
    <w:rsid w:val="00976C0F"/>
    <w:rsid w:val="00991848"/>
    <w:rsid w:val="009A0E4B"/>
    <w:rsid w:val="009A521C"/>
    <w:rsid w:val="009A5259"/>
    <w:rsid w:val="009C45E2"/>
    <w:rsid w:val="009D2BC7"/>
    <w:rsid w:val="009E4A82"/>
    <w:rsid w:val="009F5208"/>
    <w:rsid w:val="00A43E4E"/>
    <w:rsid w:val="00A57AFB"/>
    <w:rsid w:val="00A60723"/>
    <w:rsid w:val="00A97FA9"/>
    <w:rsid w:val="00B23DF4"/>
    <w:rsid w:val="00BC31E9"/>
    <w:rsid w:val="00BC4D72"/>
    <w:rsid w:val="00BC584C"/>
    <w:rsid w:val="00D4527B"/>
    <w:rsid w:val="00D607DA"/>
    <w:rsid w:val="00D90713"/>
    <w:rsid w:val="00DC6EE5"/>
    <w:rsid w:val="00DF3A27"/>
    <w:rsid w:val="00E214CE"/>
    <w:rsid w:val="00EE71BA"/>
    <w:rsid w:val="00F867E4"/>
    <w:rsid w:val="00FD279B"/>
    <w:rsid w:val="00FD401A"/>
    <w:rsid w:val="02BA2A0F"/>
    <w:rsid w:val="056D17C0"/>
    <w:rsid w:val="06816C36"/>
    <w:rsid w:val="06EB77D2"/>
    <w:rsid w:val="074614BE"/>
    <w:rsid w:val="0C4E3BA8"/>
    <w:rsid w:val="0C712324"/>
    <w:rsid w:val="0CD20E55"/>
    <w:rsid w:val="0D0A12C8"/>
    <w:rsid w:val="0E4E7F6F"/>
    <w:rsid w:val="10B8432E"/>
    <w:rsid w:val="180B55F4"/>
    <w:rsid w:val="1C376780"/>
    <w:rsid w:val="20A16ABA"/>
    <w:rsid w:val="20FE2AC5"/>
    <w:rsid w:val="21BB1865"/>
    <w:rsid w:val="222C48FB"/>
    <w:rsid w:val="22A612FB"/>
    <w:rsid w:val="23E407A4"/>
    <w:rsid w:val="24495424"/>
    <w:rsid w:val="253F4A16"/>
    <w:rsid w:val="254816F8"/>
    <w:rsid w:val="25F919A6"/>
    <w:rsid w:val="26224953"/>
    <w:rsid w:val="2AEA07C2"/>
    <w:rsid w:val="30903E12"/>
    <w:rsid w:val="31D64A95"/>
    <w:rsid w:val="37D448C4"/>
    <w:rsid w:val="3A751BC0"/>
    <w:rsid w:val="3CF27816"/>
    <w:rsid w:val="42EB123E"/>
    <w:rsid w:val="45257153"/>
    <w:rsid w:val="45526A5D"/>
    <w:rsid w:val="4B987B6B"/>
    <w:rsid w:val="4DBC3434"/>
    <w:rsid w:val="50FE5BC7"/>
    <w:rsid w:val="52270838"/>
    <w:rsid w:val="55746739"/>
    <w:rsid w:val="56CB2842"/>
    <w:rsid w:val="5B2D7C95"/>
    <w:rsid w:val="5B6863D7"/>
    <w:rsid w:val="5BF901C0"/>
    <w:rsid w:val="5CA64411"/>
    <w:rsid w:val="5CBF548C"/>
    <w:rsid w:val="608C00F2"/>
    <w:rsid w:val="61BD79D5"/>
    <w:rsid w:val="63067227"/>
    <w:rsid w:val="63DB249B"/>
    <w:rsid w:val="643866E3"/>
    <w:rsid w:val="65104D35"/>
    <w:rsid w:val="68736515"/>
    <w:rsid w:val="7D3943FF"/>
    <w:rsid w:val="7F3A2D0D"/>
    <w:rsid w:val="7FE809F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9">
    <w:name w:val="footnote reference"/>
    <w:qFormat/>
    <w:uiPriority w:val="99"/>
    <w:rPr>
      <w:rFonts w:cs="Times New Roman"/>
      <w:vertAlign w:val="superscript"/>
    </w:rPr>
  </w:style>
  <w:style w:type="character" w:customStyle="1" w:styleId="10">
    <w:name w:val="页脚 Char"/>
    <w:link w:val="2"/>
    <w:semiHidden/>
    <w:qFormat/>
    <w:locked/>
    <w:uiPriority w:val="99"/>
    <w:rPr>
      <w:rFonts w:ascii="Times New Roman" w:hAnsi="Times New Roman" w:eastAsia="宋体" w:cs="Times New Roman"/>
      <w:sz w:val="18"/>
    </w:rPr>
  </w:style>
  <w:style w:type="character" w:customStyle="1" w:styleId="11">
    <w:name w:val="页眉 Char"/>
    <w:link w:val="3"/>
    <w:semiHidden/>
    <w:qFormat/>
    <w:locked/>
    <w:uiPriority w:val="99"/>
    <w:rPr>
      <w:rFonts w:ascii="Times New Roman" w:hAnsi="Times New Roman" w:eastAsia="宋体" w:cs="Times New Roman"/>
      <w:sz w:val="18"/>
    </w:rPr>
  </w:style>
  <w:style w:type="character" w:customStyle="1" w:styleId="12">
    <w:name w:val="脚注文本 Char"/>
    <w:link w:val="5"/>
    <w:semiHidden/>
    <w:qFormat/>
    <w:locked/>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 w:type="character" w:customStyle="1" w:styleId="14">
    <w:name w:val="页码1"/>
    <w:qFormat/>
    <w:uiPriority w:val="99"/>
  </w:style>
  <w:style w:type="paragraph" w:customStyle="1" w:styleId="15">
    <w:name w:val="p0"/>
    <w:basedOn w:val="1"/>
    <w:qFormat/>
    <w:uiPriority w:val="99"/>
    <w:pPr>
      <w:widowControl/>
    </w:pPr>
    <w:rPr>
      <w:rFonts w:ascii="Times New Roman" w:hAnsi="Times New Roman" w:cs="Times New Roman"/>
      <w:kern w:val="0"/>
      <w:szCs w:val="21"/>
    </w:rPr>
  </w:style>
  <w:style w:type="paragraph" w:customStyle="1" w:styleId="16">
    <w:name w:val="p16"/>
    <w:basedOn w:val="1"/>
    <w:qFormat/>
    <w:uiPriority w:val="99"/>
    <w:pPr>
      <w:widowControl/>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775</Words>
  <Characters>4424</Characters>
  <Lines>36</Lines>
  <Paragraphs>10</Paragraphs>
  <TotalTime>85</TotalTime>
  <ScaleCrop>false</ScaleCrop>
  <LinksUpToDate>false</LinksUpToDate>
  <CharactersWithSpaces>5189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2021-05-26T08:20:44Z</dcterms:modified>
  <dc:title>o</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2CFE21F7F20644998F15BFA43EF63FF5</vt:lpwstr>
  </property>
</Properties>
</file>