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hint="eastAsia"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lang w:eastAsia="zh-CN"/>
        </w:rPr>
        <w:t>石家庄市藁城区文学艺术界联合会</w:t>
      </w:r>
      <w:r>
        <w:rPr>
          <w:rFonts w:hint="eastAsia" w:ascii="方正小标宋_GBK" w:hAnsi="Times New Roman" w:eastAsia="方正小标宋_GBK" w:cs="Times New Roman"/>
          <w:bCs/>
          <w:sz w:val="44"/>
          <w:szCs w:val="44"/>
        </w:rPr>
        <w:t>2020年部门预算信息公开情况说明</w:t>
      </w:r>
    </w:p>
    <w:p>
      <w:pPr>
        <w:ind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按照《预算法》、《地方预决算公开操作规程》和《河北省省级预算公开办法》规定，现将</w:t>
      </w:r>
      <w:r>
        <w:rPr>
          <w:rFonts w:hint="eastAsia" w:ascii="仿宋" w:hAnsi="仿宋" w:eastAsia="仿宋"/>
          <w:sz w:val="32"/>
          <w:szCs w:val="32"/>
        </w:rPr>
        <w:t>石家庄市藁城区</w:t>
      </w:r>
      <w:r>
        <w:rPr>
          <w:rFonts w:hint="eastAsia" w:ascii="仿宋" w:hAnsi="仿宋" w:eastAsia="仿宋"/>
          <w:sz w:val="32"/>
          <w:szCs w:val="32"/>
          <w:lang w:eastAsia="zh-CN"/>
        </w:rPr>
        <w:t>文学艺术界联合会</w:t>
      </w:r>
      <w:r>
        <w:rPr>
          <w:rFonts w:hint="eastAsia" w:ascii="Times New Roman" w:hAnsi="Times New Roman" w:eastAsia="仿宋" w:cs="Times New Roman"/>
          <w:sz w:val="32"/>
          <w:szCs w:val="32"/>
        </w:rPr>
        <w:t>2020年部门预算公开如下：</w:t>
      </w:r>
    </w:p>
    <w:p>
      <w:pPr>
        <w:ind w:firstLine="640" w:firstLineChars="200"/>
        <w:jc w:val="left"/>
        <w:rPr>
          <w:rFonts w:hint="default" w:ascii="黑体" w:hAnsi="黑体" w:eastAsia="黑体" w:cs="Times New Roman"/>
          <w:sz w:val="32"/>
          <w:szCs w:val="32"/>
          <w:lang w:val="en-US" w:eastAsia="zh-CN"/>
        </w:rPr>
      </w:pPr>
      <w:r>
        <w:rPr>
          <w:rFonts w:hint="eastAsia" w:ascii="黑体" w:hAnsi="黑体" w:eastAsia="黑体" w:cs="Times New Roman"/>
          <w:sz w:val="32"/>
          <w:szCs w:val="32"/>
        </w:rPr>
        <w:t>一、部门职责及机构设置情况</w:t>
      </w:r>
    </w:p>
    <w:p>
      <w:pPr>
        <w:widowControl w:val="0"/>
        <w:numPr>
          <w:ilvl w:val="0"/>
          <w:numId w:val="0"/>
        </w:numPr>
        <w:jc w:val="left"/>
        <w:rPr>
          <w:rFonts w:hint="eastAsia" w:ascii="仿宋" w:hAnsi="仿宋" w:eastAsia="仿宋" w:cs="仿宋"/>
          <w:b/>
          <w:bCs/>
          <w:sz w:val="32"/>
          <w:szCs w:val="32"/>
          <w:lang w:val="en-US" w:eastAsia="zh-CN"/>
        </w:rPr>
      </w:pPr>
      <w:r>
        <w:rPr>
          <w:rFonts w:hint="eastAsia" w:ascii="仿宋" w:hAnsi="仿宋" w:eastAsia="仿宋" w:cs="仿宋"/>
          <w:b/>
          <w:bCs/>
          <w:sz w:val="32"/>
          <w:szCs w:val="32"/>
          <w:lang w:eastAsia="zh-CN"/>
        </w:rPr>
        <w:t>部门职责</w:t>
      </w:r>
      <w:r>
        <w:rPr>
          <w:rFonts w:hint="eastAsia" w:ascii="仿宋" w:hAnsi="仿宋" w:eastAsia="仿宋" w:cs="仿宋"/>
          <w:b/>
          <w:bCs/>
          <w:sz w:val="32"/>
          <w:szCs w:val="32"/>
          <w:lang w:val="en-US" w:eastAsia="zh-CN"/>
        </w:rPr>
        <w:t>:</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（一）贯彻落实党的文艺“二为”方向和“双百”工作方针，开展各类社会性文艺活动，为我区的改革开放、经济建设和社会发展服务。</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（二）加强与所属各文艺家协会的联系，确保党和政府同文艺界协商渠道的畅通；负责向有关方面反映会员的情况和要求；承担协会需要统筹安排的事宜；负责对所属协会的管理。</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（三）开展国内外文学艺术交流活动，联络和争取社会各界对文艺事业的关心和支持，出作品，出人才，为文艺创作营造良好的环境和氛围，促进藁城区文艺事业的繁荣。</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（四）指导、协同各文学艺术家采取多种形式深入生活，积极开展创作和学术交流活动，不断提高作品的思想内涵和艺术品位。</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（五）对各种优秀文学艺术成果予以奖励和表彰。</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（六）创办文艺刊物，为文艺工作者提供创作园地；积极发现、扶持和培养文艺新人，不断壮大文艺队伍；开展各方面、多形式的服务工作，为文艺工作者提供良好的工作条件和创作环境。</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（七）维护宪法赋予文艺工作者和文艺团体的合法权益。</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（八）探索、参与兴办文化产业，促进文艺事业的发展。</w:t>
      </w:r>
    </w:p>
    <w:p>
      <w:pPr>
        <w:spacing w:line="500" w:lineRule="exact"/>
        <w:ind w:firstLine="640" w:firstLineChars="200"/>
        <w:jc w:val="left"/>
        <w:rPr>
          <w:rFonts w:hint="eastAsia" w:ascii="仿宋" w:hAnsi="仿宋" w:eastAsia="仿宋" w:cs="Times New Roman"/>
          <w:b/>
          <w:sz w:val="32"/>
          <w:szCs w:val="32"/>
        </w:rPr>
      </w:pPr>
      <w:r>
        <w:rPr>
          <w:rFonts w:hint="eastAsia" w:ascii="仿宋" w:hAnsi="仿宋" w:eastAsia="仿宋" w:cs="仿宋"/>
          <w:sz w:val="32"/>
          <w:szCs w:val="32"/>
        </w:rPr>
        <w:t>（九）承担区委、区政府交办的有关事项。</w:t>
      </w:r>
    </w:p>
    <w:p>
      <w:pPr>
        <w:jc w:val="left"/>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3"/>
        <w:tblW w:w="4998" w:type="pct"/>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509"/>
        <w:gridCol w:w="1353"/>
        <w:gridCol w:w="1116"/>
        <w:gridCol w:w="254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trPr>
        <w:tc>
          <w:tcPr>
            <w:tcW w:w="2059" w:type="pct"/>
            <w:vMerge w:val="restart"/>
            <w:vAlign w:val="center"/>
          </w:tcPr>
          <w:p>
            <w:pPr>
              <w:jc w:val="left"/>
              <w:rPr>
                <w:rFonts w:ascii="Times New Roman" w:hAnsi="Times New Roman" w:eastAsia="方正书宋_GBK" w:cs="Times New Roman"/>
                <w:b/>
                <w:szCs w:val="24"/>
              </w:rPr>
            </w:pPr>
            <w:r>
              <w:rPr>
                <w:rFonts w:hint="eastAsia" w:ascii="黑体" w:hAnsi="黑体" w:eastAsia="黑体"/>
                <w:b/>
                <w:sz w:val="24"/>
              </w:rPr>
              <w:t>单位名称</w:t>
            </w:r>
          </w:p>
        </w:tc>
        <w:tc>
          <w:tcPr>
            <w:tcW w:w="794" w:type="pct"/>
            <w:vMerge w:val="restart"/>
            <w:vAlign w:val="center"/>
          </w:tcPr>
          <w:p>
            <w:pPr>
              <w:jc w:val="left"/>
              <w:rPr>
                <w:rFonts w:ascii="Times New Roman" w:hAnsi="Times New Roman" w:eastAsia="方正书宋_GBK" w:cs="Times New Roman"/>
                <w:b/>
                <w:szCs w:val="24"/>
              </w:rPr>
            </w:pPr>
            <w:r>
              <w:rPr>
                <w:rFonts w:hint="eastAsia" w:ascii="黑体" w:hAnsi="黑体" w:eastAsia="黑体"/>
                <w:b/>
                <w:sz w:val="24"/>
              </w:rPr>
              <w:t>单位性质</w:t>
            </w:r>
          </w:p>
        </w:tc>
        <w:tc>
          <w:tcPr>
            <w:tcW w:w="655" w:type="pct"/>
            <w:vMerge w:val="restart"/>
            <w:vAlign w:val="center"/>
          </w:tcPr>
          <w:p>
            <w:pPr>
              <w:jc w:val="left"/>
              <w:rPr>
                <w:rFonts w:ascii="Times New Roman" w:hAnsi="Times New Roman" w:eastAsia="方正书宋_GBK" w:cs="Times New Roman"/>
                <w:b/>
                <w:szCs w:val="24"/>
              </w:rPr>
            </w:pPr>
            <w:r>
              <w:rPr>
                <w:rFonts w:hint="eastAsia" w:ascii="黑体" w:hAnsi="黑体" w:eastAsia="黑体"/>
                <w:b/>
                <w:sz w:val="24"/>
              </w:rPr>
              <w:t>单位规格</w:t>
            </w:r>
          </w:p>
        </w:tc>
        <w:tc>
          <w:tcPr>
            <w:tcW w:w="1491" w:type="pct"/>
            <w:vMerge w:val="restart"/>
            <w:vAlign w:val="center"/>
          </w:tcPr>
          <w:p>
            <w:pPr>
              <w:jc w:val="left"/>
              <w:rPr>
                <w:rFonts w:ascii="Times New Roman" w:hAnsi="Times New Roman" w:eastAsia="方正书宋_GBK" w:cs="Times New Roman"/>
                <w:b/>
                <w:szCs w:val="24"/>
              </w:rPr>
            </w:pPr>
            <w:r>
              <w:rPr>
                <w:rFonts w:hint="eastAsia" w:ascii="黑体" w:hAnsi="黑体" w:eastAsia="黑体"/>
                <w:b/>
                <w:sz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trPr>
        <w:tc>
          <w:tcPr>
            <w:tcW w:w="2059" w:type="pct"/>
            <w:vMerge w:val="continue"/>
            <w:vAlign w:val="center"/>
          </w:tcPr>
          <w:p>
            <w:pPr>
              <w:spacing w:line="300" w:lineRule="exact"/>
              <w:jc w:val="left"/>
              <w:outlineLvl w:val="0"/>
              <w:rPr>
                <w:rFonts w:ascii="Times New Roman" w:hAnsi="Times New Roman" w:cs="Times New Roman"/>
                <w:szCs w:val="24"/>
              </w:rPr>
            </w:pPr>
          </w:p>
        </w:tc>
        <w:tc>
          <w:tcPr>
            <w:tcW w:w="794" w:type="pct"/>
            <w:vMerge w:val="continue"/>
            <w:vAlign w:val="center"/>
          </w:tcPr>
          <w:p>
            <w:pPr>
              <w:spacing w:line="300" w:lineRule="exact"/>
              <w:jc w:val="left"/>
              <w:outlineLvl w:val="0"/>
              <w:rPr>
                <w:rFonts w:ascii="Times New Roman" w:hAnsi="Times New Roman" w:cs="Times New Roman"/>
                <w:szCs w:val="24"/>
              </w:rPr>
            </w:pPr>
          </w:p>
        </w:tc>
        <w:tc>
          <w:tcPr>
            <w:tcW w:w="655" w:type="pct"/>
            <w:vMerge w:val="continue"/>
            <w:vAlign w:val="center"/>
          </w:tcPr>
          <w:p>
            <w:pPr>
              <w:spacing w:line="300" w:lineRule="exact"/>
              <w:jc w:val="left"/>
              <w:outlineLvl w:val="0"/>
              <w:rPr>
                <w:rFonts w:ascii="Times New Roman" w:hAnsi="Times New Roman" w:cs="Times New Roman"/>
                <w:szCs w:val="24"/>
              </w:rPr>
            </w:pPr>
          </w:p>
        </w:tc>
        <w:tc>
          <w:tcPr>
            <w:tcW w:w="1491" w:type="pct"/>
            <w:vMerge w:val="continue"/>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2" w:hRule="atLeast"/>
        </w:trPr>
        <w:tc>
          <w:tcPr>
            <w:tcW w:w="2059" w:type="pct"/>
            <w:vAlign w:val="center"/>
          </w:tcPr>
          <w:p>
            <w:pPr>
              <w:jc w:val="left"/>
              <w:rPr>
                <w:rFonts w:ascii="Times New Roman" w:hAnsi="Times New Roman" w:eastAsia="方正书宋_GBK" w:cs="Times New Roman"/>
                <w:szCs w:val="24"/>
              </w:rPr>
            </w:pPr>
            <w:r>
              <w:rPr>
                <w:rFonts w:hint="eastAsia" w:ascii="宋体" w:hAnsi="宋体"/>
                <w:sz w:val="24"/>
                <w:lang w:eastAsia="zh-CN"/>
              </w:rPr>
              <w:t>石家庄市藁城区文学艺术界联合会</w:t>
            </w:r>
          </w:p>
        </w:tc>
        <w:tc>
          <w:tcPr>
            <w:tcW w:w="794" w:type="pct"/>
            <w:vAlign w:val="center"/>
          </w:tcPr>
          <w:p>
            <w:pPr>
              <w:jc w:val="left"/>
              <w:rPr>
                <w:rFonts w:ascii="Times New Roman" w:hAnsi="Times New Roman" w:eastAsia="方正书宋_GBK" w:cs="Times New Roman"/>
                <w:szCs w:val="24"/>
              </w:rPr>
            </w:pPr>
            <w:r>
              <w:rPr>
                <w:rFonts w:hint="eastAsia" w:ascii="宋体" w:hAnsi="宋体"/>
                <w:sz w:val="24"/>
                <w:lang w:eastAsia="zh-CN"/>
              </w:rPr>
              <w:t>行政</w:t>
            </w:r>
          </w:p>
        </w:tc>
        <w:tc>
          <w:tcPr>
            <w:tcW w:w="655" w:type="pct"/>
            <w:vAlign w:val="center"/>
          </w:tcPr>
          <w:p>
            <w:pPr>
              <w:jc w:val="left"/>
              <w:rPr>
                <w:rFonts w:ascii="Times New Roman" w:hAnsi="Times New Roman" w:eastAsia="方正书宋_GBK" w:cs="Times New Roman"/>
                <w:szCs w:val="24"/>
              </w:rPr>
            </w:pPr>
            <w:r>
              <w:rPr>
                <w:rFonts w:hint="eastAsia" w:ascii="宋体" w:hAnsi="宋体"/>
                <w:sz w:val="24"/>
                <w:lang w:val="en-US" w:eastAsia="zh-CN"/>
              </w:rPr>
              <w:t>正科级</w:t>
            </w:r>
          </w:p>
        </w:tc>
        <w:tc>
          <w:tcPr>
            <w:tcW w:w="1491" w:type="pct"/>
            <w:vAlign w:val="center"/>
          </w:tcPr>
          <w:p>
            <w:pPr>
              <w:jc w:val="left"/>
              <w:rPr>
                <w:rFonts w:ascii="Times New Roman" w:hAnsi="Times New Roman" w:eastAsia="方正书宋_GBK" w:cs="Times New Roman"/>
                <w:szCs w:val="24"/>
              </w:rPr>
            </w:pPr>
            <w:r>
              <w:rPr>
                <w:rFonts w:hint="eastAsia" w:ascii="宋体" w:hAnsi="宋体" w:eastAsia="宋体"/>
                <w:sz w:val="24"/>
                <w:lang w:val="en-US" w:eastAsia="zh-CN"/>
              </w:rPr>
              <w:t>财政拨款</w:t>
            </w:r>
          </w:p>
        </w:tc>
      </w:tr>
    </w:tbl>
    <w:p>
      <w:pPr>
        <w:jc w:val="left"/>
        <w:rPr>
          <w:rFonts w:ascii="黑体" w:hAnsi="黑体" w:eastAsia="黑体" w:cs="Times New Roman"/>
          <w:sz w:val="32"/>
          <w:szCs w:val="32"/>
        </w:rPr>
      </w:pPr>
      <w:bookmarkStart w:id="6" w:name="_GoBack"/>
      <w:bookmarkEnd w:id="6"/>
      <w:r>
        <w:rPr>
          <w:rFonts w:hint="eastAsia" w:ascii="黑体" w:hAnsi="黑体" w:eastAsia="黑体" w:cs="Times New Roman"/>
          <w:sz w:val="32"/>
          <w:szCs w:val="32"/>
        </w:rPr>
        <w:t>二、部门预算安排的总体情况</w:t>
      </w:r>
    </w:p>
    <w:p>
      <w:pPr>
        <w:ind w:firstLine="640"/>
        <w:rPr>
          <w:rFonts w:hint="eastAsia" w:ascii="仿宋" w:hAnsi="仿宋" w:eastAsia="仿宋" w:cs="仿宋"/>
          <w:sz w:val="32"/>
          <w:szCs w:val="32"/>
        </w:rPr>
      </w:pPr>
      <w:r>
        <w:rPr>
          <w:rFonts w:hint="eastAsia" w:ascii="仿宋" w:hAnsi="仿宋" w:eastAsia="仿宋" w:cs="仿宋"/>
          <w:sz w:val="32"/>
          <w:szCs w:val="32"/>
        </w:rPr>
        <w:t>按照预算管理有关规定，目前我部门预算的编制实行综合预算管理，即全部收入和支出都反映的预算中。</w:t>
      </w:r>
    </w:p>
    <w:p>
      <w:pPr>
        <w:rPr>
          <w:rFonts w:hint="eastAsia" w:ascii="仿宋" w:hAnsi="仿宋" w:eastAsia="仿宋" w:cs="仿宋"/>
          <w:b/>
          <w:bCs/>
          <w:sz w:val="32"/>
          <w:szCs w:val="32"/>
        </w:rPr>
      </w:pPr>
      <w:r>
        <w:rPr>
          <w:rFonts w:hint="eastAsia" w:ascii="仿宋" w:hAnsi="仿宋" w:eastAsia="仿宋" w:cs="仿宋"/>
          <w:b/>
          <w:bCs/>
          <w:sz w:val="32"/>
          <w:szCs w:val="32"/>
        </w:rPr>
        <w:t>1、收入说明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w:t>
      </w:r>
      <w:r>
        <w:rPr>
          <w:rFonts w:hint="eastAsia" w:ascii="Times New Roman" w:hAnsi="Times New Roman" w:eastAsia="仿宋" w:cs="Times New Roman"/>
          <w:sz w:val="32"/>
          <w:szCs w:val="32"/>
          <w:lang w:val="en-US" w:eastAsia="zh-CN"/>
        </w:rPr>
        <w:t>75.03</w:t>
      </w:r>
      <w:r>
        <w:rPr>
          <w:rFonts w:hint="eastAsia" w:ascii="Times New Roman" w:hAnsi="Times New Roman" w:eastAsia="仿宋" w:cs="Times New Roman"/>
          <w:sz w:val="32"/>
          <w:szCs w:val="32"/>
        </w:rPr>
        <w:t>万元，其中：一般公共预算收入</w:t>
      </w:r>
      <w:r>
        <w:rPr>
          <w:rFonts w:hint="eastAsia" w:ascii="Times New Roman" w:hAnsi="Times New Roman" w:eastAsia="仿宋" w:cs="Times New Roman"/>
          <w:sz w:val="32"/>
          <w:szCs w:val="32"/>
          <w:lang w:val="en-US" w:eastAsia="zh-CN"/>
        </w:rPr>
        <w:t>75.03</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政府性</w:t>
      </w:r>
      <w:r>
        <w:rPr>
          <w:rFonts w:hint="eastAsia" w:ascii="Times New Roman" w:hAnsi="Times New Roman" w:eastAsia="仿宋" w:cs="Times New Roman"/>
          <w:sz w:val="32"/>
          <w:szCs w:val="32"/>
        </w:rPr>
        <w:t>基金预算收入0万元，财政专户核拨收入0万元，其他来源收入0万元。</w:t>
      </w:r>
    </w:p>
    <w:p>
      <w:pPr>
        <w:rPr>
          <w:rFonts w:ascii="Times New Roman" w:hAnsi="Times New Roman" w:eastAsia="仿宋" w:cs="Times New Roman"/>
          <w:b/>
          <w:bCs/>
          <w:sz w:val="32"/>
          <w:szCs w:val="32"/>
        </w:rPr>
      </w:pPr>
      <w:r>
        <w:rPr>
          <w:rFonts w:hint="eastAsia" w:ascii="Times New Roman" w:hAnsi="Times New Roman" w:eastAsia="仿宋" w:cs="Times New Roman"/>
          <w:b/>
          <w:bCs/>
          <w:sz w:val="32"/>
          <w:szCs w:val="32"/>
        </w:rPr>
        <w:t>2、</w:t>
      </w:r>
      <w:r>
        <w:rPr>
          <w:rFonts w:ascii="Times New Roman" w:hAnsi="Times New Roman" w:eastAsia="仿宋" w:cs="Times New Roman"/>
          <w:b/>
          <w:bCs/>
          <w:sz w:val="32"/>
          <w:szCs w:val="32"/>
        </w:rPr>
        <w:t>支出说明</w:t>
      </w:r>
    </w:p>
    <w:p>
      <w:pPr>
        <w:ind w:firstLine="640"/>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rPr>
        <w:t>收支预算总表支出栏、基本支出表、项目支出表按经济分类和支出功能分类科目编制，反映</w:t>
      </w:r>
      <w:r>
        <w:rPr>
          <w:rFonts w:hint="eastAsia" w:ascii="Times New Roman" w:hAnsi="Times New Roman" w:eastAsia="仿宋" w:cs="Times New Roman"/>
          <w:sz w:val="32"/>
          <w:szCs w:val="32"/>
          <w:lang w:eastAsia="zh-CN"/>
        </w:rPr>
        <w:t>藁城区文联</w:t>
      </w:r>
      <w:r>
        <w:rPr>
          <w:rFonts w:hint="eastAsia" w:ascii="Times New Roman" w:hAnsi="Times New Roman" w:eastAsia="仿宋" w:cs="Times New Roman"/>
          <w:sz w:val="32"/>
          <w:szCs w:val="32"/>
        </w:rPr>
        <w:t>预算中支出预算的总体情况。2020年部门支出预算为</w:t>
      </w:r>
      <w:r>
        <w:rPr>
          <w:rFonts w:hint="eastAsia" w:ascii="Times New Roman" w:hAnsi="Times New Roman" w:eastAsia="仿宋" w:cs="Times New Roman"/>
          <w:sz w:val="32"/>
          <w:szCs w:val="32"/>
          <w:lang w:val="en-US" w:eastAsia="zh-CN"/>
        </w:rPr>
        <w:t>75.03</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val="en-US" w:eastAsia="zh-CN"/>
        </w:rPr>
        <w:t>66.03</w:t>
      </w:r>
      <w:r>
        <w:rPr>
          <w:rFonts w:hint="eastAsia" w:ascii="Times New Roman" w:hAnsi="Times New Roman" w:eastAsia="仿宋" w:cs="Times New Roman"/>
          <w:sz w:val="32"/>
          <w:szCs w:val="32"/>
        </w:rPr>
        <w:t>万元，包括人员经费</w:t>
      </w:r>
      <w:r>
        <w:rPr>
          <w:rFonts w:hint="eastAsia" w:ascii="Times New Roman" w:hAnsi="Times New Roman" w:eastAsia="仿宋" w:cs="Times New Roman"/>
          <w:sz w:val="32"/>
          <w:szCs w:val="32"/>
          <w:lang w:val="en-US" w:eastAsia="zh-CN"/>
        </w:rPr>
        <w:t>59.19</w:t>
      </w:r>
      <w:r>
        <w:rPr>
          <w:rFonts w:hint="eastAsia" w:ascii="Times New Roman" w:hAnsi="Times New Roman" w:eastAsia="仿宋" w:cs="Times New Roman"/>
          <w:sz w:val="32"/>
          <w:szCs w:val="32"/>
        </w:rPr>
        <w:t>万元和日常公用经费</w:t>
      </w:r>
      <w:r>
        <w:rPr>
          <w:rFonts w:hint="eastAsia" w:ascii="Times New Roman" w:hAnsi="Times New Roman" w:eastAsia="仿宋" w:cs="Times New Roman"/>
          <w:sz w:val="32"/>
          <w:szCs w:val="32"/>
          <w:lang w:val="en-US" w:eastAsia="zh-CN"/>
        </w:rPr>
        <w:t>6.84</w:t>
      </w:r>
      <w:r>
        <w:rPr>
          <w:rFonts w:hint="eastAsia" w:ascii="Times New Roman" w:hAnsi="Times New Roman" w:eastAsia="仿宋" w:cs="Times New Roman"/>
          <w:sz w:val="32"/>
          <w:szCs w:val="32"/>
        </w:rPr>
        <w:t>万元；项目支出</w:t>
      </w:r>
      <w:r>
        <w:rPr>
          <w:rFonts w:hint="eastAsia" w:ascii="Times New Roman" w:hAnsi="Times New Roman" w:eastAsia="仿宋" w:cs="Times New Roman"/>
          <w:sz w:val="32"/>
          <w:szCs w:val="32"/>
          <w:lang w:val="en-US" w:eastAsia="zh-CN"/>
        </w:rPr>
        <w:t>9</w:t>
      </w:r>
      <w:r>
        <w:rPr>
          <w:rFonts w:hint="eastAsia" w:ascii="Times New Roman" w:hAnsi="Times New Roman" w:eastAsia="仿宋" w:cs="Times New Roman"/>
          <w:sz w:val="32"/>
          <w:szCs w:val="32"/>
        </w:rPr>
        <w:t>万元，主要为</w:t>
      </w:r>
      <w:r>
        <w:rPr>
          <w:rFonts w:hint="eastAsia" w:ascii="Times New Roman" w:hAnsi="Times New Roman" w:eastAsia="仿宋" w:cs="Times New Roman"/>
          <w:sz w:val="32"/>
          <w:szCs w:val="32"/>
          <w:lang w:eastAsia="zh-CN"/>
        </w:rPr>
        <w:t>文艺联络交流支出</w:t>
      </w:r>
      <w:r>
        <w:rPr>
          <w:rFonts w:hint="eastAsia" w:ascii="Times New Roman" w:hAnsi="Times New Roman" w:eastAsia="仿宋" w:cs="Times New Roman"/>
          <w:sz w:val="32"/>
          <w:szCs w:val="32"/>
          <w:lang w:val="en-US" w:eastAsia="zh-CN"/>
        </w:rPr>
        <w:t>9万元。</w:t>
      </w:r>
    </w:p>
    <w:p>
      <w:pPr>
        <w:rPr>
          <w:rFonts w:ascii="Times New Roman" w:hAnsi="Times New Roman" w:eastAsia="仿宋" w:cs="Times New Roman"/>
          <w:b/>
          <w:bCs/>
          <w:sz w:val="32"/>
          <w:szCs w:val="32"/>
        </w:rPr>
      </w:pPr>
      <w:r>
        <w:rPr>
          <w:rFonts w:hint="eastAsia" w:ascii="Times New Roman" w:hAnsi="Times New Roman" w:eastAsia="仿宋" w:cs="Times New Roman"/>
          <w:b/>
          <w:bCs/>
          <w:sz w:val="32"/>
          <w:szCs w:val="32"/>
        </w:rPr>
        <w:t>3、</w:t>
      </w:r>
      <w:r>
        <w:rPr>
          <w:rFonts w:ascii="Times New Roman" w:hAnsi="Times New Roman" w:eastAsia="仿宋" w:cs="Times New Roman"/>
          <w:b/>
          <w:bCs/>
          <w:sz w:val="32"/>
          <w:szCs w:val="32"/>
        </w:rPr>
        <w:t>比上年增减情况</w:t>
      </w:r>
    </w:p>
    <w:p>
      <w:pPr>
        <w:ind w:firstLine="640"/>
        <w:rPr>
          <w:rFonts w:hint="eastAsia" w:ascii="Times New Roman" w:hAnsi="Times New Roman" w:eastAsia="仿宋" w:cs="Times New Roman"/>
          <w:sz w:val="32"/>
          <w:szCs w:val="32"/>
          <w:lang w:eastAsia="zh-CN"/>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lang w:val="en-US" w:eastAsia="zh-CN"/>
        </w:rPr>
        <w:t>75.03</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较2019年增加</w:t>
      </w:r>
      <w:r>
        <w:rPr>
          <w:rFonts w:hint="eastAsia" w:ascii="Times New Roman" w:hAnsi="Times New Roman" w:eastAsia="仿宋" w:cs="Times New Roman"/>
          <w:sz w:val="32"/>
          <w:szCs w:val="32"/>
          <w:lang w:val="en-US" w:eastAsia="zh-CN"/>
        </w:rPr>
        <w:t>30.42</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lang w:val="en-US" w:eastAsia="zh-CN"/>
        </w:rPr>
        <w:t>31.42</w:t>
      </w:r>
      <w:r>
        <w:rPr>
          <w:rFonts w:hint="eastAsia" w:ascii="Times New Roman" w:hAnsi="Times New Roman" w:eastAsia="仿宋" w:cs="Times New Roman"/>
          <w:sz w:val="32"/>
          <w:szCs w:val="32"/>
        </w:rPr>
        <w:t>万元，主要是人员</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lang w:val="en-US" w:eastAsia="zh-CN"/>
        </w:rPr>
        <w:t>2人</w:t>
      </w:r>
      <w:r>
        <w:rPr>
          <w:rFonts w:hint="eastAsia" w:ascii="Times New Roman" w:hAnsi="Times New Roman" w:eastAsia="仿宋" w:cs="Times New Roman"/>
          <w:sz w:val="32"/>
          <w:szCs w:val="32"/>
        </w:rPr>
        <w:t>，相应</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rPr>
        <w:t>人员经费和日常公用经费；项目支出</w:t>
      </w:r>
      <w:r>
        <w:rPr>
          <w:rFonts w:hint="eastAsia" w:ascii="Times New Roman" w:hAnsi="Times New Roman" w:eastAsia="仿宋" w:cs="Times New Roman"/>
          <w:sz w:val="32"/>
          <w:szCs w:val="32"/>
          <w:lang w:eastAsia="zh-CN"/>
        </w:rPr>
        <w:t>减少</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万元，主要是</w:t>
      </w:r>
      <w:r>
        <w:rPr>
          <w:rFonts w:hint="eastAsia" w:ascii="Times New Roman" w:hAnsi="Times New Roman" w:eastAsia="仿宋" w:cs="Times New Roman"/>
          <w:sz w:val="32"/>
          <w:szCs w:val="32"/>
          <w:lang w:eastAsia="zh-CN"/>
        </w:rPr>
        <w:t>精简了活动。</w:t>
      </w:r>
    </w:p>
    <w:p>
      <w:pPr>
        <w:autoSpaceDE w:val="0"/>
        <w:autoSpaceDN w:val="0"/>
        <w:adjustRightInd w:val="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w:t>
      </w:r>
      <w:r>
        <w:rPr>
          <w:rFonts w:hint="eastAsia" w:ascii="Times New Roman" w:hAnsi="Times New Roman" w:eastAsia="仿宋" w:cs="Times New Roman"/>
          <w:sz w:val="32"/>
          <w:szCs w:val="32"/>
          <w:lang w:val="en-US" w:eastAsia="zh-CN"/>
        </w:rPr>
        <w:t>6.84</w:t>
      </w:r>
      <w:r>
        <w:rPr>
          <w:rFonts w:hint="eastAsia" w:ascii="Times New Roman" w:hAnsi="Times New Roman" w:eastAsia="仿宋" w:cs="Times New Roman"/>
          <w:sz w:val="32"/>
          <w:szCs w:val="32"/>
        </w:rPr>
        <w:t>万元，主要用于保证机关正常运转的办公及印刷费、邮电费、差旅费、会议费、福利费、专用材料及一般设备购置费、办公用房水电费、办公用房取暖费、日常维修费、办公楼物业管理费、公务车运行维护费等支出。</w:t>
      </w:r>
    </w:p>
    <w:p>
      <w:pPr>
        <w:autoSpaceDE w:val="0"/>
        <w:autoSpaceDN w:val="0"/>
        <w:adjustRightInd w:val="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ind w:firstLine="640" w:firstLineChars="200"/>
        <w:outlineLvl w:val="0"/>
        <w:rPr>
          <w:rFonts w:hint="eastAsia" w:ascii="仿宋" w:hAnsi="仿宋" w:eastAsia="仿宋"/>
          <w:sz w:val="32"/>
          <w:szCs w:val="32"/>
        </w:rPr>
      </w:pPr>
      <w:r>
        <w:rPr>
          <w:rFonts w:hint="eastAsia" w:ascii="Times New Roman" w:hAnsi="Times New Roman" w:eastAsia="仿宋" w:cs="Times New Roman"/>
          <w:sz w:val="32"/>
          <w:szCs w:val="32"/>
        </w:rPr>
        <w:t>2020年，</w:t>
      </w:r>
      <w:r>
        <w:rPr>
          <w:rFonts w:hint="eastAsia" w:ascii="仿宋" w:hAnsi="仿宋" w:eastAsia="仿宋"/>
          <w:sz w:val="32"/>
          <w:szCs w:val="32"/>
        </w:rPr>
        <w:t>本部门安排“三公”经费</w:t>
      </w:r>
      <w:r>
        <w:rPr>
          <w:rFonts w:hint="eastAsia" w:ascii="仿宋" w:hAnsi="仿宋" w:eastAsia="仿宋"/>
          <w:sz w:val="32"/>
          <w:szCs w:val="32"/>
          <w:lang w:val="en-US" w:eastAsia="zh-CN"/>
        </w:rPr>
        <w:t>0</w:t>
      </w:r>
      <w:r>
        <w:rPr>
          <w:rFonts w:hint="eastAsia" w:ascii="仿宋" w:hAnsi="仿宋" w:eastAsia="仿宋"/>
          <w:sz w:val="32"/>
          <w:szCs w:val="32"/>
        </w:rPr>
        <w:t>万元，</w:t>
      </w:r>
      <w:r>
        <w:rPr>
          <w:rFonts w:hint="eastAsia" w:ascii="仿宋" w:hAnsi="仿宋" w:eastAsia="仿宋"/>
          <w:sz w:val="32"/>
          <w:szCs w:val="32"/>
          <w:highlight w:val="none"/>
        </w:rPr>
        <w:t>与上年相比增加</w:t>
      </w:r>
      <w:r>
        <w:rPr>
          <w:rFonts w:hint="eastAsia" w:ascii="仿宋" w:hAnsi="仿宋" w:eastAsia="仿宋"/>
          <w:sz w:val="32"/>
          <w:szCs w:val="32"/>
          <w:highlight w:val="none"/>
          <w:lang w:val="en-US" w:eastAsia="zh-CN"/>
        </w:rPr>
        <w:t>0</w:t>
      </w:r>
      <w:r>
        <w:rPr>
          <w:rFonts w:hint="eastAsia" w:ascii="仿宋" w:hAnsi="仿宋" w:eastAsia="仿宋"/>
          <w:sz w:val="32"/>
          <w:szCs w:val="32"/>
        </w:rPr>
        <w:t>万元，其中：</w:t>
      </w:r>
    </w:p>
    <w:p>
      <w:pPr>
        <w:ind w:firstLine="640" w:firstLineChars="200"/>
        <w:outlineLvl w:val="0"/>
        <w:rPr>
          <w:rFonts w:hint="eastAsia" w:ascii="仿宋" w:hAnsi="仿宋" w:eastAsia="仿宋"/>
          <w:sz w:val="32"/>
          <w:szCs w:val="32"/>
        </w:rPr>
      </w:pPr>
      <w:r>
        <w:rPr>
          <w:rFonts w:hint="eastAsia" w:ascii="仿宋" w:hAnsi="仿宋" w:eastAsia="仿宋"/>
          <w:sz w:val="32"/>
          <w:szCs w:val="32"/>
        </w:rPr>
        <w:t>1、因公出国（境）费0万元，</w:t>
      </w:r>
      <w:r>
        <w:rPr>
          <w:rFonts w:hint="eastAsia" w:ascii="仿宋" w:hAnsi="仿宋" w:eastAsia="仿宋"/>
          <w:sz w:val="32"/>
          <w:szCs w:val="32"/>
          <w:highlight w:val="none"/>
        </w:rPr>
        <w:t>与上年相比持平，无增减变化</w:t>
      </w:r>
      <w:r>
        <w:rPr>
          <w:rFonts w:hint="eastAsia" w:ascii="仿宋" w:hAnsi="仿宋" w:eastAsia="仿宋"/>
          <w:sz w:val="32"/>
          <w:szCs w:val="32"/>
        </w:rPr>
        <w:t>。</w:t>
      </w:r>
    </w:p>
    <w:p>
      <w:pPr>
        <w:ind w:firstLine="640" w:firstLineChars="200"/>
        <w:outlineLvl w:val="0"/>
        <w:rPr>
          <w:rFonts w:hint="eastAsia" w:ascii="仿宋" w:hAnsi="仿宋" w:eastAsia="仿宋"/>
          <w:sz w:val="32"/>
          <w:szCs w:val="32"/>
          <w:highlight w:val="none"/>
        </w:rPr>
      </w:pPr>
      <w:r>
        <w:rPr>
          <w:rFonts w:hint="eastAsia" w:ascii="仿宋" w:hAnsi="仿宋" w:eastAsia="仿宋"/>
          <w:sz w:val="32"/>
          <w:szCs w:val="32"/>
        </w:rPr>
        <w:t>2、公务用车购置及运行维护费</w:t>
      </w:r>
      <w:r>
        <w:rPr>
          <w:rFonts w:hint="eastAsia" w:ascii="仿宋" w:hAnsi="仿宋" w:eastAsia="仿宋"/>
          <w:sz w:val="32"/>
          <w:szCs w:val="32"/>
          <w:lang w:val="en-US" w:eastAsia="zh-CN"/>
        </w:rPr>
        <w:t>0</w:t>
      </w:r>
      <w:r>
        <w:rPr>
          <w:rFonts w:hint="eastAsia" w:ascii="仿宋" w:hAnsi="仿宋" w:eastAsia="仿宋"/>
          <w:sz w:val="32"/>
          <w:szCs w:val="32"/>
        </w:rPr>
        <w:t>万元，其中：</w:t>
      </w:r>
      <w:r>
        <w:rPr>
          <w:rFonts w:hint="eastAsia" w:ascii="仿宋" w:hAnsi="仿宋" w:eastAsia="仿宋"/>
          <w:strike w:val="0"/>
          <w:dstrike w:val="0"/>
          <w:sz w:val="32"/>
          <w:szCs w:val="32"/>
          <w:u w:val="dotDotDash" w:color="FFFFFF"/>
        </w:rPr>
        <w:t>公务用车购置</w:t>
      </w:r>
      <w:r>
        <w:rPr>
          <w:rFonts w:hint="eastAsia" w:ascii="仿宋" w:hAnsi="仿宋" w:eastAsia="仿宋"/>
          <w:strike w:val="0"/>
          <w:dstrike w:val="0"/>
          <w:sz w:val="32"/>
          <w:szCs w:val="32"/>
          <w:u w:val="dotDotDash" w:color="FFFFFF"/>
          <w:lang w:val="en-US" w:eastAsia="zh-CN"/>
        </w:rPr>
        <w:t>0</w:t>
      </w:r>
      <w:r>
        <w:rPr>
          <w:rFonts w:hint="eastAsia" w:ascii="仿宋" w:hAnsi="仿宋" w:eastAsia="仿宋"/>
          <w:sz w:val="32"/>
          <w:szCs w:val="32"/>
        </w:rPr>
        <w:t>万元，</w:t>
      </w:r>
      <w:r>
        <w:rPr>
          <w:rFonts w:hint="eastAsia" w:ascii="仿宋" w:hAnsi="仿宋" w:eastAsia="仿宋"/>
          <w:sz w:val="32"/>
          <w:szCs w:val="32"/>
          <w:highlight w:val="none"/>
        </w:rPr>
        <w:t>与上年相比增加</w:t>
      </w:r>
      <w:r>
        <w:rPr>
          <w:rFonts w:hint="eastAsia" w:ascii="仿宋" w:hAnsi="仿宋" w:eastAsia="仿宋"/>
          <w:sz w:val="32"/>
          <w:szCs w:val="32"/>
          <w:highlight w:val="none"/>
          <w:lang w:val="en-US" w:eastAsia="zh-CN"/>
        </w:rPr>
        <w:t>0</w:t>
      </w:r>
      <w:r>
        <w:rPr>
          <w:rFonts w:hint="eastAsia" w:ascii="仿宋" w:hAnsi="仿宋" w:eastAsia="仿宋"/>
          <w:sz w:val="32"/>
          <w:szCs w:val="32"/>
          <w:highlight w:val="none"/>
        </w:rPr>
        <w:t>万元，主要原因</w:t>
      </w:r>
      <w:r>
        <w:rPr>
          <w:rFonts w:hint="eastAsia" w:ascii="仿宋" w:hAnsi="仿宋" w:eastAsia="仿宋"/>
          <w:sz w:val="32"/>
          <w:szCs w:val="32"/>
          <w:highlight w:val="none"/>
          <w:lang w:eastAsia="zh-CN"/>
        </w:rPr>
        <w:t>无购置公车预算</w:t>
      </w:r>
      <w:r>
        <w:rPr>
          <w:rFonts w:hint="eastAsia" w:ascii="仿宋" w:hAnsi="仿宋" w:eastAsia="仿宋"/>
          <w:sz w:val="32"/>
          <w:szCs w:val="32"/>
        </w:rPr>
        <w:t>；</w:t>
      </w:r>
      <w:r>
        <w:rPr>
          <w:rFonts w:hint="eastAsia" w:ascii="仿宋" w:hAnsi="仿宋" w:eastAsia="仿宋"/>
          <w:sz w:val="32"/>
          <w:szCs w:val="32"/>
          <w:u w:val="single" w:color="FFFFFF"/>
        </w:rPr>
        <w:t>公务用车运行维护费</w:t>
      </w:r>
      <w:r>
        <w:rPr>
          <w:rFonts w:hint="eastAsia" w:ascii="仿宋" w:hAnsi="仿宋" w:eastAsia="仿宋"/>
          <w:sz w:val="32"/>
          <w:szCs w:val="32"/>
          <w:u w:val="single" w:color="FFFFFF"/>
          <w:lang w:val="en-US" w:eastAsia="zh-CN"/>
        </w:rPr>
        <w:t>0</w:t>
      </w:r>
      <w:r>
        <w:rPr>
          <w:rFonts w:hint="eastAsia" w:ascii="仿宋" w:hAnsi="仿宋" w:eastAsia="仿宋"/>
          <w:sz w:val="32"/>
          <w:szCs w:val="32"/>
        </w:rPr>
        <w:t>万元</w:t>
      </w:r>
      <w:r>
        <w:rPr>
          <w:rFonts w:hint="eastAsia" w:ascii="仿宋" w:hAnsi="仿宋" w:eastAsia="仿宋"/>
          <w:sz w:val="32"/>
          <w:szCs w:val="32"/>
          <w:highlight w:val="none"/>
        </w:rPr>
        <w:t>，与上年相比增加</w:t>
      </w:r>
      <w:r>
        <w:rPr>
          <w:rFonts w:hint="eastAsia" w:ascii="仿宋" w:hAnsi="仿宋" w:eastAsia="仿宋"/>
          <w:sz w:val="32"/>
          <w:szCs w:val="32"/>
          <w:highlight w:val="none"/>
          <w:lang w:val="en-US" w:eastAsia="zh-CN"/>
        </w:rPr>
        <w:t>0</w:t>
      </w:r>
      <w:r>
        <w:rPr>
          <w:rFonts w:hint="eastAsia" w:ascii="仿宋" w:hAnsi="仿宋" w:eastAsia="仿宋"/>
          <w:sz w:val="32"/>
          <w:szCs w:val="32"/>
          <w:highlight w:val="none"/>
        </w:rPr>
        <w:t>万元,主要原因：</w:t>
      </w:r>
      <w:r>
        <w:rPr>
          <w:rFonts w:hint="eastAsia" w:ascii="仿宋" w:hAnsi="仿宋" w:eastAsia="仿宋"/>
          <w:sz w:val="32"/>
          <w:szCs w:val="32"/>
          <w:highlight w:val="none"/>
          <w:lang w:eastAsia="zh-CN"/>
        </w:rPr>
        <w:t>本单位无公车。</w:t>
      </w:r>
      <w:r>
        <w:rPr>
          <w:rFonts w:hint="eastAsia" w:ascii="仿宋" w:hAnsi="仿宋" w:eastAsia="仿宋"/>
          <w:sz w:val="32"/>
          <w:szCs w:val="32"/>
          <w:highlight w:val="none"/>
        </w:rPr>
        <w:t xml:space="preserve">  </w:t>
      </w:r>
    </w:p>
    <w:p>
      <w:pPr>
        <w:numPr>
          <w:ilvl w:val="0"/>
          <w:numId w:val="1"/>
        </w:numPr>
        <w:ind w:firstLine="640" w:firstLineChars="200"/>
        <w:outlineLvl w:val="0"/>
        <w:rPr>
          <w:rFonts w:hint="eastAsia" w:ascii="仿宋" w:hAnsi="仿宋" w:eastAsia="仿宋"/>
          <w:sz w:val="32"/>
          <w:szCs w:val="32"/>
          <w:highlight w:val="none"/>
        </w:rPr>
      </w:pPr>
      <w:r>
        <w:rPr>
          <w:rFonts w:hint="eastAsia" w:ascii="仿宋" w:hAnsi="仿宋" w:eastAsia="仿宋"/>
          <w:sz w:val="32"/>
          <w:szCs w:val="32"/>
          <w:highlight w:val="none"/>
        </w:rPr>
        <w:t>公务接待费</w:t>
      </w:r>
      <w:r>
        <w:rPr>
          <w:rFonts w:hint="eastAsia" w:ascii="仿宋" w:hAnsi="仿宋" w:eastAsia="仿宋"/>
          <w:sz w:val="32"/>
          <w:szCs w:val="32"/>
          <w:highlight w:val="none"/>
          <w:lang w:val="en-US" w:eastAsia="zh-CN"/>
        </w:rPr>
        <w:t>0</w:t>
      </w:r>
      <w:r>
        <w:rPr>
          <w:rFonts w:hint="eastAsia" w:ascii="仿宋" w:hAnsi="仿宋" w:eastAsia="仿宋"/>
          <w:sz w:val="32"/>
          <w:szCs w:val="32"/>
          <w:highlight w:val="none"/>
        </w:rPr>
        <w:t>万元，与上年相比持平，无增减变化，主要原因：</w:t>
      </w:r>
      <w:r>
        <w:rPr>
          <w:rFonts w:hint="eastAsia" w:ascii="仿宋" w:hAnsi="仿宋" w:eastAsia="仿宋"/>
          <w:sz w:val="32"/>
          <w:szCs w:val="32"/>
          <w:highlight w:val="none"/>
          <w:lang w:eastAsia="zh-CN"/>
        </w:rPr>
        <w:t>本单位无公务接待费预算。</w:t>
      </w:r>
    </w:p>
    <w:p>
      <w:pPr>
        <w:rPr>
          <w:rFonts w:hint="eastAsia" w:ascii="Times New Roman" w:hAnsi="Times New Roman" w:eastAsia="仿宋" w:cs="Times New Roman"/>
          <w:sz w:val="32"/>
          <w:szCs w:val="32"/>
          <w:lang w:eastAsia="zh-CN"/>
        </w:rPr>
        <w:sectPr>
          <w:pgSz w:w="11907" w:h="16839"/>
          <w:pgMar w:top="1440" w:right="1800" w:bottom="1440" w:left="1800" w:header="851" w:footer="992" w:gutter="0"/>
          <w:cols w:space="720" w:num="1"/>
          <w:docGrid w:type="lines" w:linePitch="312" w:charSpace="0"/>
        </w:sectPr>
      </w:pPr>
    </w:p>
    <w:p>
      <w:pPr>
        <w:autoSpaceDE w:val="0"/>
        <w:autoSpaceDN w:val="0"/>
        <w:adjustRightInd w:val="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jc w:val="left"/>
        <w:rPr>
          <w:rFonts w:hint="eastAsia" w:ascii="黑体" w:hAnsi="黑体" w:eastAsia="黑体" w:cs="黑体"/>
          <w:b w:val="0"/>
          <w:bCs/>
          <w:sz w:val="32"/>
          <w:szCs w:val="32"/>
          <w:lang w:val="en-US" w:eastAsia="zh-CN"/>
        </w:rPr>
      </w:pPr>
      <w:bookmarkStart w:id="0" w:name="_Toc471398463"/>
      <w:r>
        <w:rPr>
          <w:rFonts w:hint="eastAsia" w:ascii="黑体" w:hAnsi="黑体" w:eastAsia="黑体" w:cs="黑体"/>
          <w:b/>
          <w:sz w:val="32"/>
          <w:szCs w:val="32"/>
        </w:rPr>
        <w:t>第一部分  部门整体绩效目标</w:t>
      </w:r>
    </w:p>
    <w:p>
      <w:pPr>
        <w:autoSpaceDE w:val="0"/>
        <w:autoSpaceDN w:val="0"/>
        <w:adjustRightInd w:val="0"/>
        <w:jc w:val="left"/>
        <w:rPr>
          <w:rFonts w:hint="eastAsia" w:ascii="黑体" w:hAnsi="黑体" w:eastAsia="黑体" w:cs="黑体"/>
          <w:b/>
          <w:sz w:val="32"/>
          <w:szCs w:val="32"/>
        </w:rPr>
      </w:pPr>
      <w:r>
        <w:rPr>
          <w:rFonts w:hint="eastAsia" w:ascii="黑体" w:hAnsi="黑体" w:eastAsia="黑体" w:cs="黑体"/>
          <w:b/>
          <w:sz w:val="32"/>
          <w:szCs w:val="32"/>
        </w:rPr>
        <w:t>（一）总体绩效目标</w:t>
      </w:r>
      <w:r>
        <w:rPr>
          <w:rFonts w:hint="eastAsia" w:ascii="黑体" w:hAnsi="黑体" w:eastAsia="黑体" w:cs="黑体"/>
          <w:b/>
          <w:sz w:val="32"/>
          <w:szCs w:val="32"/>
        </w:rPr>
        <w:fldChar w:fldCharType="begin"/>
      </w:r>
      <w:r>
        <w:rPr>
          <w:rFonts w:hint="eastAsia" w:ascii="黑体" w:hAnsi="黑体" w:eastAsia="黑体" w:cs="黑体"/>
          <w:b/>
          <w:sz w:val="32"/>
          <w:szCs w:val="32"/>
        </w:rPr>
        <w:instrText xml:space="preserve"> TC </w:instrText>
      </w:r>
      <w:bookmarkStart w:id="1" w:name="_Toc29484628"/>
      <w:r>
        <w:rPr>
          <w:rFonts w:hint="eastAsia" w:ascii="黑体" w:hAnsi="黑体" w:eastAsia="黑体" w:cs="黑体"/>
          <w:b/>
          <w:sz w:val="32"/>
          <w:szCs w:val="32"/>
        </w:rPr>
        <w:instrText xml:space="preserve">总体绩效目标</w:instrText>
      </w:r>
      <w:bookmarkEnd w:id="1"/>
      <w:r>
        <w:rPr>
          <w:rFonts w:hint="eastAsia" w:ascii="黑体" w:hAnsi="黑体" w:eastAsia="黑体" w:cs="黑体"/>
          <w:b/>
          <w:sz w:val="32"/>
          <w:szCs w:val="32"/>
        </w:rPr>
        <w:instrText xml:space="preserve"> \f A \l 1 </w:instrText>
      </w:r>
      <w:r>
        <w:rPr>
          <w:rFonts w:hint="eastAsia" w:ascii="黑体" w:hAnsi="黑体" w:eastAsia="黑体" w:cs="黑体"/>
          <w:b/>
          <w:sz w:val="32"/>
          <w:szCs w:val="32"/>
        </w:rPr>
        <w:fldChar w:fldCharType="end"/>
      </w:r>
    </w:p>
    <w:p>
      <w:pPr>
        <w:ind w:firstLine="640" w:firstLineChars="200"/>
        <w:rPr>
          <w:rFonts w:hint="eastAsia" w:ascii="仿宋" w:hAnsi="仿宋" w:eastAsia="仿宋" w:cs="仿宋"/>
          <w:b/>
          <w:sz w:val="32"/>
          <w:szCs w:val="32"/>
        </w:rPr>
      </w:pPr>
      <w:r>
        <w:rPr>
          <w:rFonts w:hint="eastAsia" w:ascii="仿宋" w:hAnsi="仿宋" w:eastAsia="仿宋" w:cs="仿宋"/>
          <w:sz w:val="32"/>
          <w:szCs w:val="32"/>
          <w:lang w:eastAsia="zh-CN"/>
        </w:rPr>
        <w:t>坚持以习近平新时代中国特色社会主义思想、</w:t>
      </w:r>
      <w:r>
        <w:rPr>
          <w:rFonts w:hint="eastAsia" w:ascii="仿宋" w:hAnsi="仿宋" w:eastAsia="仿宋" w:cs="仿宋"/>
          <w:sz w:val="32"/>
          <w:szCs w:val="32"/>
        </w:rPr>
        <w:t>区委、区政府的中心工作为指导，紧紧围绕区文联的中心工作，</w:t>
      </w:r>
      <w:r>
        <w:rPr>
          <w:rFonts w:hint="eastAsia" w:ascii="仿宋" w:hAnsi="仿宋" w:eastAsia="仿宋" w:cs="仿宋"/>
          <w:sz w:val="32"/>
          <w:szCs w:val="32"/>
          <w:lang w:eastAsia="zh-CN"/>
        </w:rPr>
        <w:t>依托</w:t>
      </w:r>
      <w:r>
        <w:rPr>
          <w:rFonts w:hint="eastAsia" w:ascii="仿宋" w:hAnsi="仿宋" w:eastAsia="仿宋" w:cs="仿宋"/>
          <w:sz w:val="32"/>
          <w:szCs w:val="32"/>
        </w:rPr>
        <w:t>十</w:t>
      </w:r>
      <w:r>
        <w:rPr>
          <w:rFonts w:hint="eastAsia" w:ascii="仿宋" w:hAnsi="仿宋" w:eastAsia="仿宋" w:cs="仿宋"/>
          <w:sz w:val="32"/>
          <w:szCs w:val="32"/>
          <w:lang w:eastAsia="zh-CN"/>
        </w:rPr>
        <w:t>二</w:t>
      </w:r>
      <w:r>
        <w:rPr>
          <w:rFonts w:hint="eastAsia" w:ascii="仿宋" w:hAnsi="仿宋" w:eastAsia="仿宋" w:cs="仿宋"/>
          <w:sz w:val="32"/>
          <w:szCs w:val="32"/>
        </w:rPr>
        <w:t>大协会，积极开展各类社会性文艺活动；</w:t>
      </w:r>
      <w:r>
        <w:rPr>
          <w:rFonts w:hint="eastAsia" w:ascii="仿宋" w:hAnsi="仿宋" w:eastAsia="仿宋" w:cs="仿宋"/>
          <w:b w:val="0"/>
          <w:bCs w:val="0"/>
          <w:sz w:val="32"/>
          <w:szCs w:val="32"/>
        </w:rPr>
        <w:t>召开联络会议，组织会员活动，加大培训力度，为文艺事业健康快速发展提供组织保障。完善文艺精品扶持和奖励机制，论证确定一批既有藁城地域特色，又具备创作空间和社会影响力的题材。完成文化交流计划</w:t>
      </w:r>
      <w:r>
        <w:rPr>
          <w:rFonts w:hint="eastAsia" w:ascii="仿宋" w:hAnsi="仿宋" w:eastAsia="仿宋" w:cs="仿宋"/>
          <w:b w:val="0"/>
          <w:bCs w:val="0"/>
          <w:sz w:val="32"/>
          <w:szCs w:val="32"/>
          <w:lang w:eastAsia="zh-CN"/>
        </w:rPr>
        <w:t>，</w:t>
      </w:r>
      <w:r>
        <w:rPr>
          <w:rFonts w:hint="eastAsia" w:ascii="仿宋" w:hAnsi="仿宋" w:eastAsia="仿宋" w:cs="仿宋"/>
          <w:b w:val="0"/>
          <w:bCs w:val="0"/>
          <w:sz w:val="32"/>
          <w:szCs w:val="32"/>
        </w:rPr>
        <w:t>完成对外宣传，扩大文艺工作的覆盖面和社会影响力。</w:t>
      </w:r>
      <w:r>
        <w:rPr>
          <w:rFonts w:hint="eastAsia" w:ascii="仿宋" w:hAnsi="仿宋" w:eastAsia="仿宋" w:cs="仿宋"/>
          <w:sz w:val="32"/>
          <w:szCs w:val="32"/>
        </w:rPr>
        <w:t>建立人才库，发现、扶持和培养文艺新人，出作品，出人才，促进藁城区文艺事业的繁荣，实现为我区的改革开放、经济建设和社会发展服务的目标。</w:t>
      </w:r>
    </w:p>
    <w:p>
      <w:pPr>
        <w:autoSpaceDE w:val="0"/>
        <w:autoSpaceDN w:val="0"/>
        <w:adjustRightInd w:val="0"/>
        <w:jc w:val="left"/>
        <w:rPr>
          <w:rFonts w:hint="eastAsia" w:ascii="黑体" w:hAnsi="黑体" w:eastAsia="黑体" w:cs="黑体"/>
          <w:b/>
          <w:sz w:val="32"/>
          <w:szCs w:val="32"/>
        </w:rPr>
      </w:pPr>
      <w:r>
        <w:rPr>
          <w:rFonts w:hint="eastAsia" w:ascii="黑体" w:hAnsi="黑体" w:eastAsia="黑体" w:cs="黑体"/>
          <w:b/>
          <w:sz w:val="32"/>
          <w:szCs w:val="32"/>
        </w:rPr>
        <w:t>（二）分项绩效目标</w:t>
      </w:r>
      <w:r>
        <w:rPr>
          <w:rFonts w:hint="eastAsia" w:ascii="黑体" w:hAnsi="黑体" w:eastAsia="黑体" w:cs="黑体"/>
          <w:b/>
          <w:sz w:val="32"/>
          <w:szCs w:val="32"/>
        </w:rPr>
        <w:fldChar w:fldCharType="begin"/>
      </w:r>
      <w:r>
        <w:rPr>
          <w:rFonts w:hint="eastAsia" w:ascii="黑体" w:hAnsi="黑体" w:eastAsia="黑体" w:cs="黑体"/>
          <w:b/>
          <w:sz w:val="32"/>
          <w:szCs w:val="32"/>
        </w:rPr>
        <w:instrText xml:space="preserve"> TC </w:instrText>
      </w:r>
      <w:bookmarkStart w:id="2" w:name="_Toc29484629"/>
      <w:r>
        <w:rPr>
          <w:rFonts w:hint="eastAsia" w:ascii="黑体" w:hAnsi="黑体" w:eastAsia="黑体" w:cs="黑体"/>
          <w:b/>
          <w:sz w:val="32"/>
          <w:szCs w:val="32"/>
        </w:rPr>
        <w:instrText xml:space="preserve">分项绩效目标</w:instrText>
      </w:r>
      <w:bookmarkEnd w:id="2"/>
      <w:r>
        <w:rPr>
          <w:rFonts w:hint="eastAsia" w:ascii="黑体" w:hAnsi="黑体" w:eastAsia="黑体" w:cs="黑体"/>
          <w:b/>
          <w:sz w:val="32"/>
          <w:szCs w:val="32"/>
        </w:rPr>
        <w:instrText xml:space="preserve"> \f A \l 1 </w:instrText>
      </w:r>
      <w:r>
        <w:rPr>
          <w:rFonts w:hint="eastAsia" w:ascii="黑体" w:hAnsi="黑体" w:eastAsia="黑体" w:cs="黑体"/>
          <w:b/>
          <w:sz w:val="32"/>
          <w:szCs w:val="32"/>
        </w:rPr>
        <w:fldChar w:fldCharType="end"/>
      </w:r>
    </w:p>
    <w:p>
      <w:pPr>
        <w:spacing w:line="580" w:lineRule="exact"/>
        <w:rPr>
          <w:rFonts w:hint="eastAsia" w:ascii="仿宋" w:hAnsi="仿宋" w:eastAsia="仿宋" w:cs="仿宋"/>
          <w:b/>
          <w:bCs/>
          <w:sz w:val="32"/>
          <w:szCs w:val="32"/>
          <w:lang w:val="en-US" w:eastAsia="zh-CN"/>
        </w:rPr>
      </w:pPr>
      <w:r>
        <w:rPr>
          <w:rFonts w:hint="eastAsia" w:ascii="仿宋" w:hAnsi="仿宋" w:eastAsia="仿宋" w:cs="仿宋"/>
          <w:b/>
          <w:bCs/>
          <w:sz w:val="32"/>
          <w:szCs w:val="32"/>
        </w:rPr>
        <w:t>（一）</w:t>
      </w:r>
      <w:r>
        <w:rPr>
          <w:rFonts w:hint="eastAsia" w:ascii="仿宋" w:hAnsi="仿宋" w:eastAsia="仿宋" w:cs="仿宋"/>
          <w:b/>
          <w:bCs/>
          <w:sz w:val="32"/>
          <w:szCs w:val="32"/>
          <w:lang w:eastAsia="zh-CN"/>
        </w:rPr>
        <w:t>加强文艺家协会组织建设</w:t>
      </w:r>
      <w:r>
        <w:rPr>
          <w:rFonts w:hint="eastAsia" w:ascii="仿宋" w:hAnsi="仿宋" w:eastAsia="仿宋" w:cs="仿宋"/>
          <w:b/>
          <w:bCs/>
          <w:sz w:val="32"/>
          <w:szCs w:val="32"/>
          <w:lang w:val="en-US" w:eastAsia="zh-CN"/>
        </w:rPr>
        <w:t>,培养文艺人才。</w:t>
      </w:r>
    </w:p>
    <w:p>
      <w:pPr>
        <w:tabs>
          <w:tab w:val="left" w:pos="2745"/>
        </w:tabs>
        <w:spacing w:line="580" w:lineRule="exact"/>
        <w:ind w:firstLine="630"/>
        <w:rPr>
          <w:rFonts w:hint="eastAsia" w:ascii="仿宋" w:hAnsi="仿宋" w:eastAsia="仿宋" w:cs="仿宋"/>
          <w:b w:val="0"/>
          <w:bCs w:val="0"/>
          <w:sz w:val="32"/>
          <w:szCs w:val="32"/>
        </w:rPr>
      </w:pPr>
      <w:r>
        <w:rPr>
          <w:rFonts w:hint="eastAsia" w:ascii="仿宋" w:hAnsi="仿宋" w:eastAsia="仿宋" w:cs="仿宋"/>
          <w:b w:val="0"/>
          <w:bCs w:val="0"/>
          <w:sz w:val="32"/>
          <w:szCs w:val="32"/>
        </w:rPr>
        <w:t>绩效目标：推进协会管理科学规范、保障文联正常有序运行，召开联络会议，组织会员活动，加大培训力度，为文艺事业健康快速发展提供组织保障。</w:t>
      </w:r>
      <w:r>
        <w:rPr>
          <w:rFonts w:hint="eastAsia" w:ascii="仿宋" w:hAnsi="仿宋" w:eastAsia="仿宋" w:cs="仿宋"/>
          <w:b w:val="0"/>
          <w:bCs w:val="0"/>
          <w:sz w:val="32"/>
          <w:szCs w:val="32"/>
        </w:rPr>
        <w:tab/>
      </w:r>
    </w:p>
    <w:p>
      <w:pPr>
        <w:spacing w:line="580" w:lineRule="exact"/>
        <w:ind w:firstLine="630"/>
        <w:rPr>
          <w:rFonts w:hint="default" w:ascii="仿宋" w:hAnsi="仿宋" w:eastAsia="仿宋" w:cs="仿宋"/>
          <w:b w:val="0"/>
          <w:bCs w:val="0"/>
          <w:sz w:val="32"/>
          <w:szCs w:val="32"/>
          <w:lang w:val="en-US" w:eastAsia="zh-CN"/>
        </w:rPr>
      </w:pPr>
      <w:r>
        <w:rPr>
          <w:rFonts w:hint="eastAsia" w:ascii="仿宋" w:hAnsi="仿宋" w:eastAsia="仿宋" w:cs="仿宋"/>
          <w:b w:val="0"/>
          <w:bCs w:val="0"/>
          <w:sz w:val="32"/>
          <w:szCs w:val="32"/>
        </w:rPr>
        <w:t>绩效指标：</w:t>
      </w:r>
      <w:r>
        <w:rPr>
          <w:rFonts w:hint="eastAsia" w:ascii="仿宋" w:hAnsi="仿宋" w:eastAsia="仿宋" w:cs="仿宋"/>
          <w:b w:val="0"/>
          <w:bCs w:val="0"/>
          <w:sz w:val="32"/>
          <w:szCs w:val="32"/>
          <w:lang w:val="en-US" w:eastAsia="zh-CN"/>
        </w:rPr>
        <w:t>召开协会会议，加强会员管理，举办会员活动，维护活动场所，建设文艺人才资源库，组织文艺研修，提高广大文艺工作者的政治、业务素质。保障机关正常运行。文艺人才入省市文艺人才网资源库人数每年3人以上，，组织各类文艺活动8次以上，参加省市研修人数6人以上。</w:t>
      </w:r>
    </w:p>
    <w:p>
      <w:pPr>
        <w:spacing w:line="580" w:lineRule="exact"/>
        <w:rPr>
          <w:rFonts w:hint="eastAsia" w:ascii="仿宋" w:hAnsi="仿宋" w:eastAsia="仿宋" w:cs="仿宋"/>
          <w:b/>
          <w:bCs/>
          <w:sz w:val="32"/>
          <w:szCs w:val="32"/>
          <w:lang w:eastAsia="zh-CN"/>
        </w:rPr>
      </w:pPr>
      <w:r>
        <w:rPr>
          <w:rFonts w:hint="eastAsia" w:ascii="仿宋" w:hAnsi="仿宋" w:eastAsia="仿宋" w:cs="仿宋"/>
          <w:b/>
          <w:bCs/>
          <w:sz w:val="32"/>
          <w:szCs w:val="32"/>
        </w:rPr>
        <w:t>（二）</w:t>
      </w:r>
      <w:r>
        <w:rPr>
          <w:rFonts w:hint="eastAsia" w:ascii="仿宋" w:hAnsi="仿宋" w:eastAsia="仿宋" w:cs="仿宋"/>
          <w:b/>
          <w:bCs/>
          <w:sz w:val="32"/>
          <w:szCs w:val="32"/>
          <w:lang w:eastAsia="zh-CN"/>
        </w:rPr>
        <w:t>开展文艺家艺术创作，打造文艺精品。</w:t>
      </w:r>
    </w:p>
    <w:p>
      <w:pPr>
        <w:spacing w:line="580" w:lineRule="exact"/>
        <w:ind w:firstLine="630"/>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rPr>
        <w:t>绩效目标：完善文艺精品扶持和奖励机制，论证确定一批既有本地地域特色，又具备创作空间和社会影响力的题材</w:t>
      </w:r>
      <w:r>
        <w:rPr>
          <w:rFonts w:hint="eastAsia" w:ascii="仿宋" w:hAnsi="仿宋" w:eastAsia="仿宋" w:cs="仿宋"/>
          <w:b w:val="0"/>
          <w:bCs w:val="0"/>
          <w:sz w:val="32"/>
          <w:szCs w:val="32"/>
          <w:lang w:eastAsia="zh-CN"/>
        </w:rPr>
        <w:t>。</w:t>
      </w:r>
    </w:p>
    <w:p>
      <w:pPr>
        <w:spacing w:line="580" w:lineRule="exact"/>
        <w:ind w:firstLine="630"/>
        <w:rPr>
          <w:rFonts w:hint="default" w:ascii="仿宋" w:hAnsi="仿宋" w:eastAsia="仿宋" w:cs="仿宋"/>
          <w:b w:val="0"/>
          <w:bCs w:val="0"/>
          <w:sz w:val="32"/>
          <w:szCs w:val="32"/>
          <w:lang w:val="en-US" w:eastAsia="zh-CN"/>
        </w:rPr>
      </w:pPr>
      <w:r>
        <w:rPr>
          <w:rFonts w:hint="eastAsia" w:ascii="仿宋" w:hAnsi="仿宋" w:eastAsia="仿宋" w:cs="仿宋"/>
          <w:b w:val="0"/>
          <w:bCs w:val="0"/>
          <w:sz w:val="32"/>
          <w:szCs w:val="32"/>
        </w:rPr>
        <w:t>绩效指标：组织艺术家深入生活，打造艺术精品。举办文艺活动，积极申报文艺奖项、组织好区内评奖，弘扬优秀传统文化，推动文化强区建设。组织艺术家创作次数</w:t>
      </w:r>
      <w:r>
        <w:rPr>
          <w:rFonts w:hint="eastAsia" w:ascii="仿宋" w:hAnsi="仿宋" w:eastAsia="仿宋" w:cs="仿宋"/>
          <w:b w:val="0"/>
          <w:bCs w:val="0"/>
          <w:sz w:val="32"/>
          <w:szCs w:val="32"/>
          <w:lang w:eastAsia="zh-CN"/>
        </w:rPr>
        <w:t>，每年</w:t>
      </w:r>
      <w:r>
        <w:rPr>
          <w:rFonts w:hint="eastAsia" w:ascii="仿宋" w:hAnsi="仿宋" w:eastAsia="仿宋" w:cs="仿宋"/>
          <w:b w:val="0"/>
          <w:bCs w:val="0"/>
          <w:sz w:val="32"/>
          <w:szCs w:val="32"/>
          <w:lang w:val="en-US" w:eastAsia="zh-CN"/>
        </w:rPr>
        <w:t>4次及以上。</w:t>
      </w:r>
      <w:r>
        <w:rPr>
          <w:rFonts w:hint="eastAsia" w:ascii="仿宋" w:hAnsi="仿宋" w:eastAsia="仿宋" w:cs="仿宋"/>
          <w:b w:val="0"/>
          <w:bCs w:val="0"/>
          <w:sz w:val="32"/>
          <w:szCs w:val="32"/>
        </w:rPr>
        <w:t>组织研讨推介活动次数</w:t>
      </w:r>
      <w:r>
        <w:rPr>
          <w:rFonts w:hint="eastAsia" w:ascii="仿宋" w:hAnsi="仿宋" w:eastAsia="仿宋" w:cs="仿宋"/>
          <w:b w:val="0"/>
          <w:bCs w:val="0"/>
          <w:sz w:val="32"/>
          <w:szCs w:val="32"/>
          <w:lang w:eastAsia="zh-CN"/>
        </w:rPr>
        <w:t>，每年</w:t>
      </w:r>
      <w:r>
        <w:rPr>
          <w:rFonts w:hint="eastAsia" w:ascii="仿宋" w:hAnsi="仿宋" w:eastAsia="仿宋" w:cs="仿宋"/>
          <w:b w:val="0"/>
          <w:bCs w:val="0"/>
          <w:sz w:val="32"/>
          <w:szCs w:val="32"/>
          <w:lang w:val="en-US" w:eastAsia="zh-CN"/>
        </w:rPr>
        <w:t>3次及以上。生产文艺精品数量2个以上。</w:t>
      </w:r>
    </w:p>
    <w:p>
      <w:pPr>
        <w:spacing w:line="580" w:lineRule="exact"/>
        <w:rPr>
          <w:rFonts w:hint="eastAsia" w:ascii="仿宋" w:hAnsi="仿宋" w:eastAsia="仿宋" w:cs="仿宋"/>
          <w:b/>
          <w:bCs/>
          <w:sz w:val="32"/>
          <w:szCs w:val="32"/>
          <w:lang w:eastAsia="zh-CN"/>
        </w:rPr>
      </w:pPr>
      <w:r>
        <w:rPr>
          <w:rFonts w:hint="eastAsia" w:ascii="仿宋" w:hAnsi="仿宋" w:eastAsia="仿宋" w:cs="仿宋"/>
          <w:b/>
          <w:bCs/>
          <w:sz w:val="32"/>
          <w:szCs w:val="32"/>
        </w:rPr>
        <w:t>（</w:t>
      </w:r>
      <w:r>
        <w:rPr>
          <w:rFonts w:hint="eastAsia" w:ascii="仿宋" w:hAnsi="仿宋" w:eastAsia="仿宋" w:cs="仿宋"/>
          <w:b/>
          <w:bCs/>
          <w:sz w:val="32"/>
          <w:szCs w:val="32"/>
          <w:lang w:eastAsia="zh-CN"/>
        </w:rPr>
        <w:t>三</w:t>
      </w:r>
      <w:r>
        <w:rPr>
          <w:rFonts w:hint="eastAsia" w:ascii="仿宋" w:hAnsi="仿宋" w:eastAsia="仿宋" w:cs="仿宋"/>
          <w:b/>
          <w:bCs/>
          <w:sz w:val="32"/>
          <w:szCs w:val="32"/>
        </w:rPr>
        <w:t>）</w:t>
      </w:r>
      <w:r>
        <w:rPr>
          <w:rFonts w:hint="eastAsia" w:ascii="仿宋" w:hAnsi="仿宋" w:eastAsia="仿宋" w:cs="仿宋"/>
          <w:b/>
          <w:bCs/>
          <w:sz w:val="32"/>
          <w:szCs w:val="32"/>
          <w:lang w:eastAsia="zh-CN"/>
        </w:rPr>
        <w:t>做好文艺宣传工作，文化氛围进一步提升。</w:t>
      </w:r>
    </w:p>
    <w:p>
      <w:pPr>
        <w:spacing w:line="580" w:lineRule="exact"/>
        <w:ind w:firstLine="630"/>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rPr>
        <w:t>绩效目标：</w:t>
      </w:r>
      <w:r>
        <w:rPr>
          <w:rFonts w:hint="eastAsia" w:ascii="仿宋" w:hAnsi="仿宋" w:eastAsia="仿宋" w:cs="仿宋"/>
          <w:b w:val="0"/>
          <w:bCs w:val="0"/>
          <w:sz w:val="32"/>
          <w:szCs w:val="32"/>
          <w:lang w:eastAsia="zh-CN"/>
        </w:rPr>
        <w:t>进一步</w:t>
      </w:r>
      <w:r>
        <w:rPr>
          <w:rFonts w:hint="eastAsia" w:ascii="仿宋" w:hAnsi="仿宋" w:eastAsia="仿宋" w:cs="仿宋"/>
          <w:b w:val="0"/>
          <w:bCs w:val="0"/>
          <w:sz w:val="32"/>
          <w:szCs w:val="32"/>
        </w:rPr>
        <w:t>扩大文艺工作的覆盖面和社会影响力</w:t>
      </w:r>
      <w:r>
        <w:rPr>
          <w:rFonts w:hint="eastAsia" w:ascii="仿宋" w:hAnsi="仿宋" w:eastAsia="仿宋" w:cs="仿宋"/>
          <w:b w:val="0"/>
          <w:bCs w:val="0"/>
          <w:sz w:val="32"/>
          <w:szCs w:val="32"/>
          <w:lang w:eastAsia="zh-CN"/>
        </w:rPr>
        <w:t>。</w:t>
      </w:r>
    </w:p>
    <w:p>
      <w:pPr>
        <w:spacing w:line="580" w:lineRule="exact"/>
        <w:ind w:firstLine="63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rPr>
        <w:t>绩效指标：广泛利用媒体多种形式推介优秀作品。营造积极向上的文化氛围</w:t>
      </w:r>
      <w:r>
        <w:rPr>
          <w:rFonts w:hint="eastAsia" w:ascii="仿宋" w:hAnsi="仿宋" w:eastAsia="仿宋" w:cs="仿宋"/>
          <w:b w:val="0"/>
          <w:bCs w:val="0"/>
          <w:sz w:val="32"/>
          <w:szCs w:val="32"/>
          <w:lang w:eastAsia="zh-CN"/>
        </w:rPr>
        <w:t>。</w:t>
      </w:r>
      <w:r>
        <w:rPr>
          <w:rFonts w:hint="eastAsia" w:ascii="仿宋" w:hAnsi="仿宋" w:eastAsia="仿宋" w:cs="仿宋"/>
          <w:b w:val="0"/>
          <w:bCs w:val="0"/>
          <w:sz w:val="32"/>
          <w:szCs w:val="32"/>
        </w:rPr>
        <w:t>媒体宣传、信息数量（篇）</w:t>
      </w:r>
      <w:r>
        <w:rPr>
          <w:rFonts w:hint="eastAsia" w:ascii="仿宋" w:hAnsi="仿宋" w:eastAsia="仿宋" w:cs="仿宋"/>
          <w:b w:val="0"/>
          <w:bCs w:val="0"/>
          <w:sz w:val="32"/>
          <w:szCs w:val="32"/>
          <w:lang w:eastAsia="zh-CN"/>
        </w:rPr>
        <w:t>，每年不少于</w:t>
      </w:r>
      <w:r>
        <w:rPr>
          <w:rFonts w:hint="eastAsia" w:ascii="仿宋" w:hAnsi="仿宋" w:eastAsia="仿宋" w:cs="仿宋"/>
          <w:b w:val="0"/>
          <w:bCs w:val="0"/>
          <w:sz w:val="32"/>
          <w:szCs w:val="32"/>
          <w:lang w:val="en-US" w:eastAsia="zh-CN"/>
        </w:rPr>
        <w:t>3篇</w:t>
      </w:r>
    </w:p>
    <w:p>
      <w:pPr>
        <w:spacing w:line="580" w:lineRule="exact"/>
        <w:rPr>
          <w:rFonts w:hint="default" w:ascii="仿宋" w:hAnsi="仿宋" w:eastAsia="仿宋" w:cs="仿宋"/>
          <w:b w:val="0"/>
          <w:bCs w:val="0"/>
          <w:sz w:val="32"/>
          <w:szCs w:val="32"/>
          <w:lang w:val="en-US" w:eastAsia="zh-CN"/>
        </w:rPr>
      </w:pPr>
      <w:r>
        <w:rPr>
          <w:rFonts w:hint="eastAsia" w:ascii="仿宋" w:hAnsi="仿宋" w:eastAsia="仿宋" w:cs="仿宋"/>
          <w:b/>
          <w:bCs/>
          <w:sz w:val="32"/>
          <w:szCs w:val="32"/>
          <w:lang w:val="en-US" w:eastAsia="zh-CN"/>
        </w:rPr>
        <w:t>（四）进一步加强文化交流活动</w:t>
      </w:r>
      <w:r>
        <w:rPr>
          <w:rFonts w:hint="eastAsia" w:ascii="仿宋" w:hAnsi="仿宋" w:eastAsia="仿宋" w:cs="仿宋"/>
          <w:b w:val="0"/>
          <w:bCs w:val="0"/>
          <w:sz w:val="32"/>
          <w:szCs w:val="32"/>
          <w:lang w:val="en-US" w:eastAsia="zh-CN"/>
        </w:rPr>
        <w:t>。</w:t>
      </w:r>
    </w:p>
    <w:p>
      <w:pPr>
        <w:spacing w:line="580" w:lineRule="exact"/>
        <w:ind w:firstLine="630"/>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rPr>
        <w:t>绩效目标：完成文化交流计划，促进区域文化艺术的影响力和美誉度进一步提高</w:t>
      </w:r>
      <w:r>
        <w:rPr>
          <w:rFonts w:hint="eastAsia" w:ascii="仿宋" w:hAnsi="仿宋" w:eastAsia="仿宋" w:cs="仿宋"/>
          <w:b w:val="0"/>
          <w:bCs w:val="0"/>
          <w:sz w:val="32"/>
          <w:szCs w:val="32"/>
          <w:lang w:eastAsia="zh-CN"/>
        </w:rPr>
        <w:t>。</w:t>
      </w:r>
    </w:p>
    <w:p>
      <w:pPr>
        <w:spacing w:line="580" w:lineRule="exact"/>
        <w:ind w:firstLine="63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rPr>
        <w:t>绩效指标：积极参加文化交流活动，提高区域文化凝聚力和影响力</w:t>
      </w:r>
      <w:r>
        <w:rPr>
          <w:rFonts w:hint="eastAsia" w:ascii="仿宋" w:hAnsi="仿宋" w:eastAsia="仿宋" w:cs="仿宋"/>
          <w:b w:val="0"/>
          <w:bCs w:val="0"/>
          <w:sz w:val="32"/>
          <w:szCs w:val="32"/>
          <w:lang w:eastAsia="zh-CN"/>
        </w:rPr>
        <w:t>。</w:t>
      </w:r>
      <w:r>
        <w:rPr>
          <w:rFonts w:hint="eastAsia" w:ascii="仿宋" w:hAnsi="仿宋" w:eastAsia="仿宋" w:cs="仿宋"/>
          <w:b w:val="0"/>
          <w:bCs w:val="0"/>
          <w:sz w:val="32"/>
          <w:szCs w:val="32"/>
        </w:rPr>
        <w:t>组织民间文化交流次数（次）</w:t>
      </w:r>
      <w:r>
        <w:rPr>
          <w:rFonts w:hint="eastAsia" w:ascii="仿宋" w:hAnsi="仿宋" w:eastAsia="仿宋" w:cs="仿宋"/>
          <w:b w:val="0"/>
          <w:bCs w:val="0"/>
          <w:sz w:val="32"/>
          <w:szCs w:val="32"/>
          <w:lang w:eastAsia="zh-CN"/>
        </w:rPr>
        <w:t>，每年</w:t>
      </w:r>
      <w:r>
        <w:rPr>
          <w:rFonts w:hint="eastAsia" w:ascii="仿宋" w:hAnsi="仿宋" w:eastAsia="仿宋" w:cs="仿宋"/>
          <w:b w:val="0"/>
          <w:bCs w:val="0"/>
          <w:sz w:val="32"/>
          <w:szCs w:val="32"/>
          <w:lang w:val="en-US" w:eastAsia="zh-CN"/>
        </w:rPr>
        <w:t>3次以上。</w:t>
      </w:r>
    </w:p>
    <w:p>
      <w:pPr>
        <w:autoSpaceDE w:val="0"/>
        <w:autoSpaceDN w:val="0"/>
        <w:adjustRightInd w:val="0"/>
        <w:jc w:val="left"/>
        <w:rPr>
          <w:rFonts w:hint="eastAsia" w:ascii="黑体" w:hAnsi="黑体" w:eastAsia="黑体" w:cs="黑体"/>
          <w:b/>
          <w:sz w:val="32"/>
          <w:szCs w:val="32"/>
        </w:rPr>
      </w:pPr>
      <w:r>
        <w:rPr>
          <w:rFonts w:hint="eastAsia" w:ascii="黑体" w:hAnsi="黑体" w:eastAsia="黑体" w:cs="黑体"/>
          <w:b/>
          <w:sz w:val="32"/>
          <w:szCs w:val="32"/>
        </w:rPr>
        <w:t>（三）工作保障措施</w:t>
      </w:r>
      <w:r>
        <w:rPr>
          <w:rFonts w:hint="eastAsia" w:ascii="黑体" w:hAnsi="黑体" w:eastAsia="黑体" w:cs="黑体"/>
          <w:b/>
          <w:sz w:val="32"/>
          <w:szCs w:val="32"/>
        </w:rPr>
        <w:fldChar w:fldCharType="begin"/>
      </w:r>
      <w:r>
        <w:rPr>
          <w:rFonts w:hint="eastAsia" w:ascii="黑体" w:hAnsi="黑体" w:eastAsia="黑体" w:cs="黑体"/>
          <w:b/>
          <w:sz w:val="32"/>
          <w:szCs w:val="32"/>
        </w:rPr>
        <w:instrText xml:space="preserve"> TC </w:instrText>
      </w:r>
      <w:bookmarkStart w:id="3" w:name="_Toc29484630"/>
      <w:r>
        <w:rPr>
          <w:rFonts w:hint="eastAsia" w:ascii="黑体" w:hAnsi="黑体" w:eastAsia="黑体" w:cs="黑体"/>
          <w:b/>
          <w:sz w:val="32"/>
          <w:szCs w:val="32"/>
        </w:rPr>
        <w:instrText xml:space="preserve">工作保障措施</w:instrText>
      </w:r>
      <w:bookmarkEnd w:id="3"/>
      <w:r>
        <w:rPr>
          <w:rFonts w:hint="eastAsia" w:ascii="黑体" w:hAnsi="黑体" w:eastAsia="黑体" w:cs="黑体"/>
          <w:b/>
          <w:sz w:val="32"/>
          <w:szCs w:val="32"/>
        </w:rPr>
        <w:instrText xml:space="preserve"> \f A \l 1 </w:instrText>
      </w:r>
      <w:r>
        <w:rPr>
          <w:rFonts w:hint="eastAsia" w:ascii="黑体" w:hAnsi="黑体" w:eastAsia="黑体" w:cs="黑体"/>
          <w:b/>
          <w:sz w:val="32"/>
          <w:szCs w:val="32"/>
        </w:rPr>
        <w:fldChar w:fldCharType="end"/>
      </w:r>
    </w:p>
    <w:p>
      <w:pPr>
        <w:ind w:firstLine="643" w:firstLineChars="200"/>
        <w:rPr>
          <w:rFonts w:hint="eastAsia" w:ascii="仿宋" w:hAnsi="仿宋" w:eastAsia="仿宋" w:cs="仿宋"/>
          <w:b/>
          <w:bCs/>
          <w:sz w:val="32"/>
          <w:szCs w:val="32"/>
          <w:lang w:eastAsia="zh-CN"/>
        </w:rPr>
      </w:pPr>
      <w:r>
        <w:rPr>
          <w:rFonts w:hint="eastAsia" w:ascii="仿宋" w:hAnsi="仿宋" w:eastAsia="仿宋" w:cs="仿宋"/>
          <w:b/>
          <w:bCs/>
          <w:sz w:val="32"/>
          <w:szCs w:val="32"/>
        </w:rPr>
        <w:t>1、加强文艺家协会组织建设，筑牢文艺工作根基</w:t>
      </w:r>
      <w:r>
        <w:rPr>
          <w:rFonts w:hint="eastAsia" w:ascii="仿宋" w:hAnsi="仿宋" w:eastAsia="仿宋" w:cs="仿宋"/>
          <w:b/>
          <w:bCs/>
          <w:sz w:val="32"/>
          <w:szCs w:val="32"/>
          <w:lang w:eastAsia="zh-CN"/>
        </w:rPr>
        <w:t>，提供组织保障</w:t>
      </w:r>
    </w:p>
    <w:p>
      <w:pPr>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建章立制，出台</w:t>
      </w:r>
      <w:r>
        <w:rPr>
          <w:rFonts w:hint="eastAsia" w:ascii="仿宋" w:hAnsi="仿宋" w:eastAsia="仿宋"/>
          <w:sz w:val="32"/>
          <w:szCs w:val="32"/>
        </w:rPr>
        <w:t>《藁城区文联关于对所属协会加强管理的意见》</w:t>
      </w:r>
      <w:r>
        <w:rPr>
          <w:rFonts w:hint="eastAsia" w:ascii="仿宋" w:hAnsi="仿宋" w:eastAsia="仿宋"/>
          <w:sz w:val="32"/>
          <w:szCs w:val="32"/>
          <w:lang w:eastAsia="zh-CN"/>
        </w:rPr>
        <w:t>，</w:t>
      </w:r>
      <w:r>
        <w:rPr>
          <w:rFonts w:hint="eastAsia" w:ascii="仿宋" w:hAnsi="仿宋" w:eastAsia="仿宋"/>
          <w:sz w:val="32"/>
          <w:szCs w:val="32"/>
        </w:rPr>
        <w:t>分别从组织管理、活动管理、会员管理、档案管理、考评管理等五个方面，对</w:t>
      </w:r>
      <w:r>
        <w:rPr>
          <w:rFonts w:hint="eastAsia" w:ascii="仿宋" w:hAnsi="仿宋" w:eastAsia="仿宋"/>
          <w:sz w:val="32"/>
          <w:szCs w:val="32"/>
          <w:lang w:eastAsia="zh-CN"/>
        </w:rPr>
        <w:t>十二大</w:t>
      </w:r>
      <w:r>
        <w:rPr>
          <w:rFonts w:hint="eastAsia" w:ascii="仿宋" w:hAnsi="仿宋" w:eastAsia="仿宋"/>
          <w:sz w:val="32"/>
          <w:szCs w:val="32"/>
        </w:rPr>
        <w:t>协会日常管理提出了具体要求，实现了所属各协会的管理科学化、规范化。</w:t>
      </w:r>
      <w:r>
        <w:rPr>
          <w:rFonts w:hint="eastAsia" w:ascii="仿宋" w:hAnsi="仿宋" w:eastAsia="仿宋" w:cs="仿宋"/>
          <w:sz w:val="32"/>
          <w:szCs w:val="32"/>
        </w:rPr>
        <w:t>把培养文学艺术人才作为一项基础工程、战略工程来抓</w:t>
      </w:r>
      <w:r>
        <w:rPr>
          <w:rFonts w:hint="eastAsia" w:ascii="仿宋" w:hAnsi="仿宋" w:eastAsia="仿宋" w:cs="仿宋"/>
          <w:sz w:val="32"/>
          <w:szCs w:val="32"/>
          <w:lang w:eastAsia="zh-CN"/>
        </w:rPr>
        <w:t>，</w:t>
      </w:r>
      <w:r>
        <w:rPr>
          <w:rFonts w:hint="eastAsia" w:ascii="仿宋" w:hAnsi="仿宋" w:eastAsia="仿宋" w:cs="仿宋"/>
          <w:sz w:val="32"/>
          <w:szCs w:val="32"/>
        </w:rPr>
        <w:t>建设一支团结和谐、德艺双馨、富有活力的文艺队伍。每年召开一次文学艺术界大会，积极探索文联、协会工作的新路子，切实把全区文艺工作者团结好组织好，积极投身文化强区建设之中。</w:t>
      </w:r>
    </w:p>
    <w:p>
      <w:pPr>
        <w:ind w:firstLine="643" w:firstLineChars="200"/>
        <w:rPr>
          <w:rFonts w:hint="eastAsia" w:ascii="仿宋" w:hAnsi="仿宋" w:eastAsia="仿宋" w:cs="仿宋"/>
          <w:b/>
          <w:bCs/>
          <w:sz w:val="32"/>
          <w:szCs w:val="32"/>
        </w:rPr>
      </w:pPr>
      <w:r>
        <w:rPr>
          <w:rFonts w:hint="eastAsia" w:ascii="仿宋" w:hAnsi="仿宋" w:eastAsia="仿宋" w:cs="仿宋"/>
          <w:b/>
          <w:bCs/>
          <w:sz w:val="32"/>
          <w:szCs w:val="32"/>
        </w:rPr>
        <w:t>2、</w:t>
      </w:r>
      <w:r>
        <w:rPr>
          <w:rFonts w:hint="eastAsia" w:ascii="仿宋" w:hAnsi="仿宋" w:eastAsia="仿宋" w:cs="仿宋"/>
          <w:b/>
          <w:bCs/>
          <w:sz w:val="32"/>
          <w:szCs w:val="32"/>
          <w:shd w:val="clear" w:color="auto" w:fill="FFFFFF"/>
        </w:rPr>
        <w:t>开展系列文艺活动，打造精品推出人才</w:t>
      </w:r>
    </w:p>
    <w:p>
      <w:pPr>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聘请知名专家学者艺术家对我区重点作品进行指导和推介，参与我区重点文艺作品研讨。举办文艺创作培训班，聘请知名专家和学者进行培训和指导，促进我区文艺人才的脱颖而出。组织艺术家深入生活采风活动，提高文艺工作者的政治觉悟。</w:t>
      </w:r>
    </w:p>
    <w:p>
      <w:pPr>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送文化下基层公益活动，推动我区基层文艺事业的繁荣和发展。举办书法、美术、摄影、舞蹈、音乐等展览及展演，丰富群众文化生活。</w:t>
      </w:r>
    </w:p>
    <w:p>
      <w:pPr>
        <w:ind w:firstLine="643" w:firstLineChars="200"/>
        <w:rPr>
          <w:rFonts w:hint="eastAsia" w:ascii="仿宋" w:hAnsi="仿宋" w:eastAsia="仿宋" w:cs="仿宋"/>
          <w:b/>
          <w:bCs/>
          <w:sz w:val="32"/>
          <w:szCs w:val="32"/>
          <w:lang w:eastAsia="zh-CN"/>
        </w:rPr>
      </w:pPr>
      <w:r>
        <w:rPr>
          <w:rFonts w:hint="eastAsia" w:ascii="仿宋" w:hAnsi="仿宋" w:eastAsia="仿宋" w:cs="仿宋"/>
          <w:b/>
          <w:bCs/>
          <w:sz w:val="32"/>
          <w:szCs w:val="32"/>
          <w:lang w:val="en-US" w:eastAsia="zh-CN"/>
        </w:rPr>
        <w:t>3、</w:t>
      </w:r>
      <w:r>
        <w:rPr>
          <w:rFonts w:hint="eastAsia" w:ascii="仿宋" w:hAnsi="仿宋" w:eastAsia="仿宋" w:cs="仿宋"/>
          <w:b/>
          <w:bCs/>
          <w:sz w:val="32"/>
          <w:szCs w:val="32"/>
          <w:lang w:eastAsia="zh-CN"/>
        </w:rPr>
        <w:t>强化自身建设，提高为民服务能力</w:t>
      </w:r>
    </w:p>
    <w:p>
      <w:pPr>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加强文联机关建设，加强对文化活动场所维护，开展各方面、多形式的服务工作，为文艺工作者提供良好的工作条件和创作环境。</w:t>
      </w:r>
    </w:p>
    <w:p>
      <w:pPr>
        <w:spacing w:line="500" w:lineRule="exact"/>
        <w:ind w:firstLine="560"/>
        <w:rPr>
          <w:rFonts w:hint="eastAsia" w:ascii="仿宋" w:hAnsi="仿宋" w:eastAsia="仿宋" w:cs="仿宋"/>
          <w:sz w:val="32"/>
          <w:szCs w:val="32"/>
          <w:lang w:val="en-US" w:eastAsia="zh-CN"/>
        </w:rPr>
      </w:pPr>
    </w:p>
    <w:p>
      <w:pPr>
        <w:autoSpaceDE w:val="0"/>
        <w:autoSpaceDN w:val="0"/>
        <w:adjustRightInd w:val="0"/>
        <w:jc w:val="left"/>
        <w:rPr>
          <w:rFonts w:hint="eastAsia" w:ascii="Times New Roman" w:hAnsi="Times New Roman" w:eastAsia="方正仿宋_GBK" w:cs="Times New Roman"/>
          <w:b/>
          <w:sz w:val="32"/>
          <w:szCs w:val="32"/>
        </w:rPr>
      </w:pPr>
    </w:p>
    <w:tbl>
      <w:tblPr>
        <w:tblStyle w:val="3"/>
        <w:tblpPr w:leftFromText="180" w:rightFromText="180" w:vertAnchor="text" w:horzAnchor="page" w:tblpX="1785" w:tblpY="-25"/>
        <w:tblOverlap w:val="never"/>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975"/>
        <w:gridCol w:w="840"/>
        <w:gridCol w:w="1170"/>
        <w:gridCol w:w="1018"/>
        <w:gridCol w:w="992"/>
        <w:gridCol w:w="1230"/>
        <w:gridCol w:w="891"/>
        <w:gridCol w:w="12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75" w:hRule="atLeast"/>
        </w:trPr>
        <w:tc>
          <w:tcPr>
            <w:tcW w:w="5000" w:type="pct"/>
            <w:gridSpan w:val="8"/>
            <w:tcBorders>
              <w:top w:val="nil"/>
              <w:left w:val="nil"/>
              <w:bottom w:val="single" w:color="000000" w:sz="4" w:space="0"/>
              <w:right w:val="nil"/>
            </w:tcBorders>
            <w:noWrap w:val="0"/>
            <w:tcMar>
              <w:top w:w="15" w:type="dxa"/>
              <w:left w:w="15" w:type="dxa"/>
              <w:right w:w="15" w:type="dxa"/>
            </w:tcMar>
            <w:vAlign w:val="center"/>
          </w:tcPr>
          <w:p>
            <w:pPr>
              <w:keepNext w:val="0"/>
              <w:keepLines w:val="0"/>
              <w:widowControl/>
              <w:suppressLineNumbers w:val="0"/>
              <w:jc w:val="both"/>
              <w:textAlignment w:val="center"/>
              <w:rPr>
                <w:rFonts w:hint="eastAsia" w:ascii="黑体" w:hAnsi="黑体" w:eastAsia="黑体" w:cs="黑体"/>
                <w:sz w:val="30"/>
                <w:szCs w:val="30"/>
                <w:lang w:eastAsia="zh-CN"/>
              </w:rPr>
            </w:pPr>
            <w:r>
              <w:rPr>
                <w:rFonts w:hint="eastAsia" w:ascii="黑体" w:hAnsi="黑体" w:eastAsia="黑体" w:cs="黑体"/>
                <w:b/>
                <w:sz w:val="32"/>
                <w:szCs w:val="32"/>
              </w:rPr>
              <w:t>第二部分  预算项目绩效目标</w:t>
            </w:r>
          </w:p>
          <w:p>
            <w:pPr>
              <w:keepNext w:val="0"/>
              <w:keepLines w:val="0"/>
              <w:widowControl/>
              <w:suppressLineNumbers w:val="0"/>
              <w:jc w:val="center"/>
              <w:textAlignment w:val="center"/>
              <w:rPr>
                <w:rFonts w:ascii="黑体" w:hAnsi="宋体" w:eastAsia="黑体" w:cs="黑体"/>
                <w:i w:val="0"/>
                <w:color w:val="000000"/>
                <w:sz w:val="32"/>
                <w:szCs w:val="32"/>
                <w:u w:val="none"/>
              </w:rPr>
            </w:pPr>
            <w:r>
              <w:rPr>
                <w:rFonts w:hint="eastAsia" w:ascii="黑体" w:hAnsi="黑体" w:eastAsia="黑体" w:cs="黑体"/>
                <w:sz w:val="30"/>
                <w:szCs w:val="30"/>
                <w:lang w:eastAsia="zh-CN"/>
              </w:rPr>
              <w:t>石家庄市藁城区文学艺术界联合会</w:t>
            </w:r>
            <w:r>
              <w:rPr>
                <w:rFonts w:hint="eastAsia" w:ascii="黑体" w:hAnsi="黑体" w:eastAsia="黑体" w:cs="黑体"/>
                <w:i w:val="0"/>
                <w:color w:val="000000"/>
                <w:kern w:val="0"/>
                <w:sz w:val="30"/>
                <w:szCs w:val="30"/>
                <w:u w:val="none"/>
                <w:lang w:val="en-US" w:eastAsia="zh-CN" w:bidi="ar"/>
              </w:rPr>
              <w:t>预算项目绩效目标表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48" w:hRule="atLeast"/>
        </w:trPr>
        <w:tc>
          <w:tcPr>
            <w:tcW w:w="584"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项目编码</w:t>
            </w:r>
          </w:p>
        </w:tc>
        <w:tc>
          <w:tcPr>
            <w:tcW w:w="1205" w:type="pct"/>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721-0101-JBN-17OD</w:t>
            </w:r>
          </w:p>
        </w:tc>
        <w:tc>
          <w:tcPr>
            <w:tcW w:w="610"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项目名称</w:t>
            </w:r>
          </w:p>
        </w:tc>
        <w:tc>
          <w:tcPr>
            <w:tcW w:w="2598" w:type="pct"/>
            <w:gridSpan w:val="4"/>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文艺联络交流经费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79" w:hRule="atLeast"/>
        </w:trPr>
        <w:tc>
          <w:tcPr>
            <w:tcW w:w="584" w:type="pct"/>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预算规模及资金用途</w:t>
            </w:r>
          </w:p>
        </w:tc>
        <w:tc>
          <w:tcPr>
            <w:tcW w:w="503"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 xml:space="preserve">预算数    </w:t>
            </w:r>
          </w:p>
        </w:tc>
        <w:tc>
          <w:tcPr>
            <w:tcW w:w="701"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9</w:t>
            </w:r>
          </w:p>
        </w:tc>
        <w:tc>
          <w:tcPr>
            <w:tcW w:w="610"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其中：财政资金</w:t>
            </w:r>
          </w:p>
        </w:tc>
        <w:tc>
          <w:tcPr>
            <w:tcW w:w="59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9</w:t>
            </w:r>
          </w:p>
        </w:tc>
        <w:tc>
          <w:tcPr>
            <w:tcW w:w="737"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其他资金</w:t>
            </w:r>
          </w:p>
        </w:tc>
        <w:tc>
          <w:tcPr>
            <w:tcW w:w="1266" w:type="pct"/>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72" w:hRule="atLeast"/>
        </w:trPr>
        <w:tc>
          <w:tcPr>
            <w:tcW w:w="584" w:type="pct"/>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b/>
                <w:i w:val="0"/>
                <w:color w:val="000000"/>
                <w:sz w:val="20"/>
                <w:szCs w:val="20"/>
                <w:u w:val="none"/>
              </w:rPr>
            </w:pPr>
          </w:p>
        </w:tc>
        <w:tc>
          <w:tcPr>
            <w:tcW w:w="4415" w:type="pct"/>
            <w:gridSpan w:val="7"/>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18"/>
                <w:szCs w:val="18"/>
                <w:u w:val="none"/>
                <w:lang w:val="en-US" w:eastAsia="zh-CN" w:bidi="ar"/>
              </w:rPr>
              <w:t>组织召开区文联和全区文艺家协会代表大会、文联委员会和主席会议，组织召开全区文联系统的工作会议、联络会议。组织会员活动，加大培训力度，培养文艺人才，听取和反映文艺界的情况意见。宣传动员组织广大文艺工作者致力于繁荣发展文艺事业，组织艺术家深入生活，创作优秀作品。组织文艺理论研讨推介和文化交流、学术交流等工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3" w:hRule="atLeast"/>
        </w:trPr>
        <w:tc>
          <w:tcPr>
            <w:tcW w:w="584" w:type="pct"/>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资金支出计划（%）</w:t>
            </w:r>
          </w:p>
        </w:tc>
        <w:tc>
          <w:tcPr>
            <w:tcW w:w="1205" w:type="pct"/>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3月底</w:t>
            </w:r>
          </w:p>
        </w:tc>
        <w:tc>
          <w:tcPr>
            <w:tcW w:w="610"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6月底</w:t>
            </w:r>
          </w:p>
        </w:tc>
        <w:tc>
          <w:tcPr>
            <w:tcW w:w="1332" w:type="pct"/>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10月底</w:t>
            </w:r>
          </w:p>
        </w:tc>
        <w:tc>
          <w:tcPr>
            <w:tcW w:w="1266" w:type="pct"/>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12月底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5" w:hRule="atLeast"/>
        </w:trPr>
        <w:tc>
          <w:tcPr>
            <w:tcW w:w="584" w:type="pct"/>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b/>
                <w:i w:val="0"/>
                <w:color w:val="000000"/>
                <w:sz w:val="20"/>
                <w:szCs w:val="20"/>
                <w:u w:val="none"/>
              </w:rPr>
            </w:pPr>
          </w:p>
        </w:tc>
        <w:tc>
          <w:tcPr>
            <w:tcW w:w="1205" w:type="pct"/>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20</w:t>
            </w:r>
          </w:p>
        </w:tc>
        <w:tc>
          <w:tcPr>
            <w:tcW w:w="610"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50</w:t>
            </w:r>
          </w:p>
        </w:tc>
        <w:tc>
          <w:tcPr>
            <w:tcW w:w="1332" w:type="pct"/>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80</w:t>
            </w:r>
          </w:p>
        </w:tc>
        <w:tc>
          <w:tcPr>
            <w:tcW w:w="1266" w:type="pct"/>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3" w:hRule="atLeast"/>
        </w:trPr>
        <w:tc>
          <w:tcPr>
            <w:tcW w:w="584" w:type="pct"/>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绩效目标</w:t>
            </w:r>
          </w:p>
        </w:tc>
        <w:tc>
          <w:tcPr>
            <w:tcW w:w="503"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目标1</w:t>
            </w:r>
          </w:p>
        </w:tc>
        <w:tc>
          <w:tcPr>
            <w:tcW w:w="3911" w:type="pct"/>
            <w:gridSpan w:val="6"/>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加强文艺家协会组织建设,培养文艺人才。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04" w:hRule="atLeast"/>
        </w:trPr>
        <w:tc>
          <w:tcPr>
            <w:tcW w:w="584" w:type="pct"/>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b/>
                <w:i w:val="0"/>
                <w:color w:val="000000"/>
                <w:sz w:val="20"/>
                <w:szCs w:val="20"/>
                <w:u w:val="none"/>
              </w:rPr>
            </w:pPr>
          </w:p>
        </w:tc>
        <w:tc>
          <w:tcPr>
            <w:tcW w:w="503"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目标2</w:t>
            </w:r>
          </w:p>
        </w:tc>
        <w:tc>
          <w:tcPr>
            <w:tcW w:w="3911" w:type="pct"/>
            <w:gridSpan w:val="6"/>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开展文艺家艺术创作，打造文艺精品。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09" w:hRule="atLeast"/>
        </w:trPr>
        <w:tc>
          <w:tcPr>
            <w:tcW w:w="584" w:type="pct"/>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b/>
                <w:i w:val="0"/>
                <w:color w:val="000000"/>
                <w:sz w:val="20"/>
                <w:szCs w:val="20"/>
                <w:u w:val="none"/>
              </w:rPr>
            </w:pPr>
          </w:p>
        </w:tc>
        <w:tc>
          <w:tcPr>
            <w:tcW w:w="503"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目标3</w:t>
            </w:r>
          </w:p>
        </w:tc>
        <w:tc>
          <w:tcPr>
            <w:tcW w:w="3911" w:type="pct"/>
            <w:gridSpan w:val="6"/>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做好文艺宣传工作，文化氛围进一步提升。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41" w:hRule="atLeast"/>
        </w:trPr>
        <w:tc>
          <w:tcPr>
            <w:tcW w:w="584" w:type="pct"/>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b/>
                <w:i w:val="0"/>
                <w:color w:val="000000"/>
                <w:sz w:val="20"/>
                <w:szCs w:val="20"/>
                <w:u w:val="none"/>
              </w:rPr>
            </w:pPr>
          </w:p>
        </w:tc>
        <w:tc>
          <w:tcPr>
            <w:tcW w:w="503"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目标4</w:t>
            </w:r>
          </w:p>
        </w:tc>
        <w:tc>
          <w:tcPr>
            <w:tcW w:w="3911" w:type="pct"/>
            <w:gridSpan w:val="6"/>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进一步加强文化交流活动。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0" w:hRule="atLeast"/>
        </w:trPr>
        <w:tc>
          <w:tcPr>
            <w:tcW w:w="584" w:type="pct"/>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黑体" w:hAnsi="宋体" w:eastAsia="黑体" w:cs="黑体"/>
                <w:b/>
                <w:i w:val="0"/>
                <w:color w:val="000000"/>
                <w:sz w:val="20"/>
                <w:szCs w:val="20"/>
                <w:u w:val="none"/>
              </w:rPr>
            </w:pPr>
            <w:r>
              <w:rPr>
                <w:rFonts w:hint="eastAsia" w:ascii="黑体" w:hAnsi="宋体" w:eastAsia="黑体" w:cs="黑体"/>
                <w:b/>
                <w:i w:val="0"/>
                <w:color w:val="000000"/>
                <w:kern w:val="0"/>
                <w:sz w:val="20"/>
                <w:szCs w:val="20"/>
                <w:u w:val="none"/>
                <w:lang w:val="en-US" w:eastAsia="zh-CN" w:bidi="ar"/>
              </w:rPr>
              <w:t>一级指标</w:t>
            </w:r>
          </w:p>
        </w:tc>
        <w:tc>
          <w:tcPr>
            <w:tcW w:w="503" w:type="pct"/>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黑体" w:hAnsi="宋体" w:eastAsia="黑体" w:cs="黑体"/>
                <w:b/>
                <w:i w:val="0"/>
                <w:color w:val="000000"/>
                <w:sz w:val="20"/>
                <w:szCs w:val="20"/>
                <w:u w:val="none"/>
              </w:rPr>
            </w:pPr>
            <w:r>
              <w:rPr>
                <w:rFonts w:hint="eastAsia" w:ascii="黑体" w:hAnsi="宋体" w:eastAsia="黑体" w:cs="黑体"/>
                <w:b/>
                <w:i w:val="0"/>
                <w:color w:val="000000"/>
                <w:kern w:val="0"/>
                <w:sz w:val="20"/>
                <w:szCs w:val="20"/>
                <w:u w:val="none"/>
                <w:lang w:val="en-US" w:eastAsia="zh-CN" w:bidi="ar"/>
              </w:rPr>
              <w:t>二级指标</w:t>
            </w:r>
          </w:p>
        </w:tc>
        <w:tc>
          <w:tcPr>
            <w:tcW w:w="701" w:type="pct"/>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黑体" w:hAnsi="宋体" w:eastAsia="黑体" w:cs="黑体"/>
                <w:b/>
                <w:i w:val="0"/>
                <w:color w:val="000000"/>
                <w:sz w:val="20"/>
                <w:szCs w:val="20"/>
                <w:u w:val="none"/>
              </w:rPr>
            </w:pPr>
            <w:r>
              <w:rPr>
                <w:rFonts w:hint="eastAsia" w:ascii="黑体" w:hAnsi="宋体" w:eastAsia="黑体" w:cs="黑体"/>
                <w:b/>
                <w:i w:val="0"/>
                <w:color w:val="000000"/>
                <w:kern w:val="0"/>
                <w:sz w:val="20"/>
                <w:szCs w:val="20"/>
                <w:u w:val="none"/>
                <w:lang w:val="en-US" w:eastAsia="zh-CN" w:bidi="ar"/>
              </w:rPr>
              <w:t>三级指标</w:t>
            </w:r>
          </w:p>
        </w:tc>
        <w:tc>
          <w:tcPr>
            <w:tcW w:w="1943" w:type="pct"/>
            <w:gridSpan w:val="3"/>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黑体" w:hAnsi="宋体" w:eastAsia="黑体" w:cs="黑体"/>
                <w:b/>
                <w:i w:val="0"/>
                <w:color w:val="000000"/>
                <w:sz w:val="20"/>
                <w:szCs w:val="20"/>
                <w:u w:val="none"/>
              </w:rPr>
            </w:pPr>
            <w:r>
              <w:rPr>
                <w:rFonts w:hint="eastAsia" w:ascii="黑体" w:hAnsi="宋体" w:eastAsia="黑体" w:cs="黑体"/>
                <w:b/>
                <w:i w:val="0"/>
                <w:color w:val="000000"/>
                <w:kern w:val="0"/>
                <w:sz w:val="20"/>
                <w:szCs w:val="20"/>
                <w:u w:val="none"/>
                <w:lang w:val="en-US" w:eastAsia="zh-CN" w:bidi="ar"/>
              </w:rPr>
              <w:t>绩效指标描述</w:t>
            </w:r>
          </w:p>
        </w:tc>
        <w:tc>
          <w:tcPr>
            <w:tcW w:w="534" w:type="pct"/>
            <w:vMerge w:val="restart"/>
            <w:tcBorders>
              <w:top w:val="single" w:color="000000" w:sz="4" w:space="0"/>
              <w:left w:val="single" w:color="000000" w:sz="4" w:space="0"/>
              <w:bottom w:val="single" w:color="000000" w:sz="4" w:space="0"/>
              <w:right w:val="nil"/>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黑体" w:hAnsi="宋体" w:eastAsia="黑体" w:cs="黑体"/>
                <w:b/>
                <w:i w:val="0"/>
                <w:color w:val="000000"/>
                <w:sz w:val="20"/>
                <w:szCs w:val="20"/>
                <w:u w:val="none"/>
              </w:rPr>
            </w:pPr>
            <w:r>
              <w:rPr>
                <w:rFonts w:hint="eastAsia" w:ascii="黑体" w:hAnsi="宋体" w:eastAsia="黑体" w:cs="黑体"/>
                <w:b/>
                <w:i w:val="0"/>
                <w:color w:val="000000"/>
                <w:kern w:val="0"/>
                <w:sz w:val="20"/>
                <w:szCs w:val="20"/>
                <w:u w:val="none"/>
                <w:lang w:val="en-US" w:eastAsia="zh-CN" w:bidi="ar"/>
              </w:rPr>
              <w:t>指标值</w:t>
            </w:r>
          </w:p>
        </w:tc>
        <w:tc>
          <w:tcPr>
            <w:tcW w:w="731" w:type="pct"/>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黑体" w:hAnsi="宋体" w:eastAsia="黑体" w:cs="黑体"/>
                <w:b/>
                <w:i w:val="0"/>
                <w:color w:val="000000"/>
                <w:sz w:val="20"/>
                <w:szCs w:val="20"/>
                <w:u w:val="none"/>
              </w:rPr>
            </w:pPr>
            <w:r>
              <w:rPr>
                <w:rFonts w:hint="eastAsia" w:ascii="黑体" w:hAnsi="宋体" w:eastAsia="黑体" w:cs="黑体"/>
                <w:b/>
                <w:i w:val="0"/>
                <w:color w:val="000000"/>
                <w:kern w:val="0"/>
                <w:sz w:val="20"/>
                <w:szCs w:val="20"/>
                <w:u w:val="none"/>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584" w:type="pct"/>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黑体" w:hAnsi="宋体" w:eastAsia="黑体" w:cs="黑体"/>
                <w:b/>
                <w:i w:val="0"/>
                <w:color w:val="000000"/>
                <w:sz w:val="20"/>
                <w:szCs w:val="20"/>
                <w:u w:val="none"/>
              </w:rPr>
            </w:pPr>
          </w:p>
        </w:tc>
        <w:tc>
          <w:tcPr>
            <w:tcW w:w="503" w:type="pct"/>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黑体" w:hAnsi="宋体" w:eastAsia="黑体" w:cs="黑体"/>
                <w:b/>
                <w:i w:val="0"/>
                <w:color w:val="000000"/>
                <w:sz w:val="20"/>
                <w:szCs w:val="20"/>
                <w:u w:val="none"/>
              </w:rPr>
            </w:pPr>
          </w:p>
        </w:tc>
        <w:tc>
          <w:tcPr>
            <w:tcW w:w="701" w:type="pct"/>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黑体" w:hAnsi="宋体" w:eastAsia="黑体" w:cs="黑体"/>
                <w:b/>
                <w:i w:val="0"/>
                <w:color w:val="000000"/>
                <w:sz w:val="20"/>
                <w:szCs w:val="20"/>
                <w:u w:val="none"/>
              </w:rPr>
            </w:pPr>
          </w:p>
        </w:tc>
        <w:tc>
          <w:tcPr>
            <w:tcW w:w="1943" w:type="pct"/>
            <w:gridSpan w:val="3"/>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黑体" w:hAnsi="宋体" w:eastAsia="黑体" w:cs="黑体"/>
                <w:b/>
                <w:i w:val="0"/>
                <w:color w:val="000000"/>
                <w:sz w:val="20"/>
                <w:szCs w:val="20"/>
                <w:u w:val="none"/>
              </w:rPr>
            </w:pPr>
          </w:p>
        </w:tc>
        <w:tc>
          <w:tcPr>
            <w:tcW w:w="534" w:type="pct"/>
            <w:vMerge w:val="continue"/>
            <w:tcBorders>
              <w:top w:val="single" w:color="000000" w:sz="4" w:space="0"/>
              <w:left w:val="single" w:color="000000" w:sz="4" w:space="0"/>
              <w:bottom w:val="single" w:color="000000" w:sz="4" w:space="0"/>
              <w:right w:val="nil"/>
            </w:tcBorders>
            <w:noWrap w:val="0"/>
            <w:tcMar>
              <w:top w:w="15" w:type="dxa"/>
              <w:left w:w="15" w:type="dxa"/>
              <w:right w:w="15" w:type="dxa"/>
            </w:tcMar>
            <w:vAlign w:val="center"/>
          </w:tcPr>
          <w:p>
            <w:pPr>
              <w:jc w:val="center"/>
              <w:rPr>
                <w:rFonts w:hint="eastAsia" w:ascii="黑体" w:hAnsi="宋体" w:eastAsia="黑体" w:cs="黑体"/>
                <w:b/>
                <w:i w:val="0"/>
                <w:color w:val="000000"/>
                <w:sz w:val="20"/>
                <w:szCs w:val="20"/>
                <w:u w:val="none"/>
              </w:rPr>
            </w:pPr>
          </w:p>
        </w:tc>
        <w:tc>
          <w:tcPr>
            <w:tcW w:w="731" w:type="pct"/>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黑体" w:hAnsi="宋体" w:eastAsia="黑体" w:cs="黑体"/>
                <w:b/>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9" w:hRule="atLeast"/>
        </w:trPr>
        <w:tc>
          <w:tcPr>
            <w:tcW w:w="584" w:type="pct"/>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 xml:space="preserve">产出指标 </w:t>
            </w:r>
          </w:p>
        </w:tc>
        <w:tc>
          <w:tcPr>
            <w:tcW w:w="503" w:type="pct"/>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701"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组织活动的场次</w:t>
            </w:r>
          </w:p>
        </w:tc>
        <w:tc>
          <w:tcPr>
            <w:tcW w:w="1943" w:type="pct"/>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举办各艺术门类业务活动场次</w:t>
            </w:r>
          </w:p>
        </w:tc>
        <w:tc>
          <w:tcPr>
            <w:tcW w:w="534"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&gt;=8</w:t>
            </w:r>
          </w:p>
        </w:tc>
        <w:tc>
          <w:tcPr>
            <w:tcW w:w="731"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根据上级要求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4" w:hRule="atLeast"/>
        </w:trPr>
        <w:tc>
          <w:tcPr>
            <w:tcW w:w="584" w:type="pct"/>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b/>
                <w:i w:val="0"/>
                <w:color w:val="000000"/>
                <w:sz w:val="20"/>
                <w:szCs w:val="20"/>
                <w:u w:val="none"/>
              </w:rPr>
            </w:pPr>
          </w:p>
        </w:tc>
        <w:tc>
          <w:tcPr>
            <w:tcW w:w="503" w:type="pct"/>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701"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组织艺术家创作次数</w:t>
            </w:r>
          </w:p>
        </w:tc>
        <w:tc>
          <w:tcPr>
            <w:tcW w:w="1943" w:type="pct"/>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艺术创作次数</w:t>
            </w:r>
          </w:p>
        </w:tc>
        <w:tc>
          <w:tcPr>
            <w:tcW w:w="534"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&gt;=4</w:t>
            </w:r>
          </w:p>
        </w:tc>
        <w:tc>
          <w:tcPr>
            <w:tcW w:w="731"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根据上级要求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48" w:hRule="atLeast"/>
        </w:trPr>
        <w:tc>
          <w:tcPr>
            <w:tcW w:w="584" w:type="pct"/>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b/>
                <w:i w:val="0"/>
                <w:color w:val="000000"/>
                <w:sz w:val="20"/>
                <w:szCs w:val="20"/>
                <w:u w:val="none"/>
              </w:rPr>
            </w:pPr>
          </w:p>
        </w:tc>
        <w:tc>
          <w:tcPr>
            <w:tcW w:w="503" w:type="pct"/>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701"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组织研讨推介活动次数</w:t>
            </w:r>
          </w:p>
        </w:tc>
        <w:tc>
          <w:tcPr>
            <w:tcW w:w="1943" w:type="pct"/>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组织活动次数</w:t>
            </w:r>
          </w:p>
        </w:tc>
        <w:tc>
          <w:tcPr>
            <w:tcW w:w="534"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&gt;=3</w:t>
            </w:r>
          </w:p>
        </w:tc>
        <w:tc>
          <w:tcPr>
            <w:tcW w:w="731"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根据上级要求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48" w:hRule="atLeast"/>
        </w:trPr>
        <w:tc>
          <w:tcPr>
            <w:tcW w:w="584" w:type="pct"/>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b/>
                <w:i w:val="0"/>
                <w:color w:val="000000"/>
                <w:sz w:val="20"/>
                <w:szCs w:val="20"/>
                <w:u w:val="none"/>
              </w:rPr>
            </w:pPr>
          </w:p>
        </w:tc>
        <w:tc>
          <w:tcPr>
            <w:tcW w:w="503" w:type="pct"/>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701"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媒体宣传、信息数量(篇)</w:t>
            </w:r>
          </w:p>
        </w:tc>
        <w:tc>
          <w:tcPr>
            <w:tcW w:w="1943" w:type="pct"/>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对外宣传信息的篇幅</w:t>
            </w:r>
          </w:p>
        </w:tc>
        <w:tc>
          <w:tcPr>
            <w:tcW w:w="534"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731"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根据上级要求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5" w:hRule="atLeast"/>
        </w:trPr>
        <w:tc>
          <w:tcPr>
            <w:tcW w:w="584" w:type="pct"/>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b/>
                <w:i w:val="0"/>
                <w:color w:val="000000"/>
                <w:sz w:val="20"/>
                <w:szCs w:val="20"/>
                <w:u w:val="none"/>
              </w:rPr>
            </w:pPr>
          </w:p>
        </w:tc>
        <w:tc>
          <w:tcPr>
            <w:tcW w:w="503" w:type="pct"/>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701"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组织民间文化交流次数</w:t>
            </w:r>
          </w:p>
        </w:tc>
        <w:tc>
          <w:tcPr>
            <w:tcW w:w="1943" w:type="pct"/>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组织民间文化交流次数</w:t>
            </w:r>
          </w:p>
        </w:tc>
        <w:tc>
          <w:tcPr>
            <w:tcW w:w="534"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&gt;=3</w:t>
            </w:r>
          </w:p>
        </w:tc>
        <w:tc>
          <w:tcPr>
            <w:tcW w:w="731"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根据上级要求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4" w:hRule="atLeast"/>
        </w:trPr>
        <w:tc>
          <w:tcPr>
            <w:tcW w:w="584" w:type="pct"/>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b/>
                <w:i w:val="0"/>
                <w:color w:val="000000"/>
                <w:sz w:val="20"/>
                <w:szCs w:val="20"/>
                <w:u w:val="none"/>
              </w:rPr>
            </w:pPr>
          </w:p>
        </w:tc>
        <w:tc>
          <w:tcPr>
            <w:tcW w:w="503" w:type="pct"/>
            <w:vMerge w:val="continue"/>
            <w:tcBorders>
              <w:top w:val="single" w:color="000000" w:sz="4" w:space="0"/>
              <w:left w:val="single" w:color="000000" w:sz="4" w:space="0"/>
              <w:bottom w:val="single" w:color="auto"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701"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文艺精品生产数量</w:t>
            </w:r>
          </w:p>
        </w:tc>
        <w:tc>
          <w:tcPr>
            <w:tcW w:w="1943" w:type="pct"/>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生产文艺精品的数量</w:t>
            </w:r>
          </w:p>
        </w:tc>
        <w:tc>
          <w:tcPr>
            <w:tcW w:w="534"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w:t>
            </w:r>
          </w:p>
        </w:tc>
        <w:tc>
          <w:tcPr>
            <w:tcW w:w="731"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根据上级要求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3" w:hRule="atLeast"/>
        </w:trPr>
        <w:tc>
          <w:tcPr>
            <w:tcW w:w="584" w:type="pct"/>
            <w:vMerge w:val="continue"/>
            <w:tcBorders>
              <w:top w:val="single" w:color="000000" w:sz="4" w:space="0"/>
              <w:left w:val="single" w:color="000000" w:sz="4" w:space="0"/>
              <w:bottom w:val="single" w:color="000000" w:sz="4" w:space="0"/>
              <w:right w:val="single" w:color="auto" w:sz="4" w:space="0"/>
            </w:tcBorders>
            <w:noWrap w:val="0"/>
            <w:tcMar>
              <w:top w:w="15" w:type="dxa"/>
              <w:left w:w="15" w:type="dxa"/>
              <w:right w:w="15" w:type="dxa"/>
            </w:tcMar>
            <w:vAlign w:val="center"/>
          </w:tcPr>
          <w:p>
            <w:pPr>
              <w:jc w:val="center"/>
              <w:rPr>
                <w:rFonts w:hint="eastAsia" w:ascii="宋体" w:hAnsi="宋体" w:eastAsia="宋体" w:cs="宋体"/>
                <w:b/>
                <w:i w:val="0"/>
                <w:color w:val="000000"/>
                <w:sz w:val="20"/>
                <w:szCs w:val="20"/>
                <w:u w:val="none"/>
              </w:rPr>
            </w:pPr>
          </w:p>
        </w:tc>
        <w:tc>
          <w:tcPr>
            <w:tcW w:w="503" w:type="pct"/>
            <w:vMerge w:val="restart"/>
            <w:tcBorders>
              <w:top w:val="single" w:color="auto" w:sz="4" w:space="0"/>
              <w:left w:val="single" w:color="auto" w:sz="4" w:space="0"/>
              <w:bottom w:val="single" w:color="auto" w:sz="4" w:space="0"/>
              <w:right w:val="single" w:color="auto"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701" w:type="pct"/>
            <w:tcBorders>
              <w:top w:val="single" w:color="000000" w:sz="4" w:space="0"/>
              <w:left w:val="single" w:color="auto"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文艺研修教育人数</w:t>
            </w:r>
          </w:p>
        </w:tc>
        <w:tc>
          <w:tcPr>
            <w:tcW w:w="1943" w:type="pct"/>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参加省市文艺研修及教育的人数</w:t>
            </w:r>
          </w:p>
        </w:tc>
        <w:tc>
          <w:tcPr>
            <w:tcW w:w="534"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&gt;=6</w:t>
            </w:r>
          </w:p>
        </w:tc>
        <w:tc>
          <w:tcPr>
            <w:tcW w:w="731"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根据上级要求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94" w:hRule="atLeast"/>
        </w:trPr>
        <w:tc>
          <w:tcPr>
            <w:tcW w:w="584" w:type="pct"/>
            <w:vMerge w:val="continue"/>
            <w:tcBorders>
              <w:top w:val="single" w:color="000000" w:sz="4" w:space="0"/>
              <w:left w:val="single" w:color="000000" w:sz="4" w:space="0"/>
              <w:bottom w:val="single" w:color="000000" w:sz="4" w:space="0"/>
              <w:right w:val="single" w:color="auto" w:sz="4" w:space="0"/>
            </w:tcBorders>
            <w:noWrap w:val="0"/>
            <w:tcMar>
              <w:top w:w="15" w:type="dxa"/>
              <w:left w:w="15" w:type="dxa"/>
              <w:right w:w="15" w:type="dxa"/>
            </w:tcMar>
            <w:vAlign w:val="center"/>
          </w:tcPr>
          <w:p>
            <w:pPr>
              <w:jc w:val="center"/>
              <w:rPr>
                <w:rFonts w:hint="eastAsia" w:ascii="宋体" w:hAnsi="宋体" w:eastAsia="宋体" w:cs="宋体"/>
                <w:b/>
                <w:i w:val="0"/>
                <w:color w:val="000000"/>
                <w:sz w:val="20"/>
                <w:szCs w:val="20"/>
                <w:u w:val="none"/>
              </w:rPr>
            </w:pPr>
          </w:p>
        </w:tc>
        <w:tc>
          <w:tcPr>
            <w:tcW w:w="503" w:type="pct"/>
            <w:vMerge w:val="continue"/>
            <w:tcBorders>
              <w:top w:val="single" w:color="auto" w:sz="4" w:space="0"/>
              <w:left w:val="single" w:color="auto" w:sz="4" w:space="0"/>
              <w:bottom w:val="single" w:color="auto" w:sz="4" w:space="0"/>
              <w:right w:val="single" w:color="auto" w:sz="4" w:space="0"/>
            </w:tcBorders>
            <w:noWrap w:val="0"/>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701" w:type="pct"/>
            <w:tcBorders>
              <w:top w:val="single" w:color="000000" w:sz="4" w:space="0"/>
              <w:left w:val="single" w:color="auto"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文艺人才资源库人数</w:t>
            </w:r>
          </w:p>
        </w:tc>
        <w:tc>
          <w:tcPr>
            <w:tcW w:w="1943" w:type="pct"/>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被省市文艺人才网资源库纳入的艺术家人数</w:t>
            </w:r>
          </w:p>
        </w:tc>
        <w:tc>
          <w:tcPr>
            <w:tcW w:w="534"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&gt;=3</w:t>
            </w:r>
          </w:p>
        </w:tc>
        <w:tc>
          <w:tcPr>
            <w:tcW w:w="731"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根据上级要求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4" w:hRule="atLeast"/>
        </w:trPr>
        <w:tc>
          <w:tcPr>
            <w:tcW w:w="584" w:type="pct"/>
            <w:vMerge w:val="continue"/>
            <w:tcBorders>
              <w:top w:val="single" w:color="000000" w:sz="4" w:space="0"/>
              <w:left w:val="single" w:color="000000" w:sz="4" w:space="0"/>
              <w:bottom w:val="single" w:color="000000" w:sz="4" w:space="0"/>
              <w:right w:val="single" w:color="auto" w:sz="4" w:space="0"/>
            </w:tcBorders>
            <w:noWrap w:val="0"/>
            <w:tcMar>
              <w:top w:w="15" w:type="dxa"/>
              <w:left w:w="15" w:type="dxa"/>
              <w:right w:w="15" w:type="dxa"/>
            </w:tcMar>
            <w:vAlign w:val="center"/>
          </w:tcPr>
          <w:p>
            <w:pPr>
              <w:jc w:val="center"/>
              <w:rPr>
                <w:rFonts w:hint="eastAsia" w:ascii="宋体" w:hAnsi="宋体" w:eastAsia="宋体" w:cs="宋体"/>
                <w:b/>
                <w:i w:val="0"/>
                <w:color w:val="000000"/>
                <w:sz w:val="20"/>
                <w:szCs w:val="20"/>
                <w:u w:val="none"/>
              </w:rPr>
            </w:pPr>
          </w:p>
        </w:tc>
        <w:tc>
          <w:tcPr>
            <w:tcW w:w="503" w:type="pct"/>
            <w:vMerge w:val="continue"/>
            <w:tcBorders>
              <w:top w:val="single" w:color="auto" w:sz="4" w:space="0"/>
              <w:left w:val="single" w:color="auto" w:sz="4" w:space="0"/>
              <w:bottom w:val="single" w:color="auto" w:sz="4" w:space="0"/>
              <w:right w:val="single" w:color="auto" w:sz="4" w:space="0"/>
            </w:tcBorders>
            <w:noWrap w:val="0"/>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701" w:type="pct"/>
            <w:tcBorders>
              <w:top w:val="single" w:color="000000" w:sz="4" w:space="0"/>
              <w:left w:val="single" w:color="auto"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综合事务完成率</w:t>
            </w:r>
          </w:p>
        </w:tc>
        <w:tc>
          <w:tcPr>
            <w:tcW w:w="1943" w:type="pct"/>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综合事务管理工作完成情况，保证机关工作有序正常高效运转。</w:t>
            </w:r>
          </w:p>
        </w:tc>
        <w:tc>
          <w:tcPr>
            <w:tcW w:w="534"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731"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根据上级要求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1" w:hRule="atLeast"/>
        </w:trPr>
        <w:tc>
          <w:tcPr>
            <w:tcW w:w="584"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满意度指标</w:t>
            </w:r>
          </w:p>
        </w:tc>
        <w:tc>
          <w:tcPr>
            <w:tcW w:w="503" w:type="pct"/>
            <w:tcBorders>
              <w:top w:val="single" w:color="auto"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服务对象满意度指标</w:t>
            </w:r>
          </w:p>
        </w:tc>
        <w:tc>
          <w:tcPr>
            <w:tcW w:w="701"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服务对象满意度</w:t>
            </w:r>
          </w:p>
        </w:tc>
        <w:tc>
          <w:tcPr>
            <w:tcW w:w="1943" w:type="pct"/>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对服务对象进行走访调查谈心了解满意程度</w:t>
            </w:r>
          </w:p>
        </w:tc>
        <w:tc>
          <w:tcPr>
            <w:tcW w:w="534"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&gt;=90%</w:t>
            </w:r>
          </w:p>
        </w:tc>
        <w:tc>
          <w:tcPr>
            <w:tcW w:w="731"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根据上级要求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trPr>
        <w:tc>
          <w:tcPr>
            <w:tcW w:w="5000" w:type="pct"/>
            <w:gridSpan w:val="8"/>
            <w:tcBorders>
              <w:top w:val="single" w:color="000000" w:sz="4" w:space="0"/>
              <w:left w:val="nil"/>
              <w:bottom w:val="nil"/>
              <w:right w:val="nil"/>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注：1、项目编码、项目名称与项目库保持一致。</w:t>
            </w:r>
          </w:p>
          <w:p>
            <w:pPr>
              <w:keepNext w:val="0"/>
              <w:keepLines w:val="0"/>
              <w:widowControl/>
              <w:suppressLineNumbers w:val="0"/>
              <w:ind w:firstLine="400" w:firstLineChars="20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2、资金支出计划为累计支出计划比例。</w:t>
            </w:r>
          </w:p>
        </w:tc>
      </w:tr>
      <w:bookmarkEnd w:id="0"/>
    </w:tbl>
    <w:p>
      <w:pPr>
        <w:autoSpaceDE w:val="0"/>
        <w:autoSpaceDN w:val="0"/>
        <w:adjustRightInd w:val="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bookmarkStart w:id="4" w:name="_Toc471398468"/>
      <w:r>
        <w:rPr>
          <w:rFonts w:hint="eastAsia" w:ascii="仿宋" w:hAnsi="仿宋" w:eastAsia="仿宋" w:cs="仿宋"/>
          <w:sz w:val="32"/>
          <w:szCs w:val="24"/>
        </w:rPr>
        <w:t xml:space="preserve"> 2020年</w:t>
      </w:r>
      <w:r>
        <w:rPr>
          <w:rFonts w:hint="eastAsia" w:ascii="仿宋" w:hAnsi="仿宋" w:eastAsia="仿宋" w:cs="仿宋"/>
          <w:sz w:val="32"/>
          <w:szCs w:val="24"/>
          <w:lang w:eastAsia="zh-CN"/>
        </w:rPr>
        <w:t>，</w:t>
      </w:r>
      <w:r>
        <w:rPr>
          <w:rFonts w:hint="eastAsia" w:ascii="仿宋" w:hAnsi="仿宋" w:eastAsia="仿宋" w:cs="仿宋"/>
          <w:sz w:val="32"/>
          <w:szCs w:val="24"/>
        </w:rPr>
        <w:t>我部门安排政府采购预算</w:t>
      </w:r>
      <w:r>
        <w:rPr>
          <w:rFonts w:hint="eastAsia" w:ascii="Times New Roman" w:hAnsi="Times New Roman" w:eastAsia="仿宋" w:cs="Times New Roman"/>
          <w:sz w:val="32"/>
          <w:szCs w:val="24"/>
          <w:lang w:val="en-US" w:eastAsia="zh-CN"/>
        </w:rPr>
        <w:t>0</w:t>
      </w:r>
      <w:r>
        <w:rPr>
          <w:rFonts w:ascii="Times New Roman" w:hAnsi="Times New Roman" w:eastAsia="仿宋" w:cs="Times New Roman"/>
          <w:sz w:val="32"/>
          <w:szCs w:val="24"/>
        </w:rPr>
        <w:t>万元。</w:t>
      </w:r>
      <w:bookmarkEnd w:id="4"/>
    </w:p>
    <w:p>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5" w:name="_Toc28848395"/>
      <w:r>
        <w:rPr>
          <w:rFonts w:hint="eastAsia" w:ascii="方正小标宋_GBK" w:eastAsia="方正小标宋_GBK"/>
          <w:sz w:val="32"/>
        </w:rPr>
        <w:instrText xml:space="preserve">部门政府采购预算</w:instrText>
      </w:r>
      <w:bookmarkEnd w:id="5"/>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3"/>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90"/>
        <w:gridCol w:w="613"/>
        <w:gridCol w:w="845"/>
        <w:gridCol w:w="766"/>
        <w:gridCol w:w="426"/>
        <w:gridCol w:w="460"/>
        <w:gridCol w:w="546"/>
        <w:gridCol w:w="537"/>
        <w:gridCol w:w="537"/>
        <w:gridCol w:w="537"/>
        <w:gridCol w:w="614"/>
        <w:gridCol w:w="459"/>
        <w:gridCol w:w="49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26" w:type="pct"/>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p>
        </w:tc>
        <w:tc>
          <w:tcPr>
            <w:tcW w:w="1873" w:type="pct"/>
            <w:gridSpan w:val="6"/>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356" w:type="pct"/>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498" w:type="pct"/>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452" w:type="pct"/>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226" w:type="pct"/>
            <w:vMerge w:val="restart"/>
            <w:vAlign w:val="center"/>
          </w:tcPr>
          <w:p>
            <w:pPr>
              <w:spacing w:line="300" w:lineRule="exact"/>
              <w:jc w:val="center"/>
              <w:rPr>
                <w:rFonts w:ascii="方正书宋_GBK" w:eastAsia="方正书宋_GBK"/>
                <w:b/>
              </w:rPr>
            </w:pPr>
            <w:r>
              <w:rPr>
                <w:rFonts w:hint="eastAsia" w:ascii="方正书宋_GBK" w:eastAsia="方正书宋_GBK"/>
                <w:b/>
              </w:rPr>
              <w:t>计量  单位</w:t>
            </w:r>
          </w:p>
        </w:tc>
        <w:tc>
          <w:tcPr>
            <w:tcW w:w="272" w:type="pct"/>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319" w:type="pct"/>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1873" w:type="pct"/>
            <w:gridSpan w:val="6"/>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94" w:type="pct"/>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362" w:type="pct"/>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498" w:type="pct"/>
            <w:vMerge w:val="continue"/>
            <w:vAlign w:val="center"/>
          </w:tcPr>
          <w:p>
            <w:pPr>
              <w:spacing w:line="300" w:lineRule="exact"/>
              <w:jc w:val="left"/>
              <w:outlineLvl w:val="0"/>
              <w:rPr>
                <w:rFonts w:ascii="Times New Roman" w:eastAsia="方正仿宋_GBK"/>
                <w:sz w:val="28"/>
              </w:rPr>
            </w:pPr>
          </w:p>
        </w:tc>
        <w:tc>
          <w:tcPr>
            <w:tcW w:w="452" w:type="pct"/>
            <w:vMerge w:val="continue"/>
            <w:vAlign w:val="center"/>
          </w:tcPr>
          <w:p>
            <w:pPr>
              <w:spacing w:line="300" w:lineRule="exact"/>
              <w:jc w:val="left"/>
              <w:outlineLvl w:val="0"/>
              <w:rPr>
                <w:rFonts w:ascii="Times New Roman" w:eastAsia="方正仿宋_GBK"/>
                <w:sz w:val="28"/>
              </w:rPr>
            </w:pPr>
          </w:p>
        </w:tc>
        <w:tc>
          <w:tcPr>
            <w:tcW w:w="226" w:type="pct"/>
            <w:vMerge w:val="continue"/>
            <w:vAlign w:val="center"/>
          </w:tcPr>
          <w:p>
            <w:pPr>
              <w:spacing w:line="300" w:lineRule="exact"/>
              <w:jc w:val="left"/>
              <w:outlineLvl w:val="0"/>
              <w:rPr>
                <w:rFonts w:ascii="Times New Roman" w:eastAsia="方正仿宋_GBK"/>
                <w:sz w:val="28"/>
              </w:rPr>
            </w:pPr>
          </w:p>
        </w:tc>
        <w:tc>
          <w:tcPr>
            <w:tcW w:w="272" w:type="pct"/>
            <w:vMerge w:val="continue"/>
            <w:vAlign w:val="center"/>
          </w:tcPr>
          <w:p>
            <w:pPr>
              <w:spacing w:line="300" w:lineRule="exact"/>
              <w:jc w:val="left"/>
              <w:outlineLvl w:val="0"/>
              <w:rPr>
                <w:rFonts w:ascii="Times New Roman" w:eastAsia="方正仿宋_GBK"/>
                <w:sz w:val="28"/>
              </w:rPr>
            </w:pPr>
          </w:p>
        </w:tc>
        <w:tc>
          <w:tcPr>
            <w:tcW w:w="319" w:type="pct"/>
            <w:vMerge w:val="continue"/>
            <w:vAlign w:val="center"/>
          </w:tcPr>
          <w:p>
            <w:pPr>
              <w:spacing w:line="300" w:lineRule="exact"/>
              <w:jc w:val="left"/>
              <w:outlineLvl w:val="0"/>
              <w:rPr>
                <w:rFonts w:ascii="Times New Roman" w:eastAsia="方正仿宋_GBK"/>
                <w:sz w:val="28"/>
              </w:rPr>
            </w:pPr>
          </w:p>
        </w:tc>
        <w:tc>
          <w:tcPr>
            <w:tcW w:w="317" w:type="pct"/>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317" w:type="pct"/>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317" w:type="pct"/>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362" w:type="pct"/>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271" w:type="pct"/>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286" w:type="pct"/>
            <w:vAlign w:val="center"/>
          </w:tcPr>
          <w:p>
            <w:pPr>
              <w:spacing w:line="300" w:lineRule="exact"/>
              <w:jc w:val="center"/>
              <w:rPr>
                <w:rFonts w:ascii="方正书宋_GBK" w:eastAsia="方正书宋_GBK"/>
                <w:b/>
              </w:rPr>
            </w:pPr>
            <w:r>
              <w:rPr>
                <w:rFonts w:hint="eastAsia" w:ascii="方正书宋_GBK" w:eastAsia="方正书宋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94" w:type="pct"/>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362" w:type="pct"/>
            <w:vAlign w:val="center"/>
          </w:tcPr>
          <w:p>
            <w:pPr>
              <w:spacing w:line="300" w:lineRule="exact"/>
              <w:jc w:val="right"/>
              <w:rPr>
                <w:rFonts w:ascii="方正书宋_GBK" w:eastAsia="方正书宋_GBK"/>
                <w:b/>
              </w:rPr>
            </w:pPr>
          </w:p>
        </w:tc>
        <w:tc>
          <w:tcPr>
            <w:tcW w:w="498" w:type="pct"/>
            <w:vAlign w:val="center"/>
          </w:tcPr>
          <w:p>
            <w:pPr>
              <w:spacing w:line="300" w:lineRule="exact"/>
              <w:jc w:val="left"/>
              <w:rPr>
                <w:rFonts w:ascii="方正书宋_GBK" w:eastAsia="方正书宋_GBK"/>
                <w:b/>
              </w:rPr>
            </w:pPr>
          </w:p>
        </w:tc>
        <w:tc>
          <w:tcPr>
            <w:tcW w:w="452" w:type="pct"/>
            <w:vAlign w:val="center"/>
          </w:tcPr>
          <w:p>
            <w:pPr>
              <w:spacing w:line="300" w:lineRule="exact"/>
              <w:jc w:val="left"/>
              <w:rPr>
                <w:rFonts w:ascii="方正书宋_GBK" w:eastAsia="方正书宋_GBK"/>
                <w:b/>
              </w:rPr>
            </w:pPr>
          </w:p>
        </w:tc>
        <w:tc>
          <w:tcPr>
            <w:tcW w:w="226" w:type="pct"/>
            <w:vAlign w:val="center"/>
          </w:tcPr>
          <w:p>
            <w:pPr>
              <w:spacing w:line="300" w:lineRule="exact"/>
              <w:jc w:val="left"/>
              <w:rPr>
                <w:rFonts w:ascii="方正书宋_GBK" w:eastAsia="方正书宋_GBK"/>
                <w:b/>
              </w:rPr>
            </w:pPr>
          </w:p>
        </w:tc>
        <w:tc>
          <w:tcPr>
            <w:tcW w:w="272" w:type="pct"/>
            <w:vAlign w:val="center"/>
          </w:tcPr>
          <w:p>
            <w:pPr>
              <w:spacing w:line="300" w:lineRule="exact"/>
              <w:jc w:val="right"/>
              <w:rPr>
                <w:rFonts w:ascii="方正书宋_GBK" w:eastAsia="方正书宋_GBK"/>
                <w:b/>
              </w:rPr>
            </w:pPr>
          </w:p>
        </w:tc>
        <w:tc>
          <w:tcPr>
            <w:tcW w:w="319" w:type="pct"/>
            <w:vAlign w:val="center"/>
          </w:tcPr>
          <w:p>
            <w:pPr>
              <w:spacing w:line="300" w:lineRule="exact"/>
              <w:jc w:val="right"/>
              <w:rPr>
                <w:rFonts w:ascii="方正书宋_GBK" w:eastAsia="方正书宋_GBK"/>
                <w:b/>
              </w:rPr>
            </w:pPr>
          </w:p>
        </w:tc>
        <w:tc>
          <w:tcPr>
            <w:tcW w:w="317" w:type="pct"/>
            <w:vAlign w:val="center"/>
          </w:tcPr>
          <w:p>
            <w:pPr>
              <w:adjustRightInd w:val="0"/>
              <w:snapToGrid w:val="0"/>
              <w:jc w:val="right"/>
              <w:rPr>
                <w:rFonts w:ascii="方正书宋_GBK" w:hAnsi="宋体" w:eastAsia="方正书宋_GBK" w:cs="宋体"/>
                <w:b/>
                <w:bCs/>
                <w:color w:val="000000"/>
                <w:szCs w:val="21"/>
              </w:rPr>
            </w:pPr>
          </w:p>
        </w:tc>
        <w:tc>
          <w:tcPr>
            <w:tcW w:w="317" w:type="pct"/>
            <w:vAlign w:val="center"/>
          </w:tcPr>
          <w:p>
            <w:pPr>
              <w:adjustRightInd w:val="0"/>
              <w:snapToGrid w:val="0"/>
              <w:jc w:val="right"/>
              <w:rPr>
                <w:rFonts w:ascii="方正书宋_GBK" w:hAnsi="宋体" w:eastAsia="方正书宋_GBK" w:cs="宋体"/>
                <w:b/>
                <w:bCs/>
                <w:color w:val="000000"/>
                <w:szCs w:val="21"/>
              </w:rPr>
            </w:pPr>
          </w:p>
        </w:tc>
        <w:tc>
          <w:tcPr>
            <w:tcW w:w="317" w:type="pct"/>
            <w:vAlign w:val="center"/>
          </w:tcPr>
          <w:p>
            <w:pPr>
              <w:spacing w:line="300" w:lineRule="exact"/>
              <w:jc w:val="right"/>
              <w:rPr>
                <w:rFonts w:ascii="方正书宋_GBK" w:eastAsia="方正书宋_GBK"/>
                <w:b/>
              </w:rPr>
            </w:pPr>
          </w:p>
        </w:tc>
        <w:tc>
          <w:tcPr>
            <w:tcW w:w="362" w:type="pct"/>
            <w:vAlign w:val="center"/>
          </w:tcPr>
          <w:p>
            <w:pPr>
              <w:spacing w:line="300" w:lineRule="exact"/>
              <w:jc w:val="right"/>
              <w:rPr>
                <w:rFonts w:ascii="方正书宋_GBK" w:eastAsia="方正书宋_GBK"/>
                <w:b/>
              </w:rPr>
            </w:pPr>
          </w:p>
        </w:tc>
        <w:tc>
          <w:tcPr>
            <w:tcW w:w="271" w:type="pct"/>
            <w:vAlign w:val="center"/>
          </w:tcPr>
          <w:p>
            <w:pPr>
              <w:spacing w:line="300" w:lineRule="exact"/>
              <w:jc w:val="right"/>
              <w:rPr>
                <w:rFonts w:ascii="方正书宋_GBK" w:eastAsia="方正书宋_GBK"/>
                <w:b/>
              </w:rPr>
            </w:pPr>
          </w:p>
        </w:tc>
        <w:tc>
          <w:tcPr>
            <w:tcW w:w="286" w:type="pct"/>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94" w:type="pct"/>
            <w:vAlign w:val="center"/>
          </w:tcPr>
          <w:p>
            <w:pPr>
              <w:spacing w:line="300" w:lineRule="exact"/>
              <w:jc w:val="center"/>
              <w:rPr>
                <w:rFonts w:ascii="方正书宋_GBK" w:eastAsia="方正书宋_GBK"/>
                <w:b/>
              </w:rPr>
            </w:pPr>
          </w:p>
        </w:tc>
        <w:tc>
          <w:tcPr>
            <w:tcW w:w="362" w:type="pct"/>
            <w:vAlign w:val="center"/>
          </w:tcPr>
          <w:p>
            <w:pPr>
              <w:spacing w:line="300" w:lineRule="exact"/>
              <w:jc w:val="right"/>
              <w:rPr>
                <w:rFonts w:ascii="方正书宋_GBK" w:eastAsia="方正书宋_GBK"/>
                <w:b/>
              </w:rPr>
            </w:pPr>
          </w:p>
        </w:tc>
        <w:tc>
          <w:tcPr>
            <w:tcW w:w="498" w:type="pct"/>
            <w:vAlign w:val="center"/>
          </w:tcPr>
          <w:p>
            <w:pPr>
              <w:spacing w:line="300" w:lineRule="exact"/>
              <w:jc w:val="left"/>
              <w:rPr>
                <w:rFonts w:ascii="方正书宋_GBK" w:eastAsia="方正书宋_GBK"/>
                <w:b/>
              </w:rPr>
            </w:pPr>
          </w:p>
        </w:tc>
        <w:tc>
          <w:tcPr>
            <w:tcW w:w="452" w:type="pct"/>
            <w:vAlign w:val="center"/>
          </w:tcPr>
          <w:p>
            <w:pPr>
              <w:spacing w:line="300" w:lineRule="exact"/>
              <w:jc w:val="left"/>
              <w:rPr>
                <w:rFonts w:ascii="方正书宋_GBK" w:eastAsia="方正书宋_GBK"/>
                <w:b/>
              </w:rPr>
            </w:pPr>
          </w:p>
        </w:tc>
        <w:tc>
          <w:tcPr>
            <w:tcW w:w="226" w:type="pct"/>
            <w:vAlign w:val="center"/>
          </w:tcPr>
          <w:p>
            <w:pPr>
              <w:spacing w:line="300" w:lineRule="exact"/>
              <w:jc w:val="left"/>
              <w:rPr>
                <w:rFonts w:ascii="方正书宋_GBK" w:eastAsia="方正书宋_GBK"/>
                <w:b/>
              </w:rPr>
            </w:pPr>
          </w:p>
        </w:tc>
        <w:tc>
          <w:tcPr>
            <w:tcW w:w="272" w:type="pct"/>
            <w:vAlign w:val="center"/>
          </w:tcPr>
          <w:p>
            <w:pPr>
              <w:spacing w:line="300" w:lineRule="exact"/>
              <w:jc w:val="right"/>
              <w:rPr>
                <w:rFonts w:ascii="方正书宋_GBK" w:eastAsia="方正书宋_GBK"/>
                <w:b/>
              </w:rPr>
            </w:pPr>
          </w:p>
        </w:tc>
        <w:tc>
          <w:tcPr>
            <w:tcW w:w="319" w:type="pct"/>
            <w:vAlign w:val="center"/>
          </w:tcPr>
          <w:p>
            <w:pPr>
              <w:spacing w:line="300" w:lineRule="exact"/>
              <w:jc w:val="right"/>
              <w:rPr>
                <w:rFonts w:ascii="方正书宋_GBK" w:eastAsia="方正书宋_GBK"/>
                <w:b/>
              </w:rPr>
            </w:pPr>
          </w:p>
        </w:tc>
        <w:tc>
          <w:tcPr>
            <w:tcW w:w="317" w:type="pct"/>
            <w:vAlign w:val="center"/>
          </w:tcPr>
          <w:p>
            <w:pPr>
              <w:adjustRightInd w:val="0"/>
              <w:snapToGrid w:val="0"/>
              <w:jc w:val="right"/>
              <w:rPr>
                <w:rFonts w:ascii="方正书宋_GBK" w:hAnsi="宋体" w:eastAsia="方正书宋_GBK" w:cs="宋体"/>
                <w:b/>
                <w:bCs/>
                <w:color w:val="000000"/>
                <w:szCs w:val="21"/>
              </w:rPr>
            </w:pPr>
          </w:p>
        </w:tc>
        <w:tc>
          <w:tcPr>
            <w:tcW w:w="317" w:type="pct"/>
            <w:vAlign w:val="center"/>
          </w:tcPr>
          <w:p>
            <w:pPr>
              <w:adjustRightInd w:val="0"/>
              <w:snapToGrid w:val="0"/>
              <w:jc w:val="right"/>
              <w:rPr>
                <w:rFonts w:ascii="方正书宋_GBK" w:hAnsi="宋体" w:eastAsia="方正书宋_GBK" w:cs="宋体"/>
                <w:b/>
                <w:bCs/>
                <w:color w:val="000000"/>
                <w:szCs w:val="21"/>
              </w:rPr>
            </w:pPr>
          </w:p>
        </w:tc>
        <w:tc>
          <w:tcPr>
            <w:tcW w:w="317" w:type="pct"/>
            <w:vAlign w:val="center"/>
          </w:tcPr>
          <w:p>
            <w:pPr>
              <w:spacing w:line="300" w:lineRule="exact"/>
              <w:jc w:val="right"/>
              <w:rPr>
                <w:rFonts w:ascii="方正书宋_GBK" w:eastAsia="方正书宋_GBK"/>
                <w:b/>
              </w:rPr>
            </w:pPr>
          </w:p>
        </w:tc>
        <w:tc>
          <w:tcPr>
            <w:tcW w:w="362" w:type="pct"/>
            <w:vAlign w:val="center"/>
          </w:tcPr>
          <w:p>
            <w:pPr>
              <w:spacing w:line="300" w:lineRule="exact"/>
              <w:jc w:val="right"/>
              <w:rPr>
                <w:rFonts w:ascii="方正书宋_GBK" w:eastAsia="方正书宋_GBK"/>
                <w:b/>
              </w:rPr>
            </w:pPr>
          </w:p>
        </w:tc>
        <w:tc>
          <w:tcPr>
            <w:tcW w:w="271" w:type="pct"/>
            <w:vAlign w:val="center"/>
          </w:tcPr>
          <w:p>
            <w:pPr>
              <w:spacing w:line="300" w:lineRule="exact"/>
              <w:jc w:val="right"/>
              <w:rPr>
                <w:rFonts w:ascii="方正书宋_GBK" w:eastAsia="方正书宋_GBK"/>
                <w:b/>
              </w:rPr>
            </w:pPr>
          </w:p>
        </w:tc>
        <w:tc>
          <w:tcPr>
            <w:tcW w:w="286" w:type="pct"/>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94" w:type="pct"/>
            <w:vAlign w:val="center"/>
          </w:tcPr>
          <w:p>
            <w:pPr>
              <w:spacing w:line="300" w:lineRule="exact"/>
              <w:jc w:val="left"/>
              <w:rPr>
                <w:rFonts w:ascii="方正书宋_GBK" w:eastAsia="方正书宋_GBK"/>
              </w:rPr>
            </w:pPr>
          </w:p>
        </w:tc>
        <w:tc>
          <w:tcPr>
            <w:tcW w:w="362" w:type="pct"/>
            <w:vAlign w:val="center"/>
          </w:tcPr>
          <w:p>
            <w:pPr>
              <w:spacing w:line="300" w:lineRule="exact"/>
              <w:jc w:val="right"/>
              <w:rPr>
                <w:rFonts w:ascii="方正书宋_GBK" w:eastAsia="方正书宋_GBK"/>
              </w:rPr>
            </w:pPr>
          </w:p>
        </w:tc>
        <w:tc>
          <w:tcPr>
            <w:tcW w:w="498" w:type="pct"/>
            <w:vAlign w:val="center"/>
          </w:tcPr>
          <w:p>
            <w:pPr>
              <w:spacing w:line="300" w:lineRule="exact"/>
              <w:jc w:val="left"/>
              <w:rPr>
                <w:rFonts w:ascii="方正书宋_GBK" w:eastAsia="方正书宋_GBK"/>
              </w:rPr>
            </w:pPr>
          </w:p>
        </w:tc>
        <w:tc>
          <w:tcPr>
            <w:tcW w:w="452" w:type="pct"/>
            <w:vAlign w:val="center"/>
          </w:tcPr>
          <w:p>
            <w:pPr>
              <w:spacing w:line="300" w:lineRule="exact"/>
              <w:jc w:val="left"/>
              <w:rPr>
                <w:rFonts w:ascii="方正书宋_GBK" w:eastAsia="方正书宋_GBK"/>
              </w:rPr>
            </w:pPr>
          </w:p>
        </w:tc>
        <w:tc>
          <w:tcPr>
            <w:tcW w:w="226" w:type="pct"/>
            <w:vAlign w:val="center"/>
          </w:tcPr>
          <w:p>
            <w:pPr>
              <w:spacing w:line="300" w:lineRule="exact"/>
              <w:jc w:val="left"/>
              <w:rPr>
                <w:rFonts w:ascii="方正书宋_GBK" w:eastAsia="方正书宋_GBK"/>
              </w:rPr>
            </w:pPr>
          </w:p>
        </w:tc>
        <w:tc>
          <w:tcPr>
            <w:tcW w:w="272" w:type="pct"/>
            <w:vAlign w:val="center"/>
          </w:tcPr>
          <w:p>
            <w:pPr>
              <w:spacing w:line="300" w:lineRule="exact"/>
              <w:jc w:val="right"/>
              <w:rPr>
                <w:rFonts w:ascii="方正书宋_GBK" w:eastAsia="方正书宋_GBK"/>
              </w:rPr>
            </w:pPr>
          </w:p>
        </w:tc>
        <w:tc>
          <w:tcPr>
            <w:tcW w:w="319" w:type="pct"/>
            <w:vAlign w:val="center"/>
          </w:tcPr>
          <w:p>
            <w:pPr>
              <w:spacing w:line="300" w:lineRule="exact"/>
              <w:jc w:val="right"/>
              <w:rPr>
                <w:rFonts w:ascii="方正书宋_GBK" w:eastAsia="方正书宋_GBK"/>
              </w:rPr>
            </w:pPr>
          </w:p>
        </w:tc>
        <w:tc>
          <w:tcPr>
            <w:tcW w:w="317" w:type="pct"/>
            <w:vAlign w:val="center"/>
          </w:tcPr>
          <w:p>
            <w:pPr>
              <w:spacing w:line="300" w:lineRule="exact"/>
              <w:jc w:val="right"/>
              <w:rPr>
                <w:rFonts w:ascii="方正书宋_GBK" w:eastAsia="方正书宋_GBK"/>
              </w:rPr>
            </w:pPr>
          </w:p>
        </w:tc>
        <w:tc>
          <w:tcPr>
            <w:tcW w:w="317" w:type="pct"/>
            <w:vAlign w:val="center"/>
          </w:tcPr>
          <w:p>
            <w:pPr>
              <w:spacing w:line="300" w:lineRule="exact"/>
              <w:jc w:val="right"/>
              <w:rPr>
                <w:rFonts w:ascii="方正书宋_GBK" w:eastAsia="方正书宋_GBK"/>
              </w:rPr>
            </w:pPr>
          </w:p>
        </w:tc>
        <w:tc>
          <w:tcPr>
            <w:tcW w:w="317" w:type="pct"/>
            <w:vAlign w:val="center"/>
          </w:tcPr>
          <w:p>
            <w:pPr>
              <w:spacing w:line="300" w:lineRule="exact"/>
              <w:jc w:val="right"/>
              <w:rPr>
                <w:rFonts w:ascii="方正书宋_GBK" w:eastAsia="方正书宋_GBK"/>
              </w:rPr>
            </w:pPr>
          </w:p>
        </w:tc>
        <w:tc>
          <w:tcPr>
            <w:tcW w:w="362" w:type="pct"/>
            <w:vAlign w:val="center"/>
          </w:tcPr>
          <w:p>
            <w:pPr>
              <w:spacing w:line="300" w:lineRule="exact"/>
              <w:jc w:val="right"/>
              <w:rPr>
                <w:rFonts w:ascii="方正书宋_GBK" w:eastAsia="方正书宋_GBK"/>
              </w:rPr>
            </w:pPr>
          </w:p>
        </w:tc>
        <w:tc>
          <w:tcPr>
            <w:tcW w:w="271" w:type="pct"/>
            <w:vAlign w:val="center"/>
          </w:tcPr>
          <w:p>
            <w:pPr>
              <w:spacing w:line="300" w:lineRule="exact"/>
              <w:jc w:val="right"/>
              <w:rPr>
                <w:rFonts w:ascii="方正书宋_GBK" w:eastAsia="方正书宋_GBK"/>
              </w:rPr>
            </w:pPr>
          </w:p>
        </w:tc>
        <w:tc>
          <w:tcPr>
            <w:tcW w:w="286" w:type="pct"/>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94" w:type="pct"/>
            <w:vAlign w:val="center"/>
          </w:tcPr>
          <w:p>
            <w:pPr>
              <w:spacing w:line="300" w:lineRule="exact"/>
              <w:jc w:val="left"/>
              <w:rPr>
                <w:rFonts w:ascii="方正书宋_GBK" w:eastAsia="方正书宋_GBK"/>
              </w:rPr>
            </w:pPr>
          </w:p>
        </w:tc>
        <w:tc>
          <w:tcPr>
            <w:tcW w:w="362" w:type="pct"/>
            <w:vAlign w:val="center"/>
          </w:tcPr>
          <w:p>
            <w:pPr>
              <w:spacing w:line="300" w:lineRule="exact"/>
              <w:jc w:val="right"/>
              <w:rPr>
                <w:rFonts w:ascii="方正书宋_GBK" w:eastAsia="方正书宋_GBK"/>
              </w:rPr>
            </w:pPr>
          </w:p>
        </w:tc>
        <w:tc>
          <w:tcPr>
            <w:tcW w:w="498" w:type="pct"/>
            <w:vAlign w:val="center"/>
          </w:tcPr>
          <w:p>
            <w:pPr>
              <w:spacing w:line="300" w:lineRule="exact"/>
              <w:jc w:val="left"/>
              <w:rPr>
                <w:rFonts w:ascii="方正书宋_GBK" w:eastAsia="方正书宋_GBK"/>
              </w:rPr>
            </w:pPr>
          </w:p>
        </w:tc>
        <w:tc>
          <w:tcPr>
            <w:tcW w:w="452" w:type="pct"/>
            <w:vAlign w:val="center"/>
          </w:tcPr>
          <w:p>
            <w:pPr>
              <w:spacing w:line="300" w:lineRule="exact"/>
              <w:jc w:val="left"/>
              <w:rPr>
                <w:rFonts w:ascii="方正书宋_GBK" w:eastAsia="方正书宋_GBK"/>
              </w:rPr>
            </w:pPr>
          </w:p>
        </w:tc>
        <w:tc>
          <w:tcPr>
            <w:tcW w:w="226" w:type="pct"/>
            <w:vAlign w:val="center"/>
          </w:tcPr>
          <w:p>
            <w:pPr>
              <w:spacing w:line="300" w:lineRule="exact"/>
              <w:jc w:val="left"/>
              <w:rPr>
                <w:rFonts w:ascii="方正书宋_GBK" w:eastAsia="方正书宋_GBK"/>
              </w:rPr>
            </w:pPr>
          </w:p>
        </w:tc>
        <w:tc>
          <w:tcPr>
            <w:tcW w:w="272" w:type="pct"/>
            <w:vAlign w:val="center"/>
          </w:tcPr>
          <w:p>
            <w:pPr>
              <w:spacing w:line="300" w:lineRule="exact"/>
              <w:jc w:val="right"/>
              <w:rPr>
                <w:rFonts w:ascii="方正书宋_GBK" w:eastAsia="方正书宋_GBK"/>
              </w:rPr>
            </w:pPr>
          </w:p>
        </w:tc>
        <w:tc>
          <w:tcPr>
            <w:tcW w:w="319" w:type="pct"/>
            <w:vAlign w:val="center"/>
          </w:tcPr>
          <w:p>
            <w:pPr>
              <w:spacing w:line="300" w:lineRule="exact"/>
              <w:jc w:val="right"/>
              <w:rPr>
                <w:rFonts w:ascii="方正书宋_GBK" w:eastAsia="方正书宋_GBK"/>
              </w:rPr>
            </w:pPr>
          </w:p>
        </w:tc>
        <w:tc>
          <w:tcPr>
            <w:tcW w:w="317" w:type="pct"/>
            <w:vAlign w:val="center"/>
          </w:tcPr>
          <w:p>
            <w:pPr>
              <w:spacing w:line="300" w:lineRule="exact"/>
              <w:jc w:val="right"/>
              <w:rPr>
                <w:rFonts w:ascii="方正书宋_GBK" w:eastAsia="方正书宋_GBK"/>
              </w:rPr>
            </w:pPr>
          </w:p>
        </w:tc>
        <w:tc>
          <w:tcPr>
            <w:tcW w:w="317" w:type="pct"/>
            <w:vAlign w:val="center"/>
          </w:tcPr>
          <w:p>
            <w:pPr>
              <w:spacing w:line="300" w:lineRule="exact"/>
              <w:jc w:val="right"/>
              <w:rPr>
                <w:rFonts w:ascii="方正书宋_GBK" w:eastAsia="方正书宋_GBK"/>
              </w:rPr>
            </w:pPr>
          </w:p>
        </w:tc>
        <w:tc>
          <w:tcPr>
            <w:tcW w:w="317" w:type="pct"/>
            <w:vAlign w:val="center"/>
          </w:tcPr>
          <w:p>
            <w:pPr>
              <w:spacing w:line="300" w:lineRule="exact"/>
              <w:jc w:val="right"/>
              <w:rPr>
                <w:rFonts w:ascii="方正书宋_GBK" w:eastAsia="方正书宋_GBK"/>
              </w:rPr>
            </w:pPr>
          </w:p>
        </w:tc>
        <w:tc>
          <w:tcPr>
            <w:tcW w:w="362" w:type="pct"/>
            <w:vAlign w:val="center"/>
          </w:tcPr>
          <w:p>
            <w:pPr>
              <w:spacing w:line="300" w:lineRule="exact"/>
              <w:jc w:val="right"/>
              <w:rPr>
                <w:rFonts w:ascii="方正书宋_GBK" w:eastAsia="方正书宋_GBK"/>
              </w:rPr>
            </w:pPr>
          </w:p>
        </w:tc>
        <w:tc>
          <w:tcPr>
            <w:tcW w:w="271" w:type="pct"/>
            <w:vAlign w:val="center"/>
          </w:tcPr>
          <w:p>
            <w:pPr>
              <w:spacing w:line="300" w:lineRule="exact"/>
              <w:jc w:val="right"/>
              <w:rPr>
                <w:rFonts w:ascii="方正书宋_GBK" w:eastAsia="方正书宋_GBK"/>
              </w:rPr>
            </w:pPr>
          </w:p>
        </w:tc>
        <w:tc>
          <w:tcPr>
            <w:tcW w:w="286" w:type="pct"/>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94" w:type="pct"/>
            <w:vAlign w:val="center"/>
          </w:tcPr>
          <w:p>
            <w:pPr>
              <w:spacing w:line="300" w:lineRule="exact"/>
              <w:jc w:val="left"/>
              <w:rPr>
                <w:rFonts w:ascii="方正书宋_GBK" w:eastAsia="方正书宋_GBK"/>
              </w:rPr>
            </w:pPr>
          </w:p>
        </w:tc>
        <w:tc>
          <w:tcPr>
            <w:tcW w:w="362" w:type="pct"/>
            <w:vAlign w:val="center"/>
          </w:tcPr>
          <w:p>
            <w:pPr>
              <w:spacing w:line="300" w:lineRule="exact"/>
              <w:jc w:val="right"/>
              <w:rPr>
                <w:rFonts w:ascii="方正书宋_GBK" w:eastAsia="方正书宋_GBK"/>
              </w:rPr>
            </w:pPr>
          </w:p>
        </w:tc>
        <w:tc>
          <w:tcPr>
            <w:tcW w:w="498" w:type="pct"/>
            <w:vAlign w:val="center"/>
          </w:tcPr>
          <w:p>
            <w:pPr>
              <w:spacing w:line="300" w:lineRule="exact"/>
              <w:jc w:val="left"/>
              <w:rPr>
                <w:rFonts w:ascii="方正书宋_GBK" w:eastAsia="方正书宋_GBK"/>
              </w:rPr>
            </w:pPr>
          </w:p>
        </w:tc>
        <w:tc>
          <w:tcPr>
            <w:tcW w:w="452" w:type="pct"/>
            <w:vAlign w:val="center"/>
          </w:tcPr>
          <w:p>
            <w:pPr>
              <w:spacing w:line="300" w:lineRule="exact"/>
              <w:jc w:val="left"/>
              <w:rPr>
                <w:rFonts w:ascii="方正书宋_GBK" w:eastAsia="方正书宋_GBK"/>
              </w:rPr>
            </w:pPr>
          </w:p>
        </w:tc>
        <w:tc>
          <w:tcPr>
            <w:tcW w:w="226" w:type="pct"/>
            <w:vAlign w:val="center"/>
          </w:tcPr>
          <w:p>
            <w:pPr>
              <w:spacing w:line="300" w:lineRule="exact"/>
              <w:jc w:val="left"/>
              <w:rPr>
                <w:rFonts w:ascii="方正书宋_GBK" w:eastAsia="方正书宋_GBK"/>
              </w:rPr>
            </w:pPr>
          </w:p>
        </w:tc>
        <w:tc>
          <w:tcPr>
            <w:tcW w:w="272" w:type="pct"/>
            <w:vAlign w:val="center"/>
          </w:tcPr>
          <w:p>
            <w:pPr>
              <w:spacing w:line="300" w:lineRule="exact"/>
              <w:jc w:val="right"/>
              <w:rPr>
                <w:rFonts w:ascii="方正书宋_GBK" w:eastAsia="方正书宋_GBK"/>
              </w:rPr>
            </w:pPr>
          </w:p>
        </w:tc>
        <w:tc>
          <w:tcPr>
            <w:tcW w:w="319" w:type="pct"/>
            <w:vAlign w:val="center"/>
          </w:tcPr>
          <w:p>
            <w:pPr>
              <w:spacing w:line="300" w:lineRule="exact"/>
              <w:jc w:val="right"/>
              <w:rPr>
                <w:rFonts w:ascii="方正书宋_GBK" w:eastAsia="方正书宋_GBK"/>
              </w:rPr>
            </w:pPr>
          </w:p>
        </w:tc>
        <w:tc>
          <w:tcPr>
            <w:tcW w:w="317" w:type="pct"/>
            <w:vAlign w:val="center"/>
          </w:tcPr>
          <w:p>
            <w:pPr>
              <w:spacing w:line="300" w:lineRule="exact"/>
              <w:jc w:val="right"/>
              <w:rPr>
                <w:rFonts w:ascii="方正书宋_GBK" w:eastAsia="方正书宋_GBK"/>
              </w:rPr>
            </w:pPr>
          </w:p>
        </w:tc>
        <w:tc>
          <w:tcPr>
            <w:tcW w:w="317" w:type="pct"/>
            <w:vAlign w:val="center"/>
          </w:tcPr>
          <w:p>
            <w:pPr>
              <w:spacing w:line="300" w:lineRule="exact"/>
              <w:jc w:val="right"/>
              <w:rPr>
                <w:rFonts w:ascii="方正书宋_GBK" w:eastAsia="方正书宋_GBK"/>
              </w:rPr>
            </w:pPr>
          </w:p>
        </w:tc>
        <w:tc>
          <w:tcPr>
            <w:tcW w:w="317" w:type="pct"/>
            <w:vAlign w:val="center"/>
          </w:tcPr>
          <w:p>
            <w:pPr>
              <w:spacing w:line="300" w:lineRule="exact"/>
              <w:jc w:val="right"/>
              <w:rPr>
                <w:rFonts w:ascii="方正书宋_GBK" w:eastAsia="方正书宋_GBK"/>
              </w:rPr>
            </w:pPr>
          </w:p>
        </w:tc>
        <w:tc>
          <w:tcPr>
            <w:tcW w:w="362" w:type="pct"/>
            <w:vAlign w:val="center"/>
          </w:tcPr>
          <w:p>
            <w:pPr>
              <w:spacing w:line="300" w:lineRule="exact"/>
              <w:jc w:val="right"/>
              <w:rPr>
                <w:rFonts w:ascii="方正书宋_GBK" w:eastAsia="方正书宋_GBK"/>
              </w:rPr>
            </w:pPr>
          </w:p>
        </w:tc>
        <w:tc>
          <w:tcPr>
            <w:tcW w:w="271" w:type="pct"/>
            <w:vAlign w:val="center"/>
          </w:tcPr>
          <w:p>
            <w:pPr>
              <w:spacing w:line="300" w:lineRule="exact"/>
              <w:jc w:val="right"/>
              <w:rPr>
                <w:rFonts w:ascii="方正书宋_GBK" w:eastAsia="方正书宋_GBK"/>
              </w:rPr>
            </w:pPr>
          </w:p>
        </w:tc>
        <w:tc>
          <w:tcPr>
            <w:tcW w:w="286" w:type="pct"/>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94" w:type="pct"/>
            <w:vAlign w:val="center"/>
          </w:tcPr>
          <w:p>
            <w:pPr>
              <w:spacing w:line="300" w:lineRule="exact"/>
              <w:jc w:val="left"/>
              <w:rPr>
                <w:rFonts w:ascii="方正书宋_GBK" w:eastAsia="方正书宋_GBK"/>
              </w:rPr>
            </w:pPr>
          </w:p>
        </w:tc>
        <w:tc>
          <w:tcPr>
            <w:tcW w:w="362" w:type="pct"/>
            <w:vAlign w:val="center"/>
          </w:tcPr>
          <w:p>
            <w:pPr>
              <w:spacing w:line="300" w:lineRule="exact"/>
              <w:jc w:val="right"/>
              <w:rPr>
                <w:rFonts w:ascii="方正书宋_GBK" w:eastAsia="方正书宋_GBK"/>
              </w:rPr>
            </w:pPr>
          </w:p>
        </w:tc>
        <w:tc>
          <w:tcPr>
            <w:tcW w:w="498" w:type="pct"/>
            <w:vAlign w:val="center"/>
          </w:tcPr>
          <w:p>
            <w:pPr>
              <w:spacing w:line="300" w:lineRule="exact"/>
              <w:jc w:val="left"/>
              <w:rPr>
                <w:rFonts w:ascii="方正书宋_GBK" w:eastAsia="方正书宋_GBK"/>
              </w:rPr>
            </w:pPr>
          </w:p>
        </w:tc>
        <w:tc>
          <w:tcPr>
            <w:tcW w:w="452" w:type="pct"/>
            <w:vAlign w:val="center"/>
          </w:tcPr>
          <w:p>
            <w:pPr>
              <w:spacing w:line="300" w:lineRule="exact"/>
              <w:jc w:val="left"/>
              <w:rPr>
                <w:rFonts w:ascii="方正书宋_GBK" w:eastAsia="方正书宋_GBK"/>
              </w:rPr>
            </w:pPr>
          </w:p>
        </w:tc>
        <w:tc>
          <w:tcPr>
            <w:tcW w:w="226" w:type="pct"/>
            <w:vAlign w:val="center"/>
          </w:tcPr>
          <w:p>
            <w:pPr>
              <w:spacing w:line="300" w:lineRule="exact"/>
              <w:jc w:val="left"/>
              <w:rPr>
                <w:rFonts w:ascii="方正书宋_GBK" w:eastAsia="方正书宋_GBK"/>
              </w:rPr>
            </w:pPr>
          </w:p>
        </w:tc>
        <w:tc>
          <w:tcPr>
            <w:tcW w:w="272" w:type="pct"/>
            <w:vAlign w:val="center"/>
          </w:tcPr>
          <w:p>
            <w:pPr>
              <w:spacing w:line="300" w:lineRule="exact"/>
              <w:jc w:val="right"/>
              <w:rPr>
                <w:rFonts w:ascii="方正书宋_GBK" w:eastAsia="方正书宋_GBK"/>
              </w:rPr>
            </w:pPr>
          </w:p>
        </w:tc>
        <w:tc>
          <w:tcPr>
            <w:tcW w:w="319" w:type="pct"/>
            <w:vAlign w:val="center"/>
          </w:tcPr>
          <w:p>
            <w:pPr>
              <w:spacing w:line="300" w:lineRule="exact"/>
              <w:jc w:val="right"/>
              <w:rPr>
                <w:rFonts w:ascii="方正书宋_GBK" w:eastAsia="方正书宋_GBK"/>
              </w:rPr>
            </w:pPr>
          </w:p>
        </w:tc>
        <w:tc>
          <w:tcPr>
            <w:tcW w:w="317" w:type="pct"/>
            <w:vAlign w:val="center"/>
          </w:tcPr>
          <w:p>
            <w:pPr>
              <w:spacing w:line="300" w:lineRule="exact"/>
              <w:jc w:val="right"/>
              <w:rPr>
                <w:rFonts w:ascii="方正书宋_GBK" w:eastAsia="方正书宋_GBK"/>
              </w:rPr>
            </w:pPr>
          </w:p>
        </w:tc>
        <w:tc>
          <w:tcPr>
            <w:tcW w:w="317" w:type="pct"/>
            <w:vAlign w:val="center"/>
          </w:tcPr>
          <w:p>
            <w:pPr>
              <w:spacing w:line="300" w:lineRule="exact"/>
              <w:jc w:val="right"/>
              <w:rPr>
                <w:rFonts w:ascii="方正书宋_GBK" w:eastAsia="方正书宋_GBK"/>
              </w:rPr>
            </w:pPr>
          </w:p>
        </w:tc>
        <w:tc>
          <w:tcPr>
            <w:tcW w:w="317" w:type="pct"/>
            <w:vAlign w:val="center"/>
          </w:tcPr>
          <w:p>
            <w:pPr>
              <w:spacing w:line="300" w:lineRule="exact"/>
              <w:jc w:val="right"/>
              <w:rPr>
                <w:rFonts w:ascii="方正书宋_GBK" w:eastAsia="方正书宋_GBK"/>
              </w:rPr>
            </w:pPr>
          </w:p>
        </w:tc>
        <w:tc>
          <w:tcPr>
            <w:tcW w:w="362" w:type="pct"/>
            <w:vAlign w:val="center"/>
          </w:tcPr>
          <w:p>
            <w:pPr>
              <w:spacing w:line="300" w:lineRule="exact"/>
              <w:jc w:val="right"/>
              <w:rPr>
                <w:rFonts w:ascii="方正书宋_GBK" w:eastAsia="方正书宋_GBK"/>
              </w:rPr>
            </w:pPr>
          </w:p>
        </w:tc>
        <w:tc>
          <w:tcPr>
            <w:tcW w:w="271" w:type="pct"/>
            <w:vAlign w:val="center"/>
          </w:tcPr>
          <w:p>
            <w:pPr>
              <w:spacing w:line="300" w:lineRule="exact"/>
              <w:jc w:val="right"/>
              <w:rPr>
                <w:rFonts w:ascii="方正书宋_GBK" w:eastAsia="方正书宋_GBK"/>
              </w:rPr>
            </w:pPr>
          </w:p>
        </w:tc>
        <w:tc>
          <w:tcPr>
            <w:tcW w:w="286" w:type="pct"/>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94" w:type="pct"/>
            <w:vAlign w:val="center"/>
          </w:tcPr>
          <w:p>
            <w:pPr>
              <w:spacing w:line="300" w:lineRule="exact"/>
              <w:jc w:val="left"/>
              <w:rPr>
                <w:rFonts w:ascii="方正书宋_GBK" w:eastAsia="方正书宋_GBK"/>
              </w:rPr>
            </w:pPr>
          </w:p>
        </w:tc>
        <w:tc>
          <w:tcPr>
            <w:tcW w:w="362" w:type="pct"/>
            <w:vAlign w:val="center"/>
          </w:tcPr>
          <w:p>
            <w:pPr>
              <w:spacing w:line="300" w:lineRule="exact"/>
              <w:jc w:val="right"/>
              <w:rPr>
                <w:rFonts w:ascii="方正书宋_GBK" w:eastAsia="方正书宋_GBK"/>
              </w:rPr>
            </w:pPr>
          </w:p>
        </w:tc>
        <w:tc>
          <w:tcPr>
            <w:tcW w:w="498" w:type="pct"/>
            <w:vAlign w:val="center"/>
          </w:tcPr>
          <w:p>
            <w:pPr>
              <w:spacing w:line="300" w:lineRule="exact"/>
              <w:jc w:val="left"/>
              <w:rPr>
                <w:rFonts w:ascii="方正书宋_GBK" w:eastAsia="方正书宋_GBK"/>
              </w:rPr>
            </w:pPr>
          </w:p>
        </w:tc>
        <w:tc>
          <w:tcPr>
            <w:tcW w:w="452" w:type="pct"/>
            <w:vAlign w:val="center"/>
          </w:tcPr>
          <w:p>
            <w:pPr>
              <w:spacing w:line="300" w:lineRule="exact"/>
              <w:jc w:val="left"/>
              <w:rPr>
                <w:rFonts w:ascii="方正书宋_GBK" w:eastAsia="方正书宋_GBK"/>
              </w:rPr>
            </w:pPr>
          </w:p>
        </w:tc>
        <w:tc>
          <w:tcPr>
            <w:tcW w:w="226" w:type="pct"/>
            <w:vAlign w:val="center"/>
          </w:tcPr>
          <w:p>
            <w:pPr>
              <w:spacing w:line="300" w:lineRule="exact"/>
              <w:jc w:val="left"/>
              <w:rPr>
                <w:rFonts w:ascii="方正书宋_GBK" w:eastAsia="方正书宋_GBK"/>
              </w:rPr>
            </w:pPr>
          </w:p>
        </w:tc>
        <w:tc>
          <w:tcPr>
            <w:tcW w:w="272" w:type="pct"/>
            <w:vAlign w:val="center"/>
          </w:tcPr>
          <w:p>
            <w:pPr>
              <w:spacing w:line="300" w:lineRule="exact"/>
              <w:jc w:val="right"/>
              <w:rPr>
                <w:rFonts w:ascii="方正书宋_GBK" w:eastAsia="方正书宋_GBK"/>
              </w:rPr>
            </w:pPr>
          </w:p>
        </w:tc>
        <w:tc>
          <w:tcPr>
            <w:tcW w:w="319" w:type="pct"/>
            <w:vAlign w:val="center"/>
          </w:tcPr>
          <w:p>
            <w:pPr>
              <w:spacing w:line="300" w:lineRule="exact"/>
              <w:jc w:val="right"/>
              <w:rPr>
                <w:rFonts w:ascii="方正书宋_GBK" w:eastAsia="方正书宋_GBK"/>
              </w:rPr>
            </w:pPr>
          </w:p>
        </w:tc>
        <w:tc>
          <w:tcPr>
            <w:tcW w:w="317" w:type="pct"/>
            <w:vAlign w:val="center"/>
          </w:tcPr>
          <w:p>
            <w:pPr>
              <w:spacing w:line="300" w:lineRule="exact"/>
              <w:jc w:val="right"/>
              <w:rPr>
                <w:rFonts w:ascii="方正书宋_GBK" w:eastAsia="方正书宋_GBK"/>
              </w:rPr>
            </w:pPr>
          </w:p>
        </w:tc>
        <w:tc>
          <w:tcPr>
            <w:tcW w:w="317" w:type="pct"/>
            <w:vAlign w:val="center"/>
          </w:tcPr>
          <w:p>
            <w:pPr>
              <w:spacing w:line="300" w:lineRule="exact"/>
              <w:jc w:val="right"/>
              <w:rPr>
                <w:rFonts w:ascii="方正书宋_GBK" w:eastAsia="方正书宋_GBK"/>
              </w:rPr>
            </w:pPr>
          </w:p>
        </w:tc>
        <w:tc>
          <w:tcPr>
            <w:tcW w:w="317" w:type="pct"/>
            <w:vAlign w:val="center"/>
          </w:tcPr>
          <w:p>
            <w:pPr>
              <w:spacing w:line="300" w:lineRule="exact"/>
              <w:jc w:val="right"/>
              <w:rPr>
                <w:rFonts w:ascii="方正书宋_GBK" w:eastAsia="方正书宋_GBK"/>
              </w:rPr>
            </w:pPr>
          </w:p>
        </w:tc>
        <w:tc>
          <w:tcPr>
            <w:tcW w:w="362" w:type="pct"/>
            <w:vAlign w:val="center"/>
          </w:tcPr>
          <w:p>
            <w:pPr>
              <w:spacing w:line="300" w:lineRule="exact"/>
              <w:jc w:val="right"/>
              <w:rPr>
                <w:rFonts w:ascii="方正书宋_GBK" w:eastAsia="方正书宋_GBK"/>
              </w:rPr>
            </w:pPr>
          </w:p>
        </w:tc>
        <w:tc>
          <w:tcPr>
            <w:tcW w:w="271" w:type="pct"/>
            <w:vAlign w:val="center"/>
          </w:tcPr>
          <w:p>
            <w:pPr>
              <w:spacing w:line="300" w:lineRule="exact"/>
              <w:jc w:val="right"/>
              <w:rPr>
                <w:rFonts w:ascii="方正书宋_GBK" w:eastAsia="方正书宋_GBK"/>
              </w:rPr>
            </w:pPr>
          </w:p>
        </w:tc>
        <w:tc>
          <w:tcPr>
            <w:tcW w:w="286" w:type="pct"/>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94" w:type="pct"/>
            <w:vAlign w:val="center"/>
          </w:tcPr>
          <w:p>
            <w:pPr>
              <w:spacing w:line="300" w:lineRule="exact"/>
              <w:jc w:val="left"/>
              <w:rPr>
                <w:rFonts w:ascii="方正书宋_GBK" w:eastAsia="方正书宋_GBK"/>
              </w:rPr>
            </w:pPr>
          </w:p>
        </w:tc>
        <w:tc>
          <w:tcPr>
            <w:tcW w:w="362" w:type="pct"/>
            <w:vAlign w:val="center"/>
          </w:tcPr>
          <w:p>
            <w:pPr>
              <w:spacing w:line="300" w:lineRule="exact"/>
              <w:jc w:val="right"/>
              <w:rPr>
                <w:rFonts w:ascii="方正书宋_GBK" w:eastAsia="方正书宋_GBK"/>
              </w:rPr>
            </w:pPr>
          </w:p>
        </w:tc>
        <w:tc>
          <w:tcPr>
            <w:tcW w:w="498" w:type="pct"/>
            <w:vAlign w:val="center"/>
          </w:tcPr>
          <w:p>
            <w:pPr>
              <w:spacing w:line="300" w:lineRule="exact"/>
              <w:jc w:val="left"/>
              <w:rPr>
                <w:rFonts w:ascii="方正书宋_GBK" w:eastAsia="方正书宋_GBK"/>
              </w:rPr>
            </w:pPr>
          </w:p>
        </w:tc>
        <w:tc>
          <w:tcPr>
            <w:tcW w:w="452" w:type="pct"/>
            <w:vAlign w:val="center"/>
          </w:tcPr>
          <w:p>
            <w:pPr>
              <w:spacing w:line="300" w:lineRule="exact"/>
              <w:jc w:val="left"/>
              <w:rPr>
                <w:rFonts w:ascii="方正书宋_GBK" w:eastAsia="方正书宋_GBK"/>
              </w:rPr>
            </w:pPr>
          </w:p>
        </w:tc>
        <w:tc>
          <w:tcPr>
            <w:tcW w:w="226" w:type="pct"/>
            <w:vAlign w:val="center"/>
          </w:tcPr>
          <w:p>
            <w:pPr>
              <w:spacing w:line="300" w:lineRule="exact"/>
              <w:jc w:val="left"/>
              <w:rPr>
                <w:rFonts w:ascii="方正书宋_GBK" w:eastAsia="方正书宋_GBK"/>
              </w:rPr>
            </w:pPr>
          </w:p>
        </w:tc>
        <w:tc>
          <w:tcPr>
            <w:tcW w:w="272" w:type="pct"/>
            <w:vAlign w:val="center"/>
          </w:tcPr>
          <w:p>
            <w:pPr>
              <w:spacing w:line="300" w:lineRule="exact"/>
              <w:jc w:val="right"/>
              <w:rPr>
                <w:rFonts w:ascii="方正书宋_GBK" w:eastAsia="方正书宋_GBK"/>
              </w:rPr>
            </w:pPr>
          </w:p>
        </w:tc>
        <w:tc>
          <w:tcPr>
            <w:tcW w:w="319" w:type="pct"/>
            <w:vAlign w:val="center"/>
          </w:tcPr>
          <w:p>
            <w:pPr>
              <w:spacing w:line="300" w:lineRule="exact"/>
              <w:jc w:val="right"/>
              <w:rPr>
                <w:rFonts w:ascii="方正书宋_GBK" w:eastAsia="方正书宋_GBK"/>
              </w:rPr>
            </w:pPr>
          </w:p>
        </w:tc>
        <w:tc>
          <w:tcPr>
            <w:tcW w:w="317" w:type="pct"/>
            <w:vAlign w:val="center"/>
          </w:tcPr>
          <w:p>
            <w:pPr>
              <w:spacing w:line="300" w:lineRule="exact"/>
              <w:jc w:val="right"/>
              <w:rPr>
                <w:rFonts w:ascii="方正书宋_GBK" w:eastAsia="方正书宋_GBK"/>
              </w:rPr>
            </w:pPr>
          </w:p>
        </w:tc>
        <w:tc>
          <w:tcPr>
            <w:tcW w:w="317" w:type="pct"/>
            <w:vAlign w:val="center"/>
          </w:tcPr>
          <w:p>
            <w:pPr>
              <w:spacing w:line="300" w:lineRule="exact"/>
              <w:jc w:val="right"/>
              <w:rPr>
                <w:rFonts w:ascii="方正书宋_GBK" w:eastAsia="方正书宋_GBK"/>
              </w:rPr>
            </w:pPr>
          </w:p>
        </w:tc>
        <w:tc>
          <w:tcPr>
            <w:tcW w:w="317" w:type="pct"/>
            <w:vAlign w:val="center"/>
          </w:tcPr>
          <w:p>
            <w:pPr>
              <w:spacing w:line="300" w:lineRule="exact"/>
              <w:jc w:val="right"/>
              <w:rPr>
                <w:rFonts w:ascii="方正书宋_GBK" w:eastAsia="方正书宋_GBK"/>
              </w:rPr>
            </w:pPr>
          </w:p>
        </w:tc>
        <w:tc>
          <w:tcPr>
            <w:tcW w:w="362" w:type="pct"/>
            <w:vAlign w:val="center"/>
          </w:tcPr>
          <w:p>
            <w:pPr>
              <w:spacing w:line="300" w:lineRule="exact"/>
              <w:jc w:val="right"/>
              <w:rPr>
                <w:rFonts w:ascii="方正书宋_GBK" w:eastAsia="方正书宋_GBK"/>
              </w:rPr>
            </w:pPr>
          </w:p>
        </w:tc>
        <w:tc>
          <w:tcPr>
            <w:tcW w:w="271" w:type="pct"/>
            <w:vAlign w:val="center"/>
          </w:tcPr>
          <w:p>
            <w:pPr>
              <w:spacing w:line="300" w:lineRule="exact"/>
              <w:jc w:val="right"/>
              <w:rPr>
                <w:rFonts w:ascii="方正书宋_GBK" w:eastAsia="方正书宋_GBK"/>
              </w:rPr>
            </w:pPr>
          </w:p>
        </w:tc>
        <w:tc>
          <w:tcPr>
            <w:tcW w:w="286" w:type="pct"/>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94" w:type="pct"/>
            <w:vAlign w:val="center"/>
          </w:tcPr>
          <w:p>
            <w:pPr>
              <w:spacing w:line="300" w:lineRule="exact"/>
              <w:jc w:val="left"/>
              <w:rPr>
                <w:rFonts w:ascii="方正书宋_GBK" w:eastAsia="方正书宋_GBK"/>
              </w:rPr>
            </w:pPr>
          </w:p>
        </w:tc>
        <w:tc>
          <w:tcPr>
            <w:tcW w:w="362" w:type="pct"/>
            <w:vAlign w:val="center"/>
          </w:tcPr>
          <w:p>
            <w:pPr>
              <w:spacing w:line="300" w:lineRule="exact"/>
              <w:jc w:val="right"/>
              <w:rPr>
                <w:rFonts w:ascii="方正书宋_GBK" w:eastAsia="方正书宋_GBK"/>
              </w:rPr>
            </w:pPr>
          </w:p>
        </w:tc>
        <w:tc>
          <w:tcPr>
            <w:tcW w:w="498" w:type="pct"/>
            <w:vAlign w:val="center"/>
          </w:tcPr>
          <w:p>
            <w:pPr>
              <w:spacing w:line="300" w:lineRule="exact"/>
              <w:jc w:val="left"/>
              <w:rPr>
                <w:rFonts w:ascii="方正书宋_GBK" w:eastAsia="方正书宋_GBK"/>
              </w:rPr>
            </w:pPr>
          </w:p>
        </w:tc>
        <w:tc>
          <w:tcPr>
            <w:tcW w:w="452" w:type="pct"/>
            <w:vAlign w:val="center"/>
          </w:tcPr>
          <w:p>
            <w:pPr>
              <w:spacing w:line="300" w:lineRule="exact"/>
              <w:jc w:val="left"/>
              <w:rPr>
                <w:rFonts w:ascii="方正书宋_GBK" w:eastAsia="方正书宋_GBK"/>
              </w:rPr>
            </w:pPr>
          </w:p>
        </w:tc>
        <w:tc>
          <w:tcPr>
            <w:tcW w:w="226" w:type="pct"/>
            <w:vAlign w:val="center"/>
          </w:tcPr>
          <w:p>
            <w:pPr>
              <w:spacing w:line="300" w:lineRule="exact"/>
              <w:jc w:val="left"/>
              <w:rPr>
                <w:rFonts w:ascii="方正书宋_GBK" w:eastAsia="方正书宋_GBK"/>
              </w:rPr>
            </w:pPr>
          </w:p>
        </w:tc>
        <w:tc>
          <w:tcPr>
            <w:tcW w:w="272" w:type="pct"/>
            <w:vAlign w:val="center"/>
          </w:tcPr>
          <w:p>
            <w:pPr>
              <w:spacing w:line="300" w:lineRule="exact"/>
              <w:jc w:val="right"/>
              <w:rPr>
                <w:rFonts w:ascii="方正书宋_GBK" w:eastAsia="方正书宋_GBK"/>
              </w:rPr>
            </w:pPr>
          </w:p>
        </w:tc>
        <w:tc>
          <w:tcPr>
            <w:tcW w:w="319" w:type="pct"/>
            <w:vAlign w:val="center"/>
          </w:tcPr>
          <w:p>
            <w:pPr>
              <w:spacing w:line="300" w:lineRule="exact"/>
              <w:jc w:val="right"/>
              <w:rPr>
                <w:rFonts w:ascii="方正书宋_GBK" w:eastAsia="方正书宋_GBK"/>
              </w:rPr>
            </w:pPr>
          </w:p>
        </w:tc>
        <w:tc>
          <w:tcPr>
            <w:tcW w:w="317" w:type="pct"/>
            <w:vAlign w:val="center"/>
          </w:tcPr>
          <w:p>
            <w:pPr>
              <w:spacing w:line="300" w:lineRule="exact"/>
              <w:jc w:val="right"/>
              <w:rPr>
                <w:rFonts w:ascii="方正书宋_GBK" w:eastAsia="方正书宋_GBK"/>
              </w:rPr>
            </w:pPr>
          </w:p>
        </w:tc>
        <w:tc>
          <w:tcPr>
            <w:tcW w:w="317" w:type="pct"/>
            <w:vAlign w:val="center"/>
          </w:tcPr>
          <w:p>
            <w:pPr>
              <w:spacing w:line="300" w:lineRule="exact"/>
              <w:jc w:val="right"/>
              <w:rPr>
                <w:rFonts w:ascii="方正书宋_GBK" w:eastAsia="方正书宋_GBK"/>
              </w:rPr>
            </w:pPr>
          </w:p>
        </w:tc>
        <w:tc>
          <w:tcPr>
            <w:tcW w:w="317" w:type="pct"/>
            <w:vAlign w:val="center"/>
          </w:tcPr>
          <w:p>
            <w:pPr>
              <w:spacing w:line="300" w:lineRule="exact"/>
              <w:jc w:val="right"/>
              <w:rPr>
                <w:rFonts w:ascii="方正书宋_GBK" w:eastAsia="方正书宋_GBK"/>
              </w:rPr>
            </w:pPr>
          </w:p>
        </w:tc>
        <w:tc>
          <w:tcPr>
            <w:tcW w:w="362" w:type="pct"/>
            <w:vAlign w:val="center"/>
          </w:tcPr>
          <w:p>
            <w:pPr>
              <w:spacing w:line="300" w:lineRule="exact"/>
              <w:jc w:val="right"/>
              <w:rPr>
                <w:rFonts w:ascii="方正书宋_GBK" w:eastAsia="方正书宋_GBK"/>
              </w:rPr>
            </w:pPr>
          </w:p>
        </w:tc>
        <w:tc>
          <w:tcPr>
            <w:tcW w:w="271" w:type="pct"/>
            <w:vAlign w:val="center"/>
          </w:tcPr>
          <w:p>
            <w:pPr>
              <w:spacing w:line="300" w:lineRule="exact"/>
              <w:jc w:val="right"/>
              <w:rPr>
                <w:rFonts w:ascii="方正书宋_GBK" w:eastAsia="方正书宋_GBK"/>
              </w:rPr>
            </w:pPr>
          </w:p>
        </w:tc>
        <w:tc>
          <w:tcPr>
            <w:tcW w:w="286" w:type="pct"/>
            <w:vAlign w:val="center"/>
          </w:tcPr>
          <w:p>
            <w:pPr>
              <w:spacing w:line="300" w:lineRule="exact"/>
              <w:jc w:val="right"/>
              <w:rPr>
                <w:rFonts w:ascii="方正书宋_GBK" w:eastAsia="方正书宋_GBK"/>
              </w:rPr>
            </w:pPr>
          </w:p>
        </w:tc>
      </w:tr>
    </w:tbl>
    <w:p>
      <w:pPr>
        <w:autoSpaceDE w:val="0"/>
        <w:autoSpaceDN w:val="0"/>
        <w:adjustRightInd w:val="0"/>
        <w:ind w:firstLine="640" w:firstLineChars="200"/>
        <w:jc w:val="left"/>
        <w:rPr>
          <w:rFonts w:hint="eastAsia" w:ascii="黑体" w:hAnsi="黑体" w:eastAsia="黑体" w:cs="Times New Roman"/>
          <w:color w:val="FF0000"/>
          <w:sz w:val="32"/>
          <w:szCs w:val="32"/>
          <w:lang w:eastAsia="zh-CN"/>
        </w:rPr>
      </w:pPr>
      <w:r>
        <w:rPr>
          <w:rFonts w:hint="eastAsia" w:ascii="仿宋" w:hAnsi="仿宋" w:eastAsia="仿宋" w:cs="仿宋"/>
          <w:color w:val="000000" w:themeColor="text1"/>
          <w:sz w:val="32"/>
          <w:szCs w:val="32"/>
          <w:lang w:eastAsia="zh-CN"/>
          <w14:textFill>
            <w14:solidFill>
              <w14:schemeClr w14:val="tx1"/>
            </w14:solidFill>
          </w14:textFill>
        </w:rPr>
        <w:t>注：本部门无</w:t>
      </w:r>
      <w:r>
        <w:rPr>
          <w:rFonts w:hint="eastAsia" w:ascii="仿宋" w:hAnsi="仿宋" w:eastAsia="仿宋" w:cs="仿宋"/>
          <w:color w:val="000000" w:themeColor="text1"/>
          <w:sz w:val="32"/>
          <w:szCs w:val="32"/>
          <w14:textFill>
            <w14:solidFill>
              <w14:schemeClr w14:val="tx1"/>
            </w14:solidFill>
          </w14:textFill>
        </w:rPr>
        <w:t>政府采购预算情况</w:t>
      </w:r>
      <w:r>
        <w:rPr>
          <w:rFonts w:hint="eastAsia" w:ascii="仿宋" w:hAnsi="仿宋" w:eastAsia="仿宋" w:cs="仿宋"/>
          <w:color w:val="000000" w:themeColor="text1"/>
          <w:sz w:val="32"/>
          <w:szCs w:val="32"/>
          <w:lang w:eastAsia="zh-CN"/>
          <w14:textFill>
            <w14:solidFill>
              <w14:schemeClr w14:val="tx1"/>
            </w14:solidFill>
          </w14:textFill>
        </w:rPr>
        <w:t>，故空表列示</w:t>
      </w:r>
      <w:r>
        <w:rPr>
          <w:rFonts w:hint="eastAsia" w:ascii="黑体" w:hAnsi="黑体" w:eastAsia="黑体" w:cs="Times New Roman"/>
          <w:color w:val="000000" w:themeColor="text1"/>
          <w:sz w:val="32"/>
          <w:szCs w:val="32"/>
          <w:lang w:eastAsia="zh-CN"/>
          <w14:textFill>
            <w14:solidFill>
              <w14:schemeClr w14:val="tx1"/>
            </w14:solidFill>
          </w14:textFill>
        </w:rPr>
        <w:t>。</w:t>
      </w:r>
    </w:p>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hint="eastAsia" w:ascii="Times New Roman" w:hAnsi="Times New Roman" w:eastAsia="仿宋" w:cs="Times New Roman"/>
          <w:color w:val="000000"/>
          <w:sz w:val="32"/>
          <w:szCs w:val="32"/>
          <w:lang w:eastAsia="zh-CN"/>
        </w:rPr>
      </w:pPr>
      <w:r>
        <w:rPr>
          <w:rFonts w:hint="eastAsia" w:ascii="Times New Roman" w:hAnsi="Times New Roman" w:eastAsia="仿宋" w:cs="Times New Roman"/>
          <w:color w:val="000000" w:themeColor="text1"/>
          <w:sz w:val="32"/>
          <w:szCs w:val="32"/>
          <w:lang w:val="en-US" w:eastAsia="zh-CN"/>
          <w14:textFill>
            <w14:solidFill>
              <w14:schemeClr w14:val="tx1"/>
            </w14:solidFill>
          </w14:textFill>
        </w:rPr>
        <w:t>石家庄市藁城区文学艺术界联合会</w:t>
      </w:r>
      <w:r>
        <w:rPr>
          <w:rFonts w:hint="eastAsia" w:ascii="Times New Roman" w:hAnsi="Times New Roman" w:eastAsia="仿宋" w:cs="Times New Roman"/>
          <w:color w:val="000000"/>
          <w:sz w:val="32"/>
          <w:szCs w:val="32"/>
        </w:rPr>
        <w:t>201</w:t>
      </w:r>
      <w:r>
        <w:rPr>
          <w:rFonts w:hint="eastAsia" w:ascii="Times New Roman" w:hAnsi="Times New Roman" w:eastAsia="仿宋" w:cs="Times New Roman"/>
          <w:color w:val="000000"/>
          <w:sz w:val="32"/>
          <w:szCs w:val="32"/>
          <w:lang w:val="en-US" w:eastAsia="zh-CN"/>
        </w:rPr>
        <w:t>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lang w:val="en-US" w:eastAsia="zh-CN"/>
        </w:rPr>
        <w:t>5.5</w:t>
      </w:r>
      <w:r>
        <w:rPr>
          <w:rFonts w:ascii="Times New Roman" w:hAnsi="Times New Roman" w:eastAsia="仿宋" w:cs="Times New Roman"/>
          <w:color w:val="000000"/>
          <w:sz w:val="32"/>
          <w:szCs w:val="32"/>
        </w:rPr>
        <w:t>万元</w:t>
      </w:r>
      <w:r>
        <w:rPr>
          <w:rFonts w:hint="eastAsia" w:ascii="Times New Roman" w:hAnsi="Times New Roman" w:eastAsia="仿宋" w:cs="Times New Roman"/>
          <w:color w:val="000000"/>
          <w:sz w:val="32"/>
          <w:szCs w:val="32"/>
          <w:lang w:eastAsia="zh-CN"/>
        </w:rPr>
        <w:t>，</w:t>
      </w:r>
      <w:r>
        <w:rPr>
          <w:rFonts w:hint="eastAsia" w:ascii="仿宋" w:hAnsi="仿宋" w:eastAsia="仿宋"/>
          <w:sz w:val="32"/>
          <w:szCs w:val="32"/>
          <w:lang w:eastAsia="zh-CN"/>
        </w:rPr>
        <w:t>本年度无购置固定资产计划</w:t>
      </w:r>
      <w:r>
        <w:rPr>
          <w:rFonts w:ascii="Times New Roman" w:hAnsi="Times New Roman" w:eastAsia="仿宋" w:cs="Times New Roman"/>
          <w:color w:val="000000"/>
          <w:sz w:val="32"/>
          <w:szCs w:val="32"/>
        </w:rPr>
        <w:t>（详见下表）</w:t>
      </w:r>
      <w:r>
        <w:rPr>
          <w:rFonts w:hint="eastAsia" w:ascii="Times New Roman" w:hAnsi="Times New Roman" w:eastAsia="仿宋" w:cs="Times New Roman"/>
          <w:color w:val="000000"/>
          <w:sz w:val="32"/>
          <w:szCs w:val="32"/>
          <w:lang w:eastAsia="zh-CN"/>
        </w:rPr>
        <w:t>。</w:t>
      </w:r>
    </w:p>
    <w:tbl>
      <w:tblPr>
        <w:tblStyle w:val="3"/>
        <w:tblW w:w="5000" w:type="pct"/>
        <w:tblInd w:w="0" w:type="dxa"/>
        <w:tblLayout w:type="autofit"/>
        <w:tblCellMar>
          <w:top w:w="0" w:type="dxa"/>
          <w:left w:w="108" w:type="dxa"/>
          <w:bottom w:w="0" w:type="dxa"/>
          <w:right w:w="108" w:type="dxa"/>
        </w:tblCellMar>
      </w:tblPr>
      <w:tblGrid>
        <w:gridCol w:w="3301"/>
        <w:gridCol w:w="1994"/>
        <w:gridCol w:w="3227"/>
      </w:tblGrid>
      <w:tr>
        <w:tblPrEx>
          <w:tblCellMar>
            <w:top w:w="0" w:type="dxa"/>
            <w:left w:w="108" w:type="dxa"/>
            <w:bottom w:w="0" w:type="dxa"/>
            <w:right w:w="108" w:type="dxa"/>
          </w:tblCellMar>
        </w:tblPrEx>
        <w:trPr>
          <w:trHeight w:val="705" w:hRule="atLeast"/>
        </w:trPr>
        <w:tc>
          <w:tcPr>
            <w:tcW w:w="5000" w:type="pct"/>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黑体" w:hAnsi="黑体" w:eastAsia="黑体" w:cs="黑体"/>
                <w:color w:val="000000" w:themeColor="text1"/>
                <w:sz w:val="32"/>
                <w:szCs w:val="32"/>
                <w:lang w:val="en-US" w:eastAsia="zh-CN"/>
                <w14:textFill>
                  <w14:solidFill>
                    <w14:schemeClr w14:val="tx1"/>
                  </w14:solidFill>
                </w14:textFill>
              </w:rPr>
              <w:t>石家庄市藁城区文学艺术界联合会</w:t>
            </w:r>
            <w:r>
              <w:rPr>
                <w:rFonts w:hint="eastAsia" w:ascii="黑体" w:hAnsi="黑体" w:eastAsia="黑体" w:cs="黑体"/>
                <w:b/>
                <w:bCs/>
                <w:kern w:val="0"/>
                <w:sz w:val="32"/>
                <w:szCs w:val="32"/>
              </w:rPr>
              <w:t>固定资产占用情况表</w:t>
            </w:r>
          </w:p>
        </w:tc>
      </w:tr>
      <w:tr>
        <w:tblPrEx>
          <w:tblCellMar>
            <w:top w:w="0" w:type="dxa"/>
            <w:left w:w="108" w:type="dxa"/>
            <w:bottom w:w="0" w:type="dxa"/>
            <w:right w:w="108" w:type="dxa"/>
          </w:tblCellMar>
        </w:tblPrEx>
        <w:trPr>
          <w:trHeight w:val="510" w:hRule="atLeast"/>
        </w:trPr>
        <w:tc>
          <w:tcPr>
            <w:tcW w:w="3107" w:type="pct"/>
            <w:gridSpan w:val="2"/>
            <w:tcBorders>
              <w:top w:val="nil"/>
              <w:left w:val="nil"/>
              <w:bottom w:val="nil"/>
              <w:right w:val="nil"/>
            </w:tcBorders>
            <w:vAlign w:val="center"/>
          </w:tcPr>
          <w:p>
            <w:pPr>
              <w:widowControl/>
              <w:jc w:val="left"/>
              <w:rPr>
                <w:rFonts w:hint="default" w:ascii="Times New Roman" w:hAnsi="Times New Roman" w:eastAsia="仿宋" w:cs="Times New Roman"/>
                <w:kern w:val="0"/>
                <w:sz w:val="22"/>
                <w:lang w:val="en-US" w:eastAsia="zh-CN"/>
              </w:rPr>
            </w:pPr>
            <w:r>
              <w:rPr>
                <w:rFonts w:ascii="Times New Roman" w:hAnsi="Times New Roman" w:eastAsia="仿宋" w:cs="Times New Roman"/>
                <w:kern w:val="0"/>
                <w:sz w:val="22"/>
              </w:rPr>
              <w:t>编制部门：</w:t>
            </w:r>
            <w:r>
              <w:rPr>
                <w:rFonts w:hint="eastAsia" w:ascii="Times New Roman" w:hAnsi="Times New Roman" w:eastAsia="仿宋" w:cs="Times New Roman"/>
                <w:color w:val="000000" w:themeColor="text1"/>
                <w:sz w:val="22"/>
                <w:szCs w:val="22"/>
                <w:lang w:val="en-US" w:eastAsia="zh-CN"/>
                <w14:textFill>
                  <w14:solidFill>
                    <w14:schemeClr w14:val="tx1"/>
                  </w14:solidFill>
                </w14:textFill>
              </w:rPr>
              <w:t>石家庄市藁城区文学艺术界联合会</w:t>
            </w:r>
          </w:p>
        </w:tc>
        <w:tc>
          <w:tcPr>
            <w:tcW w:w="1892" w:type="pct"/>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lang w:val="en-US" w:eastAsia="zh-CN"/>
              </w:rPr>
              <w:t>9</w:t>
            </w:r>
            <w:r>
              <w:rPr>
                <w:rFonts w:ascii="Times New Roman" w:hAnsi="Times New Roman" w:eastAsia="仿宋" w:cs="Times New Roman"/>
                <w:kern w:val="0"/>
                <w:sz w:val="22"/>
              </w:rPr>
              <w:t>年12月31日</w:t>
            </w:r>
          </w:p>
        </w:tc>
      </w:tr>
      <w:tr>
        <w:tblPrEx>
          <w:tblCellMar>
            <w:top w:w="0" w:type="dxa"/>
            <w:left w:w="108" w:type="dxa"/>
            <w:bottom w:w="0" w:type="dxa"/>
            <w:right w:w="108" w:type="dxa"/>
          </w:tblCellMar>
        </w:tblPrEx>
        <w:trPr>
          <w:trHeight w:val="645" w:hRule="atLeast"/>
        </w:trPr>
        <w:tc>
          <w:tcPr>
            <w:tcW w:w="1937" w:type="pct"/>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1169" w:type="pct"/>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1892" w:type="pct"/>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rPr>
          <w:trHeight w:val="645" w:hRule="atLeast"/>
        </w:trPr>
        <w:tc>
          <w:tcPr>
            <w:tcW w:w="1937" w:type="pct"/>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1169" w:type="pct"/>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1892" w:type="pct"/>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color w:val="FF0000"/>
                <w:kern w:val="0"/>
                <w:sz w:val="22"/>
                <w:lang w:val="en-US" w:eastAsia="zh-CN"/>
              </w:rPr>
            </w:pPr>
            <w:r>
              <w:rPr>
                <w:rFonts w:hint="eastAsia" w:ascii="Times New Roman" w:hAnsi="Times New Roman" w:eastAsia="仿宋" w:cs="Times New Roman"/>
                <w:color w:val="auto"/>
                <w:kern w:val="0"/>
                <w:sz w:val="22"/>
                <w:lang w:val="en-US" w:eastAsia="zh-CN"/>
              </w:rPr>
              <w:t>5.5</w:t>
            </w:r>
          </w:p>
        </w:tc>
      </w:tr>
      <w:tr>
        <w:tblPrEx>
          <w:tblCellMar>
            <w:top w:w="0" w:type="dxa"/>
            <w:left w:w="108" w:type="dxa"/>
            <w:bottom w:w="0" w:type="dxa"/>
            <w:right w:w="108" w:type="dxa"/>
          </w:tblCellMar>
        </w:tblPrEx>
        <w:trPr>
          <w:trHeight w:val="645" w:hRule="atLeast"/>
        </w:trPr>
        <w:tc>
          <w:tcPr>
            <w:tcW w:w="1937" w:type="pct"/>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1169" w:type="pct"/>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1892" w:type="pct"/>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1937" w:type="pct"/>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1169" w:type="pct"/>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1892" w:type="pct"/>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1937" w:type="pct"/>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1169" w:type="pct"/>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1892" w:type="pct"/>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1937" w:type="pct"/>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1169" w:type="pct"/>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1892" w:type="pct"/>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rPr>
          <w:trHeight w:val="645" w:hRule="atLeast"/>
        </w:trPr>
        <w:tc>
          <w:tcPr>
            <w:tcW w:w="1937" w:type="pct"/>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1169" w:type="pct"/>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1892" w:type="pct"/>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5.5</w:t>
            </w:r>
          </w:p>
        </w:tc>
      </w:tr>
    </w:tbl>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jc w:val="left"/>
        <w:rPr>
          <w:rFonts w:hint="eastAsia" w:ascii="黑体" w:hAnsi="黑体" w:eastAsia="黑体" w:cs="Times New Roman"/>
          <w:sz w:val="32"/>
          <w:szCs w:val="32"/>
        </w:rPr>
      </w:pPr>
    </w:p>
    <w:p>
      <w:pPr>
        <w:autoSpaceDE w:val="0"/>
        <w:autoSpaceDN w:val="0"/>
        <w:adjustRightInd w:val="0"/>
        <w:jc w:val="left"/>
        <w:rPr>
          <w:rFonts w:hint="eastAsia" w:ascii="黑体" w:hAnsi="黑体" w:eastAsia="黑体" w:cs="Times New Roman"/>
          <w:sz w:val="32"/>
          <w:szCs w:val="32"/>
        </w:rPr>
      </w:pPr>
    </w:p>
    <w:p>
      <w:pPr>
        <w:autoSpaceDE w:val="0"/>
        <w:autoSpaceDN w:val="0"/>
        <w:adjustRightInd w:val="0"/>
        <w:jc w:val="left"/>
        <w:rPr>
          <w:rFonts w:hint="eastAsia" w:ascii="黑体" w:hAnsi="黑体" w:eastAsia="黑体" w:cs="Times New Roman"/>
          <w:sz w:val="32"/>
          <w:szCs w:val="32"/>
        </w:rPr>
      </w:pPr>
    </w:p>
    <w:p>
      <w:pPr>
        <w:autoSpaceDE w:val="0"/>
        <w:autoSpaceDN w:val="0"/>
        <w:adjustRightInd w:val="0"/>
        <w:jc w:val="left"/>
        <w:rPr>
          <w:rFonts w:hint="eastAsia" w:ascii="黑体" w:hAnsi="黑体" w:eastAsia="黑体" w:cs="Times New Roman"/>
          <w:sz w:val="32"/>
          <w:szCs w:val="32"/>
        </w:rPr>
      </w:pPr>
    </w:p>
    <w:p>
      <w:pPr>
        <w:autoSpaceDE w:val="0"/>
        <w:autoSpaceDN w:val="0"/>
        <w:adjustRightInd w:val="0"/>
        <w:jc w:val="left"/>
        <w:rPr>
          <w:rFonts w:hint="eastAsia" w:ascii="黑体" w:hAnsi="黑体" w:eastAsia="黑体" w:cs="Times New Roman"/>
          <w:sz w:val="32"/>
          <w:szCs w:val="32"/>
        </w:rPr>
      </w:pPr>
    </w:p>
    <w:p>
      <w:pPr>
        <w:autoSpaceDE w:val="0"/>
        <w:autoSpaceDN w:val="0"/>
        <w:adjustRightInd w:val="0"/>
        <w:jc w:val="left"/>
        <w:rPr>
          <w:rFonts w:hint="eastAsia" w:ascii="黑体" w:hAnsi="黑体" w:eastAsia="黑体" w:cs="Times New Roman"/>
          <w:sz w:val="32"/>
          <w:szCs w:val="32"/>
        </w:rPr>
      </w:pPr>
    </w:p>
    <w:p>
      <w:pPr>
        <w:autoSpaceDE w:val="0"/>
        <w:autoSpaceDN w:val="0"/>
        <w:adjustRightInd w:val="0"/>
        <w:jc w:val="left"/>
        <w:rPr>
          <w:rFonts w:hint="eastAsia" w:ascii="黑体" w:hAnsi="黑体" w:eastAsia="黑体" w:cs="Times New Roman"/>
          <w:sz w:val="32"/>
          <w:szCs w:val="32"/>
        </w:rPr>
      </w:pPr>
    </w:p>
    <w:p>
      <w:pPr>
        <w:autoSpaceDE w:val="0"/>
        <w:autoSpaceDN w:val="0"/>
        <w:adjustRightInd w:val="0"/>
        <w:jc w:val="left"/>
        <w:rPr>
          <w:rFonts w:hint="eastAsia" w:ascii="黑体" w:hAnsi="黑体" w:eastAsia="黑体" w:cs="Times New Roman"/>
          <w:sz w:val="32"/>
          <w:szCs w:val="32"/>
        </w:rPr>
      </w:pPr>
    </w:p>
    <w:p>
      <w:pPr>
        <w:autoSpaceDE w:val="0"/>
        <w:autoSpaceDN w:val="0"/>
        <w:adjustRightInd w:val="0"/>
        <w:jc w:val="left"/>
        <w:rPr>
          <w:rFonts w:hint="eastAsia" w:ascii="黑体" w:hAnsi="黑体" w:eastAsia="黑体" w:cs="Times New Roman"/>
          <w:sz w:val="32"/>
          <w:szCs w:val="32"/>
        </w:rPr>
      </w:pPr>
    </w:p>
    <w:p>
      <w:pPr>
        <w:autoSpaceDE w:val="0"/>
        <w:autoSpaceDN w:val="0"/>
        <w:adjustRightInd w:val="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w:t>
      </w:r>
      <w:r>
        <w:rPr>
          <w:rFonts w:hint="eastAsia" w:ascii="Times New Roman" w:hAnsi="Times New Roman" w:eastAsia="仿宋" w:cs="Times New Roman"/>
          <w:sz w:val="32"/>
          <w:szCs w:val="32"/>
          <w:lang w:eastAsia="zh-CN"/>
        </w:rPr>
        <w:t>区县级</w:t>
      </w:r>
      <w:r>
        <w:rPr>
          <w:rFonts w:hint="eastAsia" w:ascii="Times New Roman" w:hAnsi="Times New Roman" w:eastAsia="仿宋" w:cs="Times New Roman"/>
          <w:sz w:val="32"/>
          <w:szCs w:val="32"/>
        </w:rPr>
        <w:t>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w:t>
      </w:r>
      <w:r>
        <w:rPr>
          <w:rFonts w:hint="eastAsia" w:ascii="Times New Roman" w:hAnsi="Times New Roman" w:eastAsia="仿宋" w:cs="Times New Roman"/>
          <w:sz w:val="32"/>
          <w:szCs w:val="32"/>
          <w:lang w:eastAsia="zh-CN"/>
        </w:rPr>
        <w:t>区县级</w:t>
      </w:r>
      <w:r>
        <w:rPr>
          <w:rFonts w:hint="eastAsia" w:ascii="Times New Roman" w:hAnsi="Times New Roman" w:eastAsia="仿宋" w:cs="Times New Roman"/>
          <w:sz w:val="32"/>
          <w:szCs w:val="32"/>
        </w:rPr>
        <w:t>财政预算管理的“三公”经费，是指</w:t>
      </w:r>
      <w:r>
        <w:rPr>
          <w:rFonts w:hint="eastAsia" w:ascii="Times New Roman" w:hAnsi="Times New Roman" w:eastAsia="仿宋" w:cs="Times New Roman"/>
          <w:sz w:val="32"/>
          <w:szCs w:val="32"/>
          <w:lang w:eastAsia="zh-CN"/>
        </w:rPr>
        <w:t>区县级</w:t>
      </w:r>
      <w:r>
        <w:rPr>
          <w:rFonts w:hint="eastAsia" w:ascii="Times New Roman" w:hAnsi="Times New Roman" w:eastAsia="仿宋" w:cs="Times New Roman"/>
          <w:sz w:val="32"/>
          <w:szCs w:val="32"/>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p/>
    <w:sectPr>
      <w:footerReference r:id="rId3"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3000509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仿宋_GBK">
    <w:altName w:val="微软雅黑"/>
    <w:panose1 w:val="03000509000000000000"/>
    <w:charset w:val="86"/>
    <w:family w:val="script"/>
    <w:pitch w:val="default"/>
    <w:sig w:usb0="00000000" w:usb1="00000000" w:usb2="00000010" w:usb3="00000000" w:csb0="00040000" w:csb1="00000000"/>
  </w:font>
  <w:font w:name="方正书宋_GBK">
    <w:altName w:val="微软雅黑"/>
    <w:panose1 w:val="03000509000000000000"/>
    <w:charset w:val="86"/>
    <w:family w:val="script"/>
    <w:pitch w:val="default"/>
    <w:sig w:usb0="00000000" w:usb1="00000000" w:usb2="0000001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5"/>
      </w:rPr>
    </w:pPr>
    <w:r>
      <w:fldChar w:fldCharType="begin"/>
    </w:r>
    <w:r>
      <w:rPr>
        <w:rStyle w:val="5"/>
      </w:rPr>
      <w:instrText xml:space="preserve">PAGE  </w:instrText>
    </w:r>
    <w:r>
      <w:fldChar w:fldCharType="separate"/>
    </w:r>
    <w:r>
      <w:rPr>
        <w:rStyle w:val="5"/>
      </w:rPr>
      <w:t>12</w:t>
    </w:r>
    <w:r>
      <w:fldChar w:fldCharType="end"/>
    </w:r>
  </w:p>
  <w:p>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singleLevel"/>
    <w:tmpl w:val="00000008"/>
    <w:lvl w:ilvl="0" w:tentative="0">
      <w:start w:val="3"/>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FF97BAB"/>
    <w:rsid w:val="1FF97BA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rFonts w:ascii="Times New Roman" w:hAnsi="Times New Roman" w:cs="Times New Roman"/>
      <w:sz w:val="18"/>
      <w:szCs w:val="18"/>
    </w:rPr>
  </w:style>
  <w:style w:type="character" w:customStyle="1" w:styleId="5">
    <w:name w:val="页码1"/>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9</TotalTime>
  <ScaleCrop>false</ScaleCrop>
  <LinksUpToDate>false</LinksUpToDate>
  <CharactersWithSpaces>0</CharactersWithSpaces>
  <Application>WPS Office_11.1.0.10495_F1E327BC-269C-435d-A152-05C5408002CA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2021-05-24T02:50:00Z</dcterms:created>
  <dc:creator>善泉</dc:creator>
  <cp:lastModifiedBy>善泉</cp:lastModifiedBy>
  <dcterms:modified xsi:type="dcterms:W3CDTF">2021-05-24T03:08:58Z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4C11081E694A4D6D84C999E4C6DD09AC</vt:lpwstr>
  </property>
</Properties>
</file>