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石家庄市藁城区总工会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按照《预算法》、《地方预决算公开操作规程》和《河北省省级预算公开办法》规定，现将石家庄市藁城区总工会2020年部门预算公开如下：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56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56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（一）完善工会参与社会管理机制。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56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确保职工合法权益的到有效保障，改善困难劳模生活困境，全力维护职工队伍和谐稳定，提升广大职工技术技能素质。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（二）维护职工合法权益。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（三）劳动模范管理。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协助区政府做好省、市及全国劳模的推荐和管理工作。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（四）提高广大职工技术技能素质和文化生活。</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指导基层工会开展群众性经济技术创新活动以及劳动竞赛、岗位练兵、技能比赛和各类文体活动。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（五）综合工会事务管理。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560"/>
        <w:rPr>
          <w:rFonts w:ascii="仿宋" w:hAnsi="仿宋" w:eastAsia="仿宋" w:cs="Times New Roman"/>
          <w:sz w:val="32"/>
          <w:szCs w:val="32"/>
        </w:rPr>
      </w:pPr>
      <w:r>
        <w:rPr>
          <w:rFonts w:hint="eastAsia" w:asciiTheme="minorEastAsia" w:hAnsiTheme="minorEastAsia" w:eastAsiaTheme="minorEastAsia" w:cstheme="minorEastAsia"/>
          <w:sz w:val="32"/>
          <w:szCs w:val="32"/>
        </w:rP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pPr>
        <w:ind w:firstLine="640"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石家庄市藁城区总工会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石家庄市藁城区总工会部门</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反映本部门当年全部收入。2020年预算收入448.46万元，其中：一般公共预算收入448.6万元，基金预算收入0万元，财政专户核拨收入0万元，其他来源收入0万元。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总工会部门预算中支出预算的总体情况。2020年部门支出预算为448.46万元，其中基本支出38.17万元，包括人员经费37.14万元和日常公用经费1.03万元；项目支出410.29万元，主要为机关商品和服务支出404万元，对个人和家庭的补助支出6.29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448.46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较2019年减少22.87万元，其中：基本支出减少21.21万元，主要是人员减少，相应减少人员经费和日常公用经费；项目支出减少0.76万元，主要是救助困难职工及劳模救助资金减少；其他支出无增减变化。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 w:hAnsi="仿宋" w:eastAsia="仿宋"/>
          <w:sz w:val="32"/>
          <w:szCs w:val="32"/>
        </w:rPr>
      </w:pPr>
      <w:r>
        <w:rPr>
          <w:rFonts w:hint="eastAsia" w:ascii="Times New Roman" w:hAnsi="Times New Roman" w:eastAsia="仿宋" w:cs="Times New Roman"/>
          <w:sz w:val="32"/>
          <w:szCs w:val="32"/>
        </w:rPr>
        <w:t>2020年，我部门机关运行经费共计安排1.03万元，主要用于</w:t>
      </w:r>
      <w:r>
        <w:rPr>
          <w:rFonts w:hint="eastAsia" w:ascii="Times New Roman" w:hAnsi="Times New Roman" w:eastAsia="仿宋" w:cs="Times New Roman"/>
          <w:sz w:val="32"/>
          <w:szCs w:val="32"/>
          <w:lang w:eastAsia="zh-CN"/>
        </w:rPr>
        <w:t>办公</w:t>
      </w:r>
      <w:r>
        <w:rPr>
          <w:rFonts w:hint="eastAsia" w:ascii="Times New Roman" w:hAnsi="Times New Roman" w:eastAsia="仿宋" w:cs="Times New Roman"/>
          <w:sz w:val="32"/>
          <w:szCs w:val="32"/>
        </w:rPr>
        <w:t>费</w:t>
      </w:r>
      <w:r>
        <w:rPr>
          <w:rFonts w:hint="eastAsia" w:ascii="Times New Roman" w:hAnsi="Times New Roman" w:eastAsia="仿宋" w:cs="Times New Roman"/>
          <w:sz w:val="32"/>
          <w:szCs w:val="32"/>
          <w:lang w:eastAsia="zh-CN"/>
        </w:rPr>
        <w:t>、水电费、邮电费等</w:t>
      </w:r>
      <w:r>
        <w:rPr>
          <w:rFonts w:hint="eastAsia" w:ascii="Times New Roman" w:hAnsi="Times New Roman" w:eastAsia="仿宋" w:cs="Times New Roman"/>
          <w:sz w:val="32"/>
          <w:szCs w:val="32"/>
        </w:rPr>
        <w:t>支出。</w:t>
      </w:r>
      <w:bookmarkStart w:id="8" w:name="_GoBack"/>
      <w:bookmarkEnd w:id="8"/>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2020年，我部门财政拨款“三公”经费预算安排0万元，与上年持平，无增减变化,其中：</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因公出国（境）费0万元,与上年持平，无增减变化；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公务用车购置及运维费0万元（其中：公务用车购置费0万元，公务用车运行维护费0万元), 与上年持平，无增减变化；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公务接待费0万元, 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autoSpaceDE w:val="0"/>
        <w:autoSpaceDN w:val="0"/>
        <w:adjustRightInd w:val="0"/>
        <w:ind w:left="198" w:firstLine="640" w:firstLineChars="200"/>
        <w:jc w:val="left"/>
        <w:rPr>
          <w:rFonts w:ascii="宋体" w:hAnsi="宋体" w:cs="宋体"/>
          <w:sz w:val="32"/>
          <w:szCs w:val="32"/>
        </w:rPr>
      </w:pPr>
      <w:r>
        <w:rPr>
          <w:rFonts w:hint="eastAsia" w:ascii="宋体" w:hAnsi="宋体" w:cs="宋体"/>
          <w:sz w:val="32"/>
          <w:szCs w:val="32"/>
        </w:rPr>
        <w:t xml:space="preserve"> 区总工会坚持以习近平新时代中国特色</w:t>
      </w:r>
      <w:r>
        <w:rPr>
          <w:rFonts w:hint="eastAsia" w:ascii="Times New Roman" w:hAnsi="Times New Roman" w:eastAsia="仿宋" w:cs="Times New Roman"/>
          <w:sz w:val="32"/>
          <w:szCs w:val="32"/>
        </w:rPr>
        <w:t>社会主义</w:t>
      </w:r>
      <w:r>
        <w:rPr>
          <w:rFonts w:hint="eastAsia" w:ascii="宋体" w:hAnsi="宋体" w:cs="宋体"/>
          <w:sz w:val="32"/>
          <w:szCs w:val="32"/>
        </w:rPr>
        <w:t>思想为统领，深入贯彻落实省、市委关于统一战线重大决策部署和省市有关会议精神，夯实基础保障，创新工作举措，开展主题活动，全力开创新时代工会工作新局面。</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宋体" w:hAnsi="宋体"/>
          <w:sz w:val="32"/>
        </w:rPr>
      </w:pPr>
      <w:r>
        <w:rPr>
          <w:rFonts w:hint="eastAsia" w:ascii="宋体" w:hAnsi="宋体"/>
          <w:sz w:val="32"/>
        </w:rPr>
        <w:t xml:space="preserve">    1、提高职工代表大会制度和联席会议制度的规范化和有效性。</w:t>
      </w:r>
    </w:p>
    <w:p>
      <w:pPr>
        <w:autoSpaceDE w:val="0"/>
        <w:autoSpaceDN w:val="0"/>
        <w:adjustRightInd w:val="0"/>
        <w:ind w:firstLine="640" w:firstLineChars="200"/>
        <w:jc w:val="left"/>
        <w:rPr>
          <w:rFonts w:ascii="宋体" w:hAnsi="宋体"/>
          <w:sz w:val="32"/>
        </w:rPr>
      </w:pPr>
      <w:r>
        <w:rPr>
          <w:rFonts w:hint="eastAsia" w:ascii="宋体" w:hAnsi="宋体"/>
          <w:sz w:val="32"/>
        </w:rPr>
        <w:t>2、维护好以工资为核心的各项劳动经济权益，让广大职工共享经济发展成果，全力维护职工队伍和谐稳定。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宋体" w:hAnsi="宋体"/>
          <w:sz w:val="32"/>
        </w:rPr>
      </w:pPr>
      <w:r>
        <w:rPr>
          <w:rFonts w:hint="eastAsia" w:ascii="宋体" w:hAnsi="宋体"/>
          <w:sz w:val="32"/>
        </w:rPr>
        <w:t xml:space="preserve">    3、加强和改进劳动模范和管理服务工作，有效解决或缓解困难省劳模的生活状况。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宋体" w:hAnsi="宋体"/>
          <w:sz w:val="32"/>
        </w:rPr>
      </w:pPr>
      <w:r>
        <w:rPr>
          <w:rFonts w:hint="eastAsia" w:ascii="宋体" w:hAnsi="宋体"/>
          <w:sz w:val="32"/>
        </w:rPr>
        <w:t xml:space="preserve">    4、广大职工为全区科学发展绿色崛起大局所作的贡献进一步凸显；广大职工在创新型企业建设中的作用进一步增强；广大职工技术技能素质进一步提升；保障教学和师资培养的资金投入；提高广大职工文化生活。</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rPr>
          <w:rFonts w:ascii="Times New Roman" w:hAnsi="Times New Roman" w:eastAsia="方正仿宋_GBK" w:cs="Times New Roman"/>
          <w:b/>
          <w:sz w:val="32"/>
          <w:szCs w:val="32"/>
        </w:rPr>
      </w:pPr>
      <w:r>
        <w:rPr>
          <w:rFonts w:hint="eastAsia" w:ascii="宋体" w:hAnsi="宋体"/>
          <w:sz w:val="32"/>
        </w:rPr>
        <w:t xml:space="preserve">    5、切实提高规划综合事务管理水平，保障单位的正常运行。</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1、维护职工合法权益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绩效目标： 职工代表大会制度和联席会议制度规范化和有效性；</w:t>
      </w:r>
      <w:r>
        <w:rPr>
          <w:rFonts w:hint="eastAsia" w:asciiTheme="minorEastAsia" w:hAnsiTheme="minorEastAsia" w:eastAsiaTheme="minorEastAsia" w:cstheme="minorEastAsia"/>
          <w:sz w:val="32"/>
        </w:rPr>
        <w:t>维护好以工资为核心的各项劳动经济权益，让广大职工共享经济发展成果，全力维护职工队伍和谐稳定；加强和改进劳动模范和管理服务工作，有效解决或缓解困难省劳模的生活状况。</w:t>
      </w:r>
    </w:p>
    <w:p>
      <w:pPr>
        <w:spacing w:line="580" w:lineRule="exact"/>
        <w:ind w:firstLine="630"/>
        <w:rPr>
          <w:rFonts w:ascii="宋体" w:hAnsi="宋体" w:cs="宋体"/>
          <w:sz w:val="32"/>
          <w:szCs w:val="32"/>
        </w:rPr>
      </w:pPr>
      <w:r>
        <w:rPr>
          <w:rFonts w:hint="eastAsia" w:asciiTheme="minorEastAsia" w:hAnsiTheme="minorEastAsia" w:eastAsiaTheme="minorEastAsia" w:cstheme="minorEastAsia"/>
          <w:sz w:val="32"/>
          <w:szCs w:val="32"/>
        </w:rPr>
        <w:t>绩效指标：</w:t>
      </w:r>
      <w:r>
        <w:rPr>
          <w:rFonts w:hint="eastAsia" w:ascii="宋体" w:hAnsi="宋体" w:cs="宋体"/>
          <w:sz w:val="32"/>
          <w:szCs w:val="32"/>
        </w:rPr>
        <w:t>职工代表大会制度规范率达到≧10%，厂务公开民主管理示范单位创建率≧12%，为企业和职工提供法律援助≧20人次，职工对安全生产教育知识的知晓率和满意度≧85%，为参加职工互助活动符合救助条件的职工救助率≧98%，省劳模救助率≧98%。</w:t>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2、提升职工技能及创新水平</w:t>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绩效目标：提高广大职工技术技能素质和文化生活。</w:t>
      </w:r>
    </w:p>
    <w:p>
      <w:pPr>
        <w:spacing w:line="580" w:lineRule="exact"/>
        <w:ind w:firstLine="630"/>
        <w:rPr>
          <w:rFonts w:ascii="宋体" w:hAnsi="宋体" w:cs="宋体"/>
          <w:sz w:val="32"/>
          <w:szCs w:val="32"/>
        </w:rPr>
      </w:pPr>
      <w:r>
        <w:rPr>
          <w:rFonts w:hint="eastAsia" w:asciiTheme="minorEastAsia" w:hAnsiTheme="minorEastAsia" w:eastAsiaTheme="minorEastAsia" w:cstheme="minorEastAsia"/>
          <w:sz w:val="32"/>
          <w:szCs w:val="32"/>
        </w:rPr>
        <w:t>绩效指标：参赛职工和参</w:t>
      </w:r>
      <w:r>
        <w:rPr>
          <w:rFonts w:hint="eastAsia" w:ascii="宋体" w:hAnsi="宋体" w:cs="宋体"/>
          <w:sz w:val="32"/>
          <w:szCs w:val="32"/>
        </w:rPr>
        <w:t>加技能培训职工比率≧90%，职工年完成技术革新项目数量（万顷）≧2项，职工完成发明创造数量（万项）≧0.5项，开展岗位练兵、技能比赛的企业比例≧85%，组织开展职工文体活动≧3次。</w:t>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3、工会事务管理</w:t>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绩效目标：切实提高工会综合事务管理水平，保障单位正常运行</w:t>
      </w:r>
    </w:p>
    <w:p>
      <w:pPr>
        <w:spacing w:line="580" w:lineRule="exact"/>
        <w:ind w:firstLine="630"/>
        <w:rPr>
          <w:rFonts w:ascii="宋体" w:hAnsi="宋体" w:cs="宋体"/>
          <w:sz w:val="32"/>
          <w:szCs w:val="32"/>
        </w:rPr>
      </w:pPr>
      <w:r>
        <w:rPr>
          <w:rFonts w:hint="eastAsia" w:asciiTheme="minorEastAsia" w:hAnsiTheme="minorEastAsia" w:eastAsiaTheme="minorEastAsia" w:cstheme="minorEastAsia"/>
          <w:sz w:val="32"/>
          <w:szCs w:val="32"/>
        </w:rPr>
        <w:t>绩效指标：综合事务保障率≧</w:t>
      </w:r>
      <w:r>
        <w:rPr>
          <w:rFonts w:hint="eastAsia" w:ascii="宋体" w:hAnsi="宋体" w:cs="宋体"/>
          <w:sz w:val="32"/>
          <w:szCs w:val="32"/>
        </w:rPr>
        <w:t>90%</w:t>
      </w:r>
    </w:p>
    <w:p>
      <w:pPr>
        <w:numPr>
          <w:ilvl w:val="0"/>
          <w:numId w:val="1"/>
        </w:numPr>
        <w:spacing w:line="580" w:lineRule="exact"/>
        <w:ind w:firstLine="63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pPr>
        <w:spacing w:line="580" w:lineRule="exact"/>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2、加强支出管理。以项目预算绩效为依据，优化支出结构，预算编制做细做实，支出执行有章可循。资金支出安排科学合理，为项目组织实施保驾护航。</w:t>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80" w:lineRule="exact"/>
        <w:ind w:firstLine="63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加强宣传培训调研等。加强人员培训，提高本部门职工业务素质；加强调研，提出优化财政资金配置、提高资金使用效益的意见意见；加大宣传力度，强化预算绩效管理意识，促进预算绩效管理水平进一步提升。</w:t>
      </w:r>
    </w:p>
    <w:p>
      <w:pPr>
        <w:autoSpaceDE w:val="0"/>
        <w:autoSpaceDN w:val="0"/>
        <w:adjustRightInd w:val="0"/>
        <w:jc w:val="left"/>
        <w:rPr>
          <w:rFonts w:ascii="Times New Roman" w:hAnsi="Times New Roman" w:eastAsia="方正仿宋_GBK" w:cs="Times New Roman"/>
          <w:b/>
          <w:sz w:val="32"/>
          <w:szCs w:val="32"/>
        </w:rPr>
      </w:pP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方正仿宋_GBK" w:eastAsia="方正仿宋_GBK"/>
          <w:b/>
          <w:sz w:val="28"/>
        </w:rPr>
      </w:pPr>
      <w:r>
        <w:rPr>
          <w:rFonts w:hint="eastAsia" w:ascii="方正仿宋_GBK" w:eastAsia="方正仿宋_GBK"/>
          <w:b/>
          <w:sz w:val="28"/>
        </w:rPr>
        <w:t xml:space="preserve">  </w:t>
      </w:r>
    </w:p>
    <w:p>
      <w:pPr>
        <w:jc w:val="left"/>
        <w:outlineLvl w:val="1"/>
        <w:rPr>
          <w:rFonts w:ascii="方正仿宋_GBK" w:eastAsia="方正仿宋_GBK"/>
          <w:b/>
          <w:sz w:val="28"/>
        </w:rPr>
      </w:pPr>
      <w:r>
        <w:rPr>
          <w:rFonts w:hint="eastAsia" w:ascii="方正仿宋_GBK" w:eastAsia="方正仿宋_GBK"/>
          <w:b/>
          <w:sz w:val="28"/>
        </w:rPr>
        <w:t>1、代扣经费0.8%工会经费绩效目标表</w:t>
      </w:r>
    </w:p>
    <w:p>
      <w:pPr>
        <w:jc w:val="left"/>
        <w:outlineLvl w:val="1"/>
      </w:pPr>
    </w:p>
    <w:p>
      <w:pPr>
        <w:jc w:val="left"/>
        <w:outlineLvl w:val="1"/>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29484634"/>
      <w:r>
        <w:rPr>
          <w:rFonts w:hint="eastAsia" w:ascii="方正仿宋_GBK" w:eastAsia="方正仿宋_GBK"/>
          <w:b/>
          <w:sz w:val="28"/>
        </w:rPr>
        <w:instrText xml:space="preserve">3、第三方评价工作经费绩效目标表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、切实提高工会综合事务管理水平，保障单位的正常运转。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发放人员工资及时率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工资按时发放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w:t>
            </w:r>
            <w:r>
              <w:rPr>
                <w:rFonts w:ascii="方正书宋_GBK" w:eastAsia="方正书宋_GBK"/>
              </w:rPr>
              <w:t>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94"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综合事务保障率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反映单位正常运转情况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≥9</w:t>
            </w:r>
            <w:r>
              <w:rPr>
                <w:rFonts w:ascii="方正书宋_GBK" w:eastAsia="方正书宋_GBK"/>
              </w:rPr>
              <w:t>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94"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按计划工作任务完成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反映工作任务按计划完成情况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w:t>
            </w:r>
            <w:r>
              <w:rPr>
                <w:rFonts w:ascii="方正书宋_GBK" w:eastAsia="方正书宋_GBK"/>
              </w:rPr>
              <w:t>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反映工资发放人数情况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≥11人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保障单位正常运行，工资按时发放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反映人员工资、职工活动、工会业务活动、保障单位正常运转等情况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w:t>
            </w:r>
            <w:r>
              <w:rPr>
                <w:rFonts w:ascii="方正书宋_GBK" w:eastAsia="方正书宋_GBK"/>
              </w:rPr>
              <w:t>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满意人员占全部人员百分比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numPr>
          <w:ilvl w:val="0"/>
          <w:numId w:val="2"/>
        </w:numPr>
        <w:jc w:val="left"/>
        <w:outlineLvl w:val="1"/>
        <w:rPr>
          <w:rFonts w:ascii="Times New Roman" w:hAnsi="宋体"/>
          <w:b/>
          <w:sz w:val="28"/>
        </w:rPr>
      </w:pPr>
      <w:r>
        <w:rPr>
          <w:rFonts w:hint="eastAsia" w:ascii="方正仿宋_GBK" w:eastAsia="方正仿宋_GBK"/>
          <w:b/>
          <w:sz w:val="28"/>
        </w:rPr>
        <w:t>石财行【2019】50号关于提前下达2020年度市级困难职工及困难劳模救助资金的通知绩效目标表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6"/>
      <w:r>
        <w:rPr>
          <w:rFonts w:hint="eastAsia" w:ascii="方正仿宋_GBK" w:eastAsia="方正仿宋_GBK"/>
          <w:b/>
          <w:sz w:val="28"/>
        </w:rPr>
        <w:instrText xml:space="preserve">5、河北人大历史陈列馆建设及办公用房修缮资金（预内基建）绩效目标表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6"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1、维护好以工资为核心的各项劳动经济权益，让广大职工共享经济发展成果，全力维护职工队伍和谐稳定。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88"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90"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困难职工救助率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困难职工救助情况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4"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困难职工救助人数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困难职工救助人数情况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≥5人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4"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按计划工作任务完成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反映工作任务按计划完成情况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4"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困难职工救助人数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反映困难职工救助人数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≥5人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rHeight w:val="957"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全力维护困难职工合法权益</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反映全力维护困难职工合法权益及救助情况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957"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受帮扶苦难职工满意度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受帮扶困难职工满意度情况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Times New Roman" w:hAnsi="宋体"/>
          <w:b/>
          <w:sz w:val="28"/>
        </w:rPr>
      </w:pPr>
      <w:r>
        <w:rPr>
          <w:rFonts w:hint="eastAsia" w:ascii="方正仿宋_GBK" w:eastAsia="方正仿宋_GBK"/>
          <w:b/>
          <w:sz w:val="28"/>
        </w:rPr>
        <w:t>3、石财行【2019】50号关于提前下达2020年度市级困难职工及困难劳模救助资金的通知（困难劳模）绩效目标表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8"/>
      <w:r>
        <w:rPr>
          <w:rFonts w:hint="eastAsia" w:ascii="方正仿宋_GBK" w:eastAsia="方正仿宋_GBK"/>
          <w:b/>
          <w:sz w:val="28"/>
        </w:rPr>
        <w:instrText xml:space="preserve">7、人大代表培训费绩效目标表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p>
            <w:pPr>
              <w:spacing w:line="300" w:lineRule="exact"/>
              <w:jc w:val="left"/>
              <w:rPr>
                <w:rFonts w:ascii="方正书宋_GBK" w:eastAsia="方正书宋_GBK"/>
                <w:b/>
              </w:rPr>
            </w:pPr>
          </w:p>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44"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、加强和改进劳动模范管理和服务工作，有效解决或缓解困难劳模的生活状况。</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60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698"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困难劳模救助率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困难劳模救助情况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698"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困难劳模救助人员</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困难劳模救助人数情况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≥3人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698"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按计划工作任务完成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反映工作任务按计划完成情况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810"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困难劳模救助人数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反映困难劳模救助情况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≥3人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rHeight w:val="1331"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解决困难劳模生活状况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反映有效解决困难劳模生活状况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331"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受帮扶困难劳模满意度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受帮扶困难劳模满意情况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spacing w:line="300" w:lineRule="exact"/>
        <w:jc w:val="left"/>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万元。具体内容见下表。</w:t>
      </w:r>
      <w:bookmarkEnd w:id="6"/>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711002石家庄市藁城区总工会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注：本部门无政府采购预算情况，故空表列示。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石家庄市藁城区总工会</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172.7</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石家庄市藁城区总工会固定资产占用情况表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石家庄市藁城区总工会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476"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172.7</w:t>
            </w:r>
          </w:p>
        </w:tc>
      </w:tr>
      <w:tr>
        <w:tblPrEx>
          <w:tblLayout w:type="fixed"/>
          <w:tblCellMar>
            <w:top w:w="0" w:type="dxa"/>
            <w:left w:w="108" w:type="dxa"/>
            <w:bottom w:w="0" w:type="dxa"/>
            <w:right w:w="108" w:type="dxa"/>
          </w:tblCellMar>
        </w:tblPrEx>
        <w:trPr>
          <w:trHeight w:val="457"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2000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73.2</w:t>
            </w:r>
          </w:p>
        </w:tc>
      </w:tr>
      <w:tr>
        <w:tblPrEx>
          <w:tblLayout w:type="fixed"/>
        </w:tblPrEx>
        <w:trPr>
          <w:trHeight w:val="420"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401"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437"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430"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99.5</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8</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9</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0BEE44"/>
    <w:multiLevelType w:val="singleLevel"/>
    <w:tmpl w:val="590BEE44"/>
    <w:lvl w:ilvl="0" w:tentative="0">
      <w:start w:val="2"/>
      <w:numFmt w:val="decimal"/>
      <w:suff w:val="nothing"/>
      <w:lvlText w:val="%1、"/>
      <w:lvlJc w:val="left"/>
      <w:pPr>
        <w:ind w:left="140" w:firstLine="0"/>
      </w:pPr>
    </w:lvl>
  </w:abstractNum>
  <w:abstractNum w:abstractNumId="1">
    <w:nsid w:val="6EAA230F"/>
    <w:multiLevelType w:val="singleLevel"/>
    <w:tmpl w:val="6EAA230F"/>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0E2F91"/>
    <w:rsid w:val="00323B29"/>
    <w:rsid w:val="00383FF9"/>
    <w:rsid w:val="0039059E"/>
    <w:rsid w:val="00572EB1"/>
    <w:rsid w:val="007E5AA0"/>
    <w:rsid w:val="007F0341"/>
    <w:rsid w:val="00967DF8"/>
    <w:rsid w:val="009A521C"/>
    <w:rsid w:val="009B7EB4"/>
    <w:rsid w:val="00C5071F"/>
    <w:rsid w:val="00C85E0A"/>
    <w:rsid w:val="00D607DA"/>
    <w:rsid w:val="00DC6EE5"/>
    <w:rsid w:val="00EE71BA"/>
    <w:rsid w:val="00F867E4"/>
    <w:rsid w:val="010B396D"/>
    <w:rsid w:val="01C811C9"/>
    <w:rsid w:val="032B29B4"/>
    <w:rsid w:val="039B340B"/>
    <w:rsid w:val="03DC3686"/>
    <w:rsid w:val="03F57908"/>
    <w:rsid w:val="04F51151"/>
    <w:rsid w:val="054A3EEC"/>
    <w:rsid w:val="056D17C0"/>
    <w:rsid w:val="07A87D49"/>
    <w:rsid w:val="07EB5548"/>
    <w:rsid w:val="088870BE"/>
    <w:rsid w:val="08C11BE9"/>
    <w:rsid w:val="0AAF40CE"/>
    <w:rsid w:val="0B1C7138"/>
    <w:rsid w:val="0C522B95"/>
    <w:rsid w:val="0EB71AB0"/>
    <w:rsid w:val="0FB7160A"/>
    <w:rsid w:val="10080461"/>
    <w:rsid w:val="120E5306"/>
    <w:rsid w:val="12D4495E"/>
    <w:rsid w:val="15247CBB"/>
    <w:rsid w:val="178D65F1"/>
    <w:rsid w:val="19991192"/>
    <w:rsid w:val="1CA52241"/>
    <w:rsid w:val="1D926E29"/>
    <w:rsid w:val="1DF52E8D"/>
    <w:rsid w:val="1EA44FC1"/>
    <w:rsid w:val="1F63642F"/>
    <w:rsid w:val="21900962"/>
    <w:rsid w:val="21B77F0A"/>
    <w:rsid w:val="21D77CD0"/>
    <w:rsid w:val="21E205B9"/>
    <w:rsid w:val="222C48FB"/>
    <w:rsid w:val="227A2F93"/>
    <w:rsid w:val="239469F5"/>
    <w:rsid w:val="239C1C70"/>
    <w:rsid w:val="23F43D8A"/>
    <w:rsid w:val="24BA1090"/>
    <w:rsid w:val="25926210"/>
    <w:rsid w:val="25E56502"/>
    <w:rsid w:val="266B6FF4"/>
    <w:rsid w:val="26AC4551"/>
    <w:rsid w:val="270115C7"/>
    <w:rsid w:val="2D1E0842"/>
    <w:rsid w:val="2DB61A70"/>
    <w:rsid w:val="2E851A17"/>
    <w:rsid w:val="2EB91779"/>
    <w:rsid w:val="30433D1D"/>
    <w:rsid w:val="30571601"/>
    <w:rsid w:val="30F16787"/>
    <w:rsid w:val="31002B38"/>
    <w:rsid w:val="3282049A"/>
    <w:rsid w:val="32AB65A3"/>
    <w:rsid w:val="33DC3733"/>
    <w:rsid w:val="34F90C97"/>
    <w:rsid w:val="35044933"/>
    <w:rsid w:val="366265C6"/>
    <w:rsid w:val="37F3540F"/>
    <w:rsid w:val="384317B2"/>
    <w:rsid w:val="38C4035B"/>
    <w:rsid w:val="38C5552C"/>
    <w:rsid w:val="38F50BE3"/>
    <w:rsid w:val="39285458"/>
    <w:rsid w:val="393B4381"/>
    <w:rsid w:val="3A516AA2"/>
    <w:rsid w:val="3AF348D0"/>
    <w:rsid w:val="3C1F60E9"/>
    <w:rsid w:val="3CF71342"/>
    <w:rsid w:val="3E156E1F"/>
    <w:rsid w:val="40263799"/>
    <w:rsid w:val="40FB1849"/>
    <w:rsid w:val="41C74C77"/>
    <w:rsid w:val="41F260FA"/>
    <w:rsid w:val="437F6374"/>
    <w:rsid w:val="439A327F"/>
    <w:rsid w:val="44EE477D"/>
    <w:rsid w:val="453B1433"/>
    <w:rsid w:val="45AF6220"/>
    <w:rsid w:val="46016D80"/>
    <w:rsid w:val="47570F0E"/>
    <w:rsid w:val="48803F0B"/>
    <w:rsid w:val="49F747AC"/>
    <w:rsid w:val="4ADD74FD"/>
    <w:rsid w:val="4FA80CD9"/>
    <w:rsid w:val="4FD013AB"/>
    <w:rsid w:val="50437FDD"/>
    <w:rsid w:val="50544CC7"/>
    <w:rsid w:val="518A5918"/>
    <w:rsid w:val="541749A0"/>
    <w:rsid w:val="54290284"/>
    <w:rsid w:val="54336651"/>
    <w:rsid w:val="54BD1A5D"/>
    <w:rsid w:val="54D61C38"/>
    <w:rsid w:val="58612322"/>
    <w:rsid w:val="596E4291"/>
    <w:rsid w:val="5B7D738C"/>
    <w:rsid w:val="5CB233B5"/>
    <w:rsid w:val="5D77274B"/>
    <w:rsid w:val="5F5A0349"/>
    <w:rsid w:val="60EB2931"/>
    <w:rsid w:val="619562D0"/>
    <w:rsid w:val="61B4116B"/>
    <w:rsid w:val="61CD3C53"/>
    <w:rsid w:val="6244000E"/>
    <w:rsid w:val="66A857E1"/>
    <w:rsid w:val="691E1C2C"/>
    <w:rsid w:val="6A147564"/>
    <w:rsid w:val="6B2B7A61"/>
    <w:rsid w:val="6B626F76"/>
    <w:rsid w:val="6BA62E5F"/>
    <w:rsid w:val="6D053254"/>
    <w:rsid w:val="6D084C0C"/>
    <w:rsid w:val="6EEA69A7"/>
    <w:rsid w:val="6F1E2520"/>
    <w:rsid w:val="6FA90D6B"/>
    <w:rsid w:val="6FAD32CE"/>
    <w:rsid w:val="6FB76CD1"/>
    <w:rsid w:val="6FD4575B"/>
    <w:rsid w:val="73AA6C75"/>
    <w:rsid w:val="74B17306"/>
    <w:rsid w:val="751679FD"/>
    <w:rsid w:val="76274CDF"/>
    <w:rsid w:val="77B57320"/>
    <w:rsid w:val="79713F5C"/>
    <w:rsid w:val="79BB49C9"/>
    <w:rsid w:val="7A92175E"/>
    <w:rsid w:val="7C4400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D6DF22B-78C0-4064-9635-09787E680FEC}">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782</Words>
  <Characters>4460</Characters>
  <Lines>37</Lines>
  <Paragraphs>10</Paragraphs>
  <TotalTime>9</TotalTime>
  <ScaleCrop>false</ScaleCrop>
  <LinksUpToDate>false</LinksUpToDate>
  <CharactersWithSpaces>5232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2021-05-24T02:43:00Z</cp:lastPrinted>
  <dcterms:modified xsi:type="dcterms:W3CDTF">2021-05-26T06:22:49Z</dcterms:modified>
  <dc:title>o</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