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石家庄市藁城区供销合作总社</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按照《预算法》、《地方预决算公开操作规程》和《河北省省级预算公开办法》规定，现将石家庄市藁城区供销合作总社2020年部门预算公开如下：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供销流通管理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贯彻上级方针政策、指导系统业务活动、综合改革试点和发展、指导系统流通网络和信息化建设、创新基层供销社服务功能，管理运营社有资产、行使出资人职能</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确保供销社事业改革，壮大并发挥供销社为“三农”服务的作用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服务“三农”事项管理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以供销合作社体系为依托，自下而上组建农民合作社联合社、创新组织体系和农村金融体系</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拟定规划，形成服务现代农业、服务农村生产生活、服务农业新型经营主体的服务格局</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物资代储管理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负责管理棉花、化肥、农药、羊毛、救灾物资等的储备工作</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发挥供销社在流通领域的应急调控作用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盐务管理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组织开展全区盐业行政执法活动，打击私盐贩销、维护全区盐业市场秩序</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保障食盐在系统流通环节的安全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(五)</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系统烟花爆竹经营管理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负责归口管理烟花爆竹的系统内的经营，配合公安、安监等部门查禁私炮</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确保安全经营，满足市场供应</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(六)</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供销合作政务管理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负责供销合作社系统综合业务管理和机关综合事务管理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确保各项工作谋划到位、顺利开展。保障机关工作正常、高效运转</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tcPr>
          <w:p>
            <w:pPr>
              <w:jc w:val="center"/>
              <w:rPr>
                <w:rFonts w:ascii="Times New Roman" w:hAnsi="Times New Roman" w:eastAsia="方正书宋_GBK" w:cs="Times New Roman"/>
                <w:szCs w:val="21"/>
              </w:rPr>
            </w:pPr>
            <w:r>
              <w:rPr>
                <w:rFonts w:hint="eastAsia" w:ascii="宋体" w:hAnsi="宋体"/>
                <w:szCs w:val="21"/>
              </w:rPr>
              <w:t>石家庄市藁城区供销合作总社</w:t>
            </w:r>
          </w:p>
        </w:tc>
        <w:tc>
          <w:tcPr>
            <w:tcW w:w="1134" w:type="dxa"/>
          </w:tcPr>
          <w:p>
            <w:pPr>
              <w:jc w:val="center"/>
              <w:rPr>
                <w:rFonts w:ascii="Times New Roman" w:hAnsi="Times New Roman" w:eastAsia="方正书宋_GBK" w:cs="Times New Roman"/>
                <w:szCs w:val="21"/>
              </w:rPr>
            </w:pPr>
            <w:r>
              <w:rPr>
                <w:rFonts w:hint="eastAsia" w:ascii="宋体" w:hAnsi="宋体"/>
                <w:szCs w:val="21"/>
              </w:rPr>
              <w:t>事业</w:t>
            </w:r>
          </w:p>
        </w:tc>
        <w:tc>
          <w:tcPr>
            <w:tcW w:w="1276" w:type="dxa"/>
          </w:tcPr>
          <w:p>
            <w:pPr>
              <w:jc w:val="center"/>
              <w:rPr>
                <w:rFonts w:ascii="Times New Roman" w:hAnsi="Times New Roman" w:eastAsia="方正书宋_GBK" w:cs="Times New Roman"/>
                <w:szCs w:val="21"/>
              </w:rPr>
            </w:pPr>
            <w:r>
              <w:rPr>
                <w:rFonts w:hint="eastAsia" w:ascii="宋体" w:hAnsi="宋体"/>
                <w:szCs w:val="21"/>
              </w:rPr>
              <w:t>正科级</w:t>
            </w:r>
          </w:p>
        </w:tc>
        <w:tc>
          <w:tcPr>
            <w:tcW w:w="2902" w:type="dxa"/>
          </w:tcPr>
          <w:p>
            <w:pPr>
              <w:jc w:val="center"/>
              <w:rPr>
                <w:rFonts w:ascii="Times New Roman" w:hAnsi="Times New Roman" w:eastAsia="方正书宋_GBK" w:cs="Times New Roman"/>
                <w:szCs w:val="21"/>
              </w:rPr>
            </w:pPr>
            <w:r>
              <w:rPr>
                <w:rFonts w:hint="eastAsia" w:ascii="宋体" w:hAnsi="宋体"/>
                <w:szCs w:val="21"/>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石家庄市藁城区供销合作总社</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反映本部门当年全部收入。2020年预算收入172.99万元，其中：一般公共预算收入172.99万元，政府性基金收入0万元，财政专户核拨收入0万元，其他来源收入0万元。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供销合作总社预算中支出预算的总体情况。2020年部门支出预算为172.99万元，其中基本支出74.73万元，包括人员经费68.87万元和日常公用经费5.86万元；项目支出98.26万元，主要为供销合作总社分流职工工资；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172.99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较2019年增加100.24万元，其中：基本支出增加1.98万元，主要是日常公用经费增加；项目支出增加98.26万元，主要是增加供销合作总社分流职工工资；其他支出无增减变化。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5.86万元，主要用于保证机关正常运转的办公及印刷费、邮电费、差旅费、会议费、福利费、专用材料及一般设备购置费、办公用房水电费、办公用房取暖费、日常维修费等支出。</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2020年，我部门财政拨款“三公”经费预算安排0万元，与上年持平，无增减变化其中：</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因公出国（境）费0万元,与上年持平，无增减变化；</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公务用车购置及运维费0万元（其中：公务用车购置费0万元，公务用车运行维护费0万元)，与上年持平，无增减变化；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公务接待费0万元，与上年持平，无增减变化。“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坚持以习近平新时代中国特色社会主义思想为指导，深入贯彻落实上级方针政策、指导系统业务活动、综合改革和发展、指导系统流通网络和信息化建设，确保供销社事业改革，壮大并发挥供销社为“三农”服务的作用；拟定规划，形成服务现代农业，服务农村生产生活、服务农业新型经营主体的服务格局；发挥供销社在流通领域的应急调控作用；构建农村现代流通网络体系，保障社有资产安全和增值；扎实推进农民合作社联合社建设，逐步推进金融创新试点；依据储备计划安排代储企业做好计划商品的代储工作；确保各项工作谋划到位，顺利开展。保障机关工作正常、高效运转，推动供销事业不断发展。</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1"/>
        </w:num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分项绩效目标</w:t>
      </w:r>
    </w:p>
    <w:p>
      <w:pPr>
        <w:spacing w:line="580" w:lineRule="exact"/>
        <w:ind w:firstLine="630"/>
        <w:rPr>
          <w:rFonts w:ascii="宋体" w:hAnsi="宋体" w:cs="宋体"/>
          <w:sz w:val="32"/>
          <w:szCs w:val="32"/>
        </w:rPr>
      </w:pPr>
      <w:r>
        <w:rPr>
          <w:rFonts w:hint="eastAsia" w:ascii="宋体" w:hAnsi="宋体" w:cs="宋体"/>
          <w:b/>
          <w:bCs/>
          <w:sz w:val="32"/>
          <w:szCs w:val="32"/>
        </w:rPr>
        <w:t>1、供销合作政务管理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绩效目标：及时发放分流职工的工资和缴纳社保费用，保障分流职工的利益。</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绩效指标：实际发放工资占应发放工资的比例达到100.00%，缴纳保险覆盖24人，职工对工资发放及社保费缴纳情况的满意度达90%以上。</w:t>
      </w:r>
    </w:p>
    <w:p>
      <w:pPr>
        <w:numPr>
          <w:ilvl w:val="0"/>
          <w:numId w:val="1"/>
        </w:num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1、负责对所属企业行政、业务的领导与管理。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2、负责对所属企业生产加工、经营销售等活动的督导与管理。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3、负责对全系统人事调配、劳动工资、离休退休人事管理。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4、负责对所属企业党支部、领导班子的组织、思想作风建设及党员教育、党员发展等工作的管理。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5、负责全系统所属企业资产的管理。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6、负责企业经营销售、财务数字的审计、统计及月报、季报等工作的管理。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7、负责全系统综合治理、安全生产、安全保卫工作管理。</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rPr>
        <w:t>8、负责对农合联经济组织的协调、服务工作的管理。</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color w:val="FF0000"/>
          <w:sz w:val="32"/>
          <w:szCs w:val="32"/>
        </w:rPr>
      </w:pPr>
      <w:r>
        <w:rPr>
          <w:rFonts w:hint="eastAsia" w:ascii="Times New Roman" w:hAnsi="Times New Roman" w:eastAsia="方正仿宋_GBK" w:cs="Times New Roman"/>
          <w:b/>
          <w:sz w:val="32"/>
          <w:szCs w:val="32"/>
        </w:rPr>
        <w:t>第二部分  预算项目绩效目标</w:t>
      </w:r>
    </w:p>
    <w:p>
      <w:pPr>
        <w:spacing w:line="580" w:lineRule="exact"/>
        <w:rPr>
          <w:rFonts w:eastAsia="方正仿宋_GBK"/>
          <w:sz w:val="11"/>
          <w:szCs w:val="32"/>
        </w:rPr>
      </w:pPr>
      <w:r>
        <w:rPr>
          <w:rFonts w:hint="eastAsia" w:eastAsia="方正仿宋_GBK"/>
          <w:sz w:val="32"/>
          <w:szCs w:val="32"/>
        </w:rPr>
        <w:t>1.  供销合作总社分流职工工资</w:t>
      </w:r>
      <w:r>
        <w:rPr>
          <w:rFonts w:eastAsia="方正仿宋_GBK"/>
          <w:sz w:val="32"/>
          <w:szCs w:val="32"/>
        </w:rPr>
        <w:t>绩效</w:t>
      </w:r>
      <w:r>
        <w:rPr>
          <w:rFonts w:hint="eastAsia" w:eastAsia="方正仿宋_GBK"/>
          <w:sz w:val="32"/>
          <w:szCs w:val="32"/>
        </w:rPr>
        <w:t>目标</w:t>
      </w:r>
      <w:r>
        <w:rPr>
          <w:rFonts w:eastAsia="方正仿宋_GBK"/>
          <w:sz w:val="32"/>
          <w:szCs w:val="32"/>
        </w:rPr>
        <w:t>表</w:t>
      </w:r>
    </w:p>
    <w:p>
      <w:pPr>
        <w:spacing w:line="580" w:lineRule="exact"/>
        <w:rPr>
          <w:rFonts w:ascii="宋体" w:hAnsi="宋体" w:cs="宋体"/>
          <w:szCs w:val="21"/>
        </w:rPr>
      </w:pPr>
      <w:r>
        <w:rPr>
          <w:rFonts w:hint="eastAsia" w:ascii="宋体" w:hAnsi="宋体" w:cs="宋体"/>
          <w:szCs w:val="21"/>
        </w:rPr>
        <w:t>906002石家庄市藁城区供销合作总社</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906-0602-YBN-SWHT</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供销合作总社分流职工工资</w:t>
            </w: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98.26</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98.26</w:t>
            </w:r>
          </w:p>
        </w:tc>
        <w:tc>
          <w:tcPr>
            <w:tcW w:w="142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用于盐政管理所和鞭炮公司整体划转至供销合作社下属兴社资产管理有限公司职工工资及社保费用。</w:t>
            </w:r>
          </w:p>
        </w:tc>
      </w:tr>
      <w:tr>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tblPrEx>
          <w:tblCellMar>
            <w:top w:w="15" w:type="dxa"/>
            <w:left w:w="15" w:type="dxa"/>
            <w:bottom w:w="15" w:type="dxa"/>
            <w:right w:w="15" w:type="dxa"/>
          </w:tblCellMar>
        </w:tblPrEx>
        <w:trPr>
          <w:trHeight w:val="393"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25.00</w:t>
            </w:r>
          </w:p>
        </w:tc>
        <w:tc>
          <w:tcPr>
            <w:tcW w:w="144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50.00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75.00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100.00</w:t>
            </w:r>
          </w:p>
        </w:tc>
      </w:tr>
      <w:tr>
        <w:tblPrEx>
          <w:tblCellMar>
            <w:top w:w="15" w:type="dxa"/>
            <w:left w:w="15" w:type="dxa"/>
            <w:bottom w:w="15" w:type="dxa"/>
            <w:right w:w="15" w:type="dxa"/>
          </w:tblCellMar>
        </w:tblPrEx>
        <w:trPr>
          <w:trHeight w:val="507"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1、及时发放分流职工的工资和缴纳社保费用，保障分流职工的利益。</w:t>
            </w:r>
          </w:p>
        </w:tc>
      </w:tr>
      <w:tr>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979"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06" w:type="dxa"/>
            <w:tcBorders>
              <w:top w:val="single" w:color="000000" w:sz="4" w:space="0"/>
              <w:left w:val="single" w:color="000000" w:sz="4" w:space="0"/>
              <w:bottom w:val="single" w:color="auto"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工资发放率（%）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实际发放工资占应发放工资的比例</w:t>
            </w:r>
          </w:p>
        </w:tc>
        <w:tc>
          <w:tcPr>
            <w:tcW w:w="97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18"/>
                <w:szCs w:val="18"/>
              </w:rPr>
              <w:t>工资拨付凭证</w:t>
            </w:r>
          </w:p>
        </w:tc>
      </w:tr>
      <w:tr>
        <w:tblPrEx>
          <w:tblCellMar>
            <w:top w:w="15" w:type="dxa"/>
            <w:left w:w="15" w:type="dxa"/>
            <w:bottom w:w="15" w:type="dxa"/>
            <w:right w:w="15" w:type="dxa"/>
          </w:tblCellMar>
        </w:tblPrEx>
        <w:trPr>
          <w:trHeight w:val="629" w:hRule="atLeast"/>
        </w:trPr>
        <w:tc>
          <w:tcPr>
            <w:tcW w:w="648" w:type="dxa"/>
            <w:vMerge w:val="continue"/>
            <w:tcBorders>
              <w:top w:val="single" w:color="000000" w:sz="4" w:space="0"/>
              <w:left w:val="single" w:color="000000" w:sz="4" w:space="0"/>
              <w:bottom w:val="single" w:color="000000" w:sz="4" w:space="0"/>
              <w:right w:val="single" w:color="auto" w:sz="4" w:space="0"/>
            </w:tcBorders>
            <w:vAlign w:val="center"/>
          </w:tcPr>
          <w:p>
            <w:pPr>
              <w:jc w:val="center"/>
              <w:rPr>
                <w:rFonts w:ascii="宋体" w:hAnsi="宋体" w:cs="宋体"/>
                <w:b/>
                <w:color w:val="000000"/>
                <w:sz w:val="20"/>
                <w:szCs w:val="20"/>
              </w:rPr>
            </w:pPr>
          </w:p>
        </w:tc>
        <w:tc>
          <w:tcPr>
            <w:tcW w:w="1106"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数量指标</w:t>
            </w:r>
          </w:p>
        </w:tc>
        <w:tc>
          <w:tcPr>
            <w:tcW w:w="1315" w:type="dxa"/>
            <w:tcBorders>
              <w:top w:val="single" w:color="000000" w:sz="4" w:space="0"/>
              <w:left w:val="single" w:color="auto"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覆盖人数</w:t>
            </w:r>
          </w:p>
        </w:tc>
        <w:tc>
          <w:tcPr>
            <w:tcW w:w="3943" w:type="dxa"/>
            <w:gridSpan w:val="3"/>
            <w:tcBorders>
              <w:top w:val="single" w:color="000000" w:sz="4" w:space="0"/>
              <w:left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缴纳保险占分流人员的情况</w:t>
            </w:r>
          </w:p>
        </w:tc>
        <w:tc>
          <w:tcPr>
            <w:tcW w:w="979" w:type="dxa"/>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24人</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18"/>
                <w:szCs w:val="18"/>
              </w:rPr>
              <w:t>社保缴纳凭证</w:t>
            </w:r>
          </w:p>
        </w:tc>
      </w:tr>
      <w:tr>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06"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职工满意度</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职工对工资发放及社保费缴纳情况的满意度</w:t>
            </w:r>
          </w:p>
        </w:tc>
        <w:tc>
          <w:tcPr>
            <w:tcW w:w="9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4"/>
              </w:rPr>
            </w:pPr>
            <w:r>
              <w:rPr>
                <w:rFonts w:hint="eastAsia" w:ascii="宋体" w:hAnsi="宋体" w:cs="宋体"/>
                <w:color w:val="000000"/>
                <w:kern w:val="0"/>
                <w:sz w:val="20"/>
                <w:szCs w:val="20"/>
                <w:lang w:bidi="ar"/>
              </w:rPr>
              <w:t>≥9</w:t>
            </w:r>
            <w:r>
              <w:rPr>
                <w:rFonts w:hint="eastAsia" w:ascii="宋体" w:hAnsi="宋体" w:cs="宋体"/>
                <w:color w:val="000000"/>
                <w:sz w:val="20"/>
                <w:szCs w:val="20"/>
              </w:rPr>
              <w:t>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18"/>
                <w:szCs w:val="18"/>
              </w:rPr>
              <w:t>调查情况表</w:t>
            </w: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3"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3"/>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4" w:name="_Toc28848395"/>
      <w:r>
        <w:rPr>
          <w:rFonts w:hint="eastAsia" w:ascii="方正小标宋_GBK" w:eastAsia="方正小标宋_GBK"/>
          <w:sz w:val="32"/>
        </w:rPr>
        <w:instrText xml:space="preserve">部门政府采购预算</w:instrText>
      </w:r>
      <w:bookmarkEnd w:id="4"/>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906002石家庄市藁城区供销合作总社</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center"/>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仿宋" w:hAnsi="仿宋" w:eastAsia="仿宋" w:cs="Times New Roman"/>
          <w:color w:val="FF0000"/>
          <w:sz w:val="32"/>
          <w:szCs w:val="32"/>
        </w:rPr>
      </w:pPr>
      <w:r>
        <w:rPr>
          <w:rFonts w:hint="eastAsia" w:ascii="仿宋" w:hAnsi="仿宋" w:eastAsia="仿宋" w:cs="Times New Roman"/>
          <w:color w:val="000000" w:themeColor="text1"/>
          <w:sz w:val="32"/>
          <w:szCs w:val="32"/>
          <w14:textFill>
            <w14:solidFill>
              <w14:schemeClr w14:val="tx1"/>
            </w14:solidFill>
          </w14:textFill>
        </w:rPr>
        <w:t>注：本部门无政府采购预算情况，故空表列示。</w:t>
      </w:r>
    </w:p>
    <w:p>
      <w:pPr>
        <w:autoSpaceDE w:val="0"/>
        <w:autoSpaceDN w:val="0"/>
        <w:adjustRightInd w:val="0"/>
        <w:ind w:left="640"/>
        <w:jc w:val="left"/>
        <w:rPr>
          <w:rFonts w:hint="eastAsia" w:ascii="黑体" w:hAnsi="黑体" w:eastAsia="黑体" w:cs="Times New Roman"/>
          <w:sz w:val="32"/>
          <w:szCs w:val="32"/>
        </w:rPr>
      </w:pPr>
    </w:p>
    <w:p>
      <w:pPr>
        <w:numPr>
          <w:ilvl w:val="0"/>
          <w:numId w:val="2"/>
        </w:num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国有资产信息</w:t>
      </w:r>
    </w:p>
    <w:p>
      <w:pPr>
        <w:pStyle w:val="14"/>
        <w:ind w:firstLine="640" w:firstLineChars="200"/>
        <w:rPr>
          <w:rFonts w:ascii="仿宋" w:hAnsi="仿宋" w:eastAsia="仿宋"/>
          <w:sz w:val="32"/>
          <w:szCs w:val="32"/>
          <w:lang w:eastAsia="zh-CN"/>
        </w:rPr>
      </w:pPr>
      <w:r>
        <w:rPr>
          <w:rFonts w:hint="eastAsia" w:ascii="仿宋" w:hAnsi="仿宋" w:eastAsia="仿宋"/>
          <w:sz w:val="32"/>
          <w:szCs w:val="32"/>
          <w:lang w:eastAsia="zh-CN"/>
        </w:rPr>
        <w:t>本部门上年末单位固定资产85.49万元（详见下表），本年度拟购置固定资产总额为0万元</w:t>
      </w:r>
      <w:bookmarkStart w:id="5" w:name="_GoBack"/>
      <w:bookmarkEnd w:id="5"/>
      <w:r>
        <w:rPr>
          <w:rFonts w:hint="eastAsia" w:ascii="仿宋" w:hAnsi="仿宋" w:eastAsia="仿宋"/>
          <w:sz w:val="32"/>
          <w:szCs w:val="32"/>
          <w:lang w:eastAsia="zh-CN"/>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石家庄市藁城区供销合作总社固定资产占用情况表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石家庄市藁城区供销合作总社</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themeColor="text1"/>
                <w:kern w:val="0"/>
                <w:sz w:val="22"/>
                <w14:textFill>
                  <w14:solidFill>
                    <w14:schemeClr w14:val="tx1"/>
                  </w14:solidFill>
                </w14:textFill>
              </w:rPr>
              <w:t>85.49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56.22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56.22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29.27</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5</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9</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A7C307"/>
    <w:multiLevelType w:val="singleLevel"/>
    <w:tmpl w:val="A5A7C307"/>
    <w:lvl w:ilvl="0" w:tentative="0">
      <w:start w:val="2"/>
      <w:numFmt w:val="chineseCounting"/>
      <w:suff w:val="nothing"/>
      <w:lvlText w:val="（%1）"/>
      <w:lvlJc w:val="left"/>
      <w:rPr>
        <w:rFonts w:hint="eastAsia"/>
      </w:rPr>
    </w:lvl>
  </w:abstractNum>
  <w:abstractNum w:abstractNumId="1">
    <w:nsid w:val="364BE102"/>
    <w:multiLevelType w:val="singleLevel"/>
    <w:tmpl w:val="364BE102"/>
    <w:lvl w:ilvl="0" w:tentative="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174029"/>
    <w:rsid w:val="0021492F"/>
    <w:rsid w:val="002D1906"/>
    <w:rsid w:val="00323B29"/>
    <w:rsid w:val="0039059E"/>
    <w:rsid w:val="007F0341"/>
    <w:rsid w:val="009A521C"/>
    <w:rsid w:val="00A2201F"/>
    <w:rsid w:val="00CB14EA"/>
    <w:rsid w:val="00D607DA"/>
    <w:rsid w:val="00DC6EE5"/>
    <w:rsid w:val="00EE71BA"/>
    <w:rsid w:val="00F867E4"/>
    <w:rsid w:val="01054D0C"/>
    <w:rsid w:val="056D17C0"/>
    <w:rsid w:val="0736343D"/>
    <w:rsid w:val="1B1838E4"/>
    <w:rsid w:val="222C48FB"/>
    <w:rsid w:val="25AC19CC"/>
    <w:rsid w:val="26B2122F"/>
    <w:rsid w:val="2B697468"/>
    <w:rsid w:val="34AE0B73"/>
    <w:rsid w:val="3A026203"/>
    <w:rsid w:val="3BA02665"/>
    <w:rsid w:val="3EC1067D"/>
    <w:rsid w:val="577513C3"/>
    <w:rsid w:val="5EF6289B"/>
    <w:rsid w:val="613C10E1"/>
    <w:rsid w:val="6A5D37AA"/>
    <w:rsid w:val="75BB325D"/>
    <w:rsid w:val="75D63520"/>
    <w:rsid w:val="76193320"/>
    <w:rsid w:val="7CAD13BF"/>
    <w:rsid w:val="7CBB3B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customStyle="1" w:styleId="14">
    <w:name w:val="[Normal]"/>
    <w:qFormat/>
    <w:uiPriority w:val="0"/>
    <w:rPr>
      <w:rFonts w:ascii="宋体" w:hAnsi="Times New Roman" w:eastAsia="宋体" w:cs="Times New Roman"/>
      <w:sz w:val="24"/>
      <w:lang w:val="en-US" w:eastAsia="en-US" w:bidi="ar-SA"/>
    </w:rPr>
  </w:style>
  <w:style w:type="paragraph" w:styleId="15">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577</Words>
  <Characters>3293</Characters>
  <Lines>27</Lines>
  <Paragraphs>7</Paragraphs>
  <TotalTime>14</TotalTime>
  <ScaleCrop>false</ScaleCrop>
  <LinksUpToDate>false</LinksUpToDate>
  <CharactersWithSpaces>3863</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2021-05-26T03:00:01Z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