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科技局</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科技局</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科技</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cs="宋体"/>
          <w:sz w:val="32"/>
          <w:szCs w:val="32"/>
          <w:lang w:eastAsia="zh-CN"/>
        </w:rPr>
      </w:pPr>
      <w:r>
        <w:rPr>
          <w:rFonts w:hint="eastAsia" w:cs="宋体"/>
          <w:sz w:val="32"/>
          <w:szCs w:val="32"/>
          <w:lang w:eastAsia="zh-CN"/>
        </w:rPr>
        <w:t>1、贯彻落实上级有关科学技术、知识产权、防震减灾方针、政策，执行有关法规和规章；研究提出本区科技促进经济和社会发展的宏观战略、优先领域，拟定全区科学技术发展的中长期规划和年度计划本组织实施。</w:t>
      </w:r>
    </w:p>
    <w:p>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cs="宋体"/>
          <w:sz w:val="32"/>
          <w:szCs w:val="32"/>
          <w:lang w:eastAsia="zh-CN"/>
        </w:rPr>
      </w:pPr>
      <w:r>
        <w:rPr>
          <w:rFonts w:hint="eastAsia" w:cs="宋体"/>
          <w:sz w:val="32"/>
          <w:szCs w:val="32"/>
          <w:lang w:eastAsia="zh-CN"/>
        </w:rPr>
        <w:t>2、负责全区科学技术普及工作组织开展科普宣传、科技下乡活动</w:t>
      </w:r>
    </w:p>
    <w:p>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cs="宋体"/>
          <w:sz w:val="32"/>
          <w:szCs w:val="32"/>
          <w:lang w:eastAsia="zh-CN"/>
        </w:rPr>
      </w:pPr>
      <w:r>
        <w:rPr>
          <w:rFonts w:hint="eastAsia" w:cs="宋体"/>
          <w:sz w:val="32"/>
          <w:szCs w:val="32"/>
          <w:lang w:eastAsia="zh-CN"/>
        </w:rPr>
        <w:t xml:space="preserve">3、组织筛选审查申报科技计划项目，负责高新技术及产品得到申报认定，负责全区科学技术研究与开发经费的分配和管理。 </w:t>
      </w:r>
    </w:p>
    <w:p>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cs="宋体"/>
          <w:sz w:val="32"/>
          <w:szCs w:val="32"/>
          <w:lang w:eastAsia="zh-CN"/>
        </w:rPr>
      </w:pPr>
      <w:r>
        <w:rPr>
          <w:rFonts w:hint="eastAsia" w:cs="宋体"/>
          <w:sz w:val="32"/>
          <w:szCs w:val="32"/>
          <w:lang w:eastAsia="zh-CN"/>
        </w:rPr>
        <w:t>4、参与全区重大项目建设，包括技术引进、技术改造项目的论证，并对实施效果进行检查评价。</w:t>
      </w:r>
    </w:p>
    <w:p>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cs="宋体"/>
          <w:sz w:val="32"/>
          <w:szCs w:val="32"/>
          <w:lang w:eastAsia="zh-CN"/>
        </w:rPr>
      </w:pPr>
      <w:r>
        <w:rPr>
          <w:rFonts w:hint="eastAsia" w:cs="宋体"/>
          <w:sz w:val="32"/>
          <w:szCs w:val="32"/>
          <w:lang w:eastAsia="zh-CN"/>
        </w:rPr>
        <w:t>5、贯彻地震法规，负责本区地震监测，组织实施防震减灾；对建筑工程场地进行地震安全性评价，负责抗震设防监督。</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石家庄市藁城区科技局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p>
      <w:pPr>
        <w:tabs>
          <w:tab w:val="left" w:pos="1086"/>
        </w:tabs>
        <w:jc w:val="left"/>
        <w:rPr>
          <w:rFonts w:ascii="仿宋_GB2312" w:eastAsia="仿宋_GB2312" w:hAnsiTheme="majorEastAsia"/>
          <w:b/>
          <w:sz w:val="28"/>
          <w:szCs w:val="28"/>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667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本部门2018年度收支总计（含结转和结余208.11万元。与2017年度决算相比，收</w:t>
      </w:r>
      <w:r>
        <w:rPr>
          <w:rFonts w:hint="eastAsia" w:ascii="仿宋_GB2312" w:eastAsia="仿宋_GB2312" w:cs="DengXian-Regular"/>
          <w:sz w:val="32"/>
          <w:szCs w:val="32"/>
          <w:lang w:eastAsia="zh-CN"/>
        </w:rPr>
        <w:t>入</w:t>
      </w:r>
      <w:r>
        <w:rPr>
          <w:rFonts w:hint="eastAsia" w:ascii="仿宋_GB2312" w:eastAsia="仿宋_GB2312" w:cs="DengXian-Regular"/>
          <w:sz w:val="32"/>
          <w:szCs w:val="32"/>
        </w:rPr>
        <w:t>增加405.91万元，增长20.27%，主要原因是上级专项增加。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本部门2018年度本年收入合计2408.11万元，其中：财政拨款收入2408.11万元，占100%；事业收入0万元，占0%；经营收入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万元，占0%；其他收入0万元，占0%。如图所示：</w:t>
      </w:r>
    </w:p>
    <w:p>
      <w:pPr>
        <w:pStyle w:val="3"/>
        <w:spacing w:before="0" w:after="0" w:line="360" w:lineRule="auto"/>
        <w:ind w:firstLine="643" w:firstLineChars="200"/>
        <w:rPr>
          <w:rFonts w:ascii="黑体" w:eastAsia="黑体"/>
        </w:rPr>
      </w:pPr>
    </w:p>
    <w:p>
      <w:pPr>
        <w:pStyle w:val="3"/>
        <w:spacing w:before="0" w:after="0" w:line="360" w:lineRule="auto"/>
        <w:ind w:firstLine="643" w:firstLineChars="200"/>
        <w:rPr>
          <w:rFonts w:ascii="黑体" w:eastAsia="黑体"/>
        </w:rPr>
      </w:pPr>
      <w:r>
        <w:drawing>
          <wp:inline distT="0" distB="0" distL="0" distR="0">
            <wp:extent cx="4572000" cy="2743200"/>
            <wp:effectExtent l="0" t="0" r="19050" b="1905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360" w:lineRule="auto"/>
        <w:rPr>
          <w:rFonts w:ascii="黑体" w:eastAsia="黑体"/>
          <w:b w:val="0"/>
          <w:bCs w:val="0"/>
        </w:rPr>
      </w:pPr>
    </w:p>
    <w:p>
      <w:pPr>
        <w:pStyle w:val="3"/>
        <w:spacing w:before="0" w:after="0" w:line="360" w:lineRule="auto"/>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本部门2018年度本年支出合计2349.83万元，其中：基本支出262.85万元，占11.18%；项目支出2086.98万元，占88.82%；经营支出0万元，占0%。如图所示：</w:t>
      </w:r>
    </w:p>
    <w:p>
      <w:pPr>
        <w:pStyle w:val="3"/>
        <w:spacing w:before="0" w:after="0" w:line="360" w:lineRule="auto"/>
        <w:ind w:firstLine="643" w:firstLineChars="200"/>
        <w:rPr>
          <w:rFonts w:ascii="黑体" w:eastAsia="黑体"/>
        </w:rPr>
      </w:pPr>
      <w:r>
        <w:rPr>
          <w:rFonts w:ascii="黑体" w:eastAsia="黑体"/>
        </w:rPr>
        <w:drawing>
          <wp:inline distT="0" distB="0" distL="0" distR="0">
            <wp:extent cx="5486400" cy="3200400"/>
            <wp:effectExtent l="0" t="0" r="19050" b="19050"/>
            <wp:docPr id="67" name="图表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360" w:lineRule="auto"/>
        <w:rPr>
          <w:rFonts w:ascii="黑体" w:eastAsia="黑体"/>
          <w:b w:val="0"/>
          <w:bCs w:val="0"/>
        </w:rPr>
      </w:pPr>
    </w:p>
    <w:p>
      <w:pPr>
        <w:pStyle w:val="3"/>
        <w:spacing w:before="0" w:after="0" w:line="360" w:lineRule="auto"/>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2408.11万元,比2017年度增加405.91万元，增长20.27%，主要是上级专项资金增加，本年支出2349.83万元，增加379.76万元，增长19.28%，主要是上级专项资金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本部门2018年度财政拨款本年收入2408.11万元,比2017年度增加405.91万元，增长20.27%，主要是上级专项资金增加；本年支出2319.83万元，增加379.76万元，增长19.28%，主要是上级专项资金增加。</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2408.11万元，比上年增加405.91万元；主要是上级专项资金增加；本年支出2349.83万元，比上年增加379.76万元，增长19.28%，主要是上级专项资金增加。政府性基金预算财政拨款本年收入0万元，与上年相比增减无变化；本年支出0万元，与上年相比增减无变化。</w:t>
      </w:r>
    </w:p>
    <w:p>
      <w:pPr>
        <w:adjustRightInd w:val="0"/>
        <w:snapToGrid w:val="0"/>
        <w:spacing w:after="0" w:line="36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5486400" cy="3200400"/>
            <wp:effectExtent l="0" t="0" r="19050" b="19050"/>
            <wp:docPr id="68" name="图表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360" w:lineRule="auto"/>
        <w:rPr>
          <w:rFonts w:ascii="仿宋_GB2312" w:eastAsia="仿宋_GB2312" w:cs="DengXian-Regular"/>
          <w:sz w:val="32"/>
          <w:szCs w:val="32"/>
        </w:rPr>
      </w:pPr>
    </w:p>
    <w:p>
      <w:pPr>
        <w:spacing w:after="0" w:line="360" w:lineRule="auto"/>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2408.11万元，完成年初预算的214.88%,比年初预算增加1287.42万元，决算数大于预算数主要原因是上级专项资金未列入本级预算；本年支出1970.07万元，完成年初预算的175.79%,比年初预算增加849.38万元，决算数大于预算数主要原因是上级专项资金未列入本级预算。</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2408.11万元，完成年初预算的214.88%,比年初预算增加1287.42万元，决算数大于预算数主要原因上级专项资金未列入本级预算；本年支出1970.07万元，完成年初预算的175.79%,比年初预算增加849.38万元，决算数大于预算数主要原因是主要是上级专项资金未列入本级预算。</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214.88%，比年初预算增加1287.42万元，主要是上级专项资金未列入本级预算；支出完成年初预算175.79%，比年初预算增加849.38万元，主要是上级专项资金未列入本级预算。政府性基金预算财政拨款本年收入完成年初预算0%，与上年相比增减无变化；支出完成年初预算0%，与上年相比增减无变化。</w:t>
      </w:r>
    </w:p>
    <w:p>
      <w:pPr>
        <w:adjustRightInd w:val="0"/>
        <w:snapToGrid w:val="0"/>
        <w:spacing w:after="0" w:line="36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inline distT="0" distB="0" distL="0" distR="0">
            <wp:extent cx="5486400" cy="3200400"/>
            <wp:effectExtent l="0" t="0" r="19050" b="19050"/>
            <wp:docPr id="69" name="图表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360" w:lineRule="auto"/>
        <w:rPr>
          <w:rFonts w:ascii="仿宋_GB2312" w:eastAsia="仿宋_GB2312" w:cs="DengXian-Regular"/>
          <w:sz w:val="32"/>
          <w:szCs w:val="32"/>
          <w:highlight w:val="yellow"/>
        </w:rPr>
      </w:pPr>
    </w:p>
    <w:p>
      <w:pPr>
        <w:numPr>
          <w:ilvl w:val="0"/>
          <w:numId w:val="1"/>
        </w:numPr>
        <w:adjustRightInd w:val="0"/>
        <w:snapToGrid w:val="0"/>
        <w:spacing w:after="0" w:line="36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年度财政拨款支出1970.07万元，主要用于以下方面一般公共服务类支出0万元，占0%；公共安全类支出0万元，占0%；教育类支出0万元，占0%；科学技术类支出1970.07万元，占 100%；社会保障和就业类支出 0万元，占0%；住房保障类支出0万元，占 0%。</w:t>
      </w:r>
    </w:p>
    <w:p>
      <w:pPr>
        <w:adjustRightInd w:val="0"/>
        <w:snapToGrid w:val="0"/>
        <w:spacing w:after="0" w:line="360" w:lineRule="auto"/>
        <w:rPr>
          <w:rFonts w:ascii="楷体_GB2312" w:eastAsia="楷体_GB2312" w:cs="DengXian-Bold"/>
          <w:b/>
          <w:bCs/>
          <w:sz w:val="32"/>
          <w:szCs w:val="32"/>
        </w:rPr>
      </w:pPr>
      <w:r>
        <w:rPr>
          <w:rFonts w:ascii="楷体_GB2312" w:eastAsia="楷体_GB2312" w:cs="DengXian-Bold"/>
          <w:b/>
          <w:bCs/>
          <w:sz w:val="32"/>
          <w:szCs w:val="32"/>
        </w:rPr>
        <w:drawing>
          <wp:inline distT="0" distB="0" distL="0" distR="0">
            <wp:extent cx="5486400" cy="3200400"/>
            <wp:effectExtent l="0" t="0" r="19050" b="19050"/>
            <wp:docPr id="100" name="图表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6950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年度一般公共预算财政拨款基本支出1970.07万元，其中：人员经费 210.77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52.08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较年初预算增加0万元，增长0%，</w:t>
      </w:r>
      <w:r>
        <w:rPr>
          <w:rFonts w:hint="eastAsia" w:ascii="仿宋_GB2312" w:eastAsia="仿宋_GB2312" w:cs="DengXian-Regular"/>
          <w:sz w:val="32"/>
          <w:szCs w:val="32"/>
        </w:rPr>
        <w:t>与上年相比增减无变化。具体情况如下：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052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本部门2018年度因公出国（境）团组0个、共0人/参加其他单位组织的因公出国（境）团组0个、共0人/无本单位组织的出国（境）团组。因公出国（境）费支出较年初预算增加0万元，增长0%,与上年相比增减无变化。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本部门2018年度公务用车购置及运行维护费较年初预算减少0万元，降低0%,与上年相比增减无变化。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本部门2018年度公务用车购置量0辆，发生“公务用车购置”经费支出0万元。公务用车购置费支出较年初预算增加0万元，增长0%,与上年相比增减无变化。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本部门2018年度单位公务用车保有量0辆。公车运行维护费支出较年初预算增加0万元，增长0%,与上年相比增减无变化。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155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155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本部门2018年度公务接待共0批次、0人次。公务接待费支出较年初预算增加0万元，增长0%,与上年相比增减无变化。</w:t>
      </w:r>
    </w:p>
    <w:p>
      <w:pPr>
        <w:pStyle w:val="3"/>
        <w:spacing w:before="0" w:after="0" w:line="500" w:lineRule="exact"/>
        <w:ind w:firstLine="643" w:firstLineChars="200"/>
        <w:rPr>
          <w:rFonts w:ascii="仿宋_GB2312" w:hAnsi="Times New Roman" w:eastAsia="仿宋_GB2312" w:cs="DengXian-Regular"/>
          <w:b w:val="0"/>
          <w:bCs w:val="0"/>
        </w:rPr>
      </w:pPr>
      <w:r>
        <w:rPr>
          <w:rFonts w:hint="eastAsia" w:ascii="黑体" w:eastAsia="黑体"/>
          <w:szCs w:val="40"/>
        </w:rPr>
        <w:t>六、</w:t>
      </w:r>
      <w:r>
        <w:rPr>
          <w:rFonts w:hint="eastAsia" w:ascii="仿宋_GB2312" w:hAnsi="Times New Roman" w:eastAsia="仿宋_GB2312" w:cs="DengXian-Regular"/>
          <w:bCs w:val="0"/>
        </w:rPr>
        <w:t>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社会公益研究等38个项目，涉及资金2086.98万元。从评价情况看，评价结果为优秀的项目有8个，良好的项目有30个，一般的项目有0个。</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本单位社会公益研究项目绩效自评：根据年初设定的绩效目标，社会公益研究项目绩效自评结果为良好。项目全年预算数为809.84万元，执行数为1970.07万元，完成预算的243.27%。主要产出和效果是良好.。</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本部门2018年度机关运行经费支出0万元，与上年相比增减无变化。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与上年相比增减无变化。其中，副部（省）级及以上领导用车0辆，主要领导干部用车0辆，机要通信用车0辆，应急保障用车0辆，执法执勤用车0辆，特种专业技术用车0辆，离退休干部用车0辆，其他用车0辆，其他用车0辆，与上年相比增减无变化；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万元以上通用设备0台（套），与上年相比增减无变化，单位价值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r>
        <w:rPr>
          <w:rFonts w:hint="eastAsia" w:ascii="仿宋_GB2312" w:eastAsia="仿宋_GB2312" w:cs="DengXian-Regular"/>
          <w:sz w:val="32"/>
          <w:szCs w:val="32"/>
          <w:lang w:eastAsia="zh-CN"/>
        </w:rPr>
        <w:t>，</w:t>
      </w:r>
      <w:r>
        <w:rPr>
          <w:rFonts w:hint="eastAsia" w:ascii="仿宋_GB2312" w:eastAsia="仿宋_GB2312" w:cs="DengXian-Regular"/>
          <w:sz w:val="32"/>
          <w:szCs w:val="32"/>
        </w:rPr>
        <w:t xml:space="preserve"> 与上年相比增减无变化</w:t>
      </w:r>
      <w:bookmarkStart w:id="0" w:name="_GoBack"/>
      <w:bookmarkEnd w:id="0"/>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1、本部门2018年度无收支及结转结余情况，故一般公共预算财政拨款“三公”经费支出决算表、政府性基金预算财政拨款收入支出决算表、国有资本经营预算财政拨款支出决算表、政府采购情况表以空表列示。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360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3A6531F-D0A4-4E8A-B6DA-D0F4AF70E06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003734E1-9962-4A12-B23C-DD86FC38FF7B}"/>
  </w:font>
  <w:font w:name="楷体">
    <w:panose1 w:val="02010609060101010101"/>
    <w:charset w:val="86"/>
    <w:family w:val="modern"/>
    <w:pitch w:val="default"/>
    <w:sig w:usb0="800002BF" w:usb1="38CF7CFA" w:usb2="00000016" w:usb3="00000000" w:csb0="00040001" w:csb1="00000000"/>
    <w:embedRegular r:id="rId3" w:fontKey="{2C47F3B8-B580-466D-9CA6-9D04CE075CD8}"/>
  </w:font>
  <w:font w:name="楷体_GB2312">
    <w:panose1 w:val="02010609030101010101"/>
    <w:charset w:val="86"/>
    <w:family w:val="modern"/>
    <w:pitch w:val="default"/>
    <w:sig w:usb0="00000001" w:usb1="080E0000" w:usb2="00000000" w:usb3="00000000" w:csb0="00040000" w:csb1="00000000"/>
    <w:embedRegular r:id="rId4" w:fontKey="{226AC8E4-186A-4C58-9204-2B84BE1C73C3}"/>
  </w:font>
  <w:font w:name="仿宋_GB2312">
    <w:panose1 w:val="02010609030101010101"/>
    <w:charset w:val="86"/>
    <w:family w:val="modern"/>
    <w:pitch w:val="default"/>
    <w:sig w:usb0="00000001" w:usb1="080E0000" w:usb2="00000000" w:usb3="00000000" w:csb0="00040000" w:csb1="00000000"/>
    <w:embedRegular r:id="rId5" w:fontKey="{68730F6C-CF01-432E-BDAD-6C2E64B7690D}"/>
  </w:font>
  <w:font w:name="ArialUnicodeMS">
    <w:altName w:val="Malgun Gothic"/>
    <w:panose1 w:val="00000000000000000000"/>
    <w:charset w:val="81"/>
    <w:family w:val="auto"/>
    <w:pitch w:val="default"/>
    <w:sig w:usb0="00000000" w:usb1="00000000" w:usb2="00000010" w:usb3="00000000" w:csb0="00080001" w:csb1="00000000"/>
    <w:embedRegular r:id="rId6" w:fontKey="{C6CF2390-3A65-43D6-92B3-C626C01B7A36}"/>
  </w:font>
  <w:font w:name="MS-UIGothic,Bold">
    <w:altName w:val="Malgun Gothic"/>
    <w:panose1 w:val="00000000000000000000"/>
    <w:charset w:val="81"/>
    <w:family w:val="auto"/>
    <w:pitch w:val="default"/>
    <w:sig w:usb0="00000000" w:usb1="00000000" w:usb2="00000010" w:usb3="00000000" w:csb0="00080000" w:csb1="00000000"/>
    <w:embedRegular r:id="rId7" w:fontKey="{DDDEB9C6-EF63-48CA-B959-EB59A219FF2A}"/>
  </w:font>
  <w:font w:name="DengXian-Regular">
    <w:altName w:val="宋体"/>
    <w:panose1 w:val="00000000000000000000"/>
    <w:charset w:val="86"/>
    <w:family w:val="auto"/>
    <w:pitch w:val="default"/>
    <w:sig w:usb0="00000000" w:usb1="00000000" w:usb2="00000010" w:usb3="00000000" w:csb0="00040001" w:csb1="00000000"/>
    <w:embedRegular r:id="rId8" w:fontKey="{1459E686-C28B-4994-9EE4-8C858A01371D}"/>
  </w:font>
  <w:font w:name="DengXian-Bold">
    <w:altName w:val="宋体"/>
    <w:panose1 w:val="00000000000000000000"/>
    <w:charset w:val="86"/>
    <w:family w:val="auto"/>
    <w:pitch w:val="default"/>
    <w:sig w:usb0="00000000" w:usb1="00000000" w:usb2="00000010" w:usb3="00000000" w:csb0="00040001" w:csb1="00000000"/>
    <w:embedRegular r:id="rId9" w:fontKey="{5F2B07ED-BBEB-494C-863F-3C95B47C103A}"/>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A14C3"/>
    <w:rsid w:val="000B2446"/>
    <w:rsid w:val="000D7C65"/>
    <w:rsid w:val="000E2F81"/>
    <w:rsid w:val="001110F5"/>
    <w:rsid w:val="00117946"/>
    <w:rsid w:val="00117E2C"/>
    <w:rsid w:val="00146C47"/>
    <w:rsid w:val="00152FB8"/>
    <w:rsid w:val="00176658"/>
    <w:rsid w:val="0018239E"/>
    <w:rsid w:val="001B3410"/>
    <w:rsid w:val="001C030D"/>
    <w:rsid w:val="001C4A84"/>
    <w:rsid w:val="001E5902"/>
    <w:rsid w:val="00233705"/>
    <w:rsid w:val="00273BB7"/>
    <w:rsid w:val="00275CA2"/>
    <w:rsid w:val="00287D25"/>
    <w:rsid w:val="002A65A5"/>
    <w:rsid w:val="002C04C4"/>
    <w:rsid w:val="002D08B0"/>
    <w:rsid w:val="002D1AE3"/>
    <w:rsid w:val="002F2ECE"/>
    <w:rsid w:val="00341C8F"/>
    <w:rsid w:val="0035463A"/>
    <w:rsid w:val="00391D9D"/>
    <w:rsid w:val="00391E1D"/>
    <w:rsid w:val="003A3BE5"/>
    <w:rsid w:val="003B6C51"/>
    <w:rsid w:val="003C1413"/>
    <w:rsid w:val="003C549F"/>
    <w:rsid w:val="003D5A16"/>
    <w:rsid w:val="003E7DB3"/>
    <w:rsid w:val="003F7EC9"/>
    <w:rsid w:val="00431175"/>
    <w:rsid w:val="004B6E37"/>
    <w:rsid w:val="004C32BA"/>
    <w:rsid w:val="00575922"/>
    <w:rsid w:val="00581262"/>
    <w:rsid w:val="005A6C90"/>
    <w:rsid w:val="005A6CE4"/>
    <w:rsid w:val="005E3FB0"/>
    <w:rsid w:val="005F4B66"/>
    <w:rsid w:val="005F5208"/>
    <w:rsid w:val="00613097"/>
    <w:rsid w:val="00641318"/>
    <w:rsid w:val="0064405D"/>
    <w:rsid w:val="00685302"/>
    <w:rsid w:val="006942CD"/>
    <w:rsid w:val="00695557"/>
    <w:rsid w:val="006B32FE"/>
    <w:rsid w:val="006D4EA7"/>
    <w:rsid w:val="0070012A"/>
    <w:rsid w:val="0070664B"/>
    <w:rsid w:val="007071B8"/>
    <w:rsid w:val="007414DE"/>
    <w:rsid w:val="007905A9"/>
    <w:rsid w:val="007E5500"/>
    <w:rsid w:val="007F055B"/>
    <w:rsid w:val="0080644C"/>
    <w:rsid w:val="00811C2F"/>
    <w:rsid w:val="00833D46"/>
    <w:rsid w:val="00840A97"/>
    <w:rsid w:val="008A7E34"/>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3157"/>
    <w:rsid w:val="00B74D39"/>
    <w:rsid w:val="00B900DE"/>
    <w:rsid w:val="00B91DA4"/>
    <w:rsid w:val="00C12630"/>
    <w:rsid w:val="00C34562"/>
    <w:rsid w:val="00C3774E"/>
    <w:rsid w:val="00C57456"/>
    <w:rsid w:val="00C65387"/>
    <w:rsid w:val="00C87FAB"/>
    <w:rsid w:val="00C91FF7"/>
    <w:rsid w:val="00C94E53"/>
    <w:rsid w:val="00CB023D"/>
    <w:rsid w:val="00D0048E"/>
    <w:rsid w:val="00D23E7A"/>
    <w:rsid w:val="00D269F1"/>
    <w:rsid w:val="00D41D7E"/>
    <w:rsid w:val="00D61063"/>
    <w:rsid w:val="00DB35AF"/>
    <w:rsid w:val="00DD72D7"/>
    <w:rsid w:val="00DF5B88"/>
    <w:rsid w:val="00E0589E"/>
    <w:rsid w:val="00E241FA"/>
    <w:rsid w:val="00E2595E"/>
    <w:rsid w:val="00E35374"/>
    <w:rsid w:val="00E50C19"/>
    <w:rsid w:val="00E64655"/>
    <w:rsid w:val="00E73081"/>
    <w:rsid w:val="00E856C9"/>
    <w:rsid w:val="00EB6A8B"/>
    <w:rsid w:val="00EE631B"/>
    <w:rsid w:val="00EF38C6"/>
    <w:rsid w:val="00F679C7"/>
    <w:rsid w:val="00F7711A"/>
    <w:rsid w:val="00FA0D58"/>
    <w:rsid w:val="00FA56F4"/>
    <w:rsid w:val="00FB4EDA"/>
    <w:rsid w:val="00FD3BD5"/>
    <w:rsid w:val="00FD538F"/>
    <w:rsid w:val="00FE3DC8"/>
    <w:rsid w:val="04073F84"/>
    <w:rsid w:val="0B60750A"/>
    <w:rsid w:val="0D9D42CC"/>
    <w:rsid w:val="10686488"/>
    <w:rsid w:val="10DF728A"/>
    <w:rsid w:val="1264200E"/>
    <w:rsid w:val="141C5B77"/>
    <w:rsid w:val="18D8339D"/>
    <w:rsid w:val="1A21388F"/>
    <w:rsid w:val="1A570D2F"/>
    <w:rsid w:val="21446327"/>
    <w:rsid w:val="28FB0B8D"/>
    <w:rsid w:val="2A9870FC"/>
    <w:rsid w:val="2D2B7942"/>
    <w:rsid w:val="2D46481D"/>
    <w:rsid w:val="2E733B28"/>
    <w:rsid w:val="31852B5A"/>
    <w:rsid w:val="32D01238"/>
    <w:rsid w:val="3DFC59A8"/>
    <w:rsid w:val="3ECF245E"/>
    <w:rsid w:val="3FB96314"/>
    <w:rsid w:val="4DE01C15"/>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Normal]"/>
    <w:qFormat/>
    <w:uiPriority w:val="0"/>
    <w:rPr>
      <w:rFonts w:ascii="宋体" w:hAnsi="宋体"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Sheet1!$F$32:$F$33</c:f>
              <c:strCache>
                <c:ptCount val="2"/>
                <c:pt idx="0">
                  <c:v>本年收入合计</c:v>
                </c:pt>
                <c:pt idx="1">
                  <c:v>财政拨款收入</c:v>
                </c:pt>
              </c:strCache>
            </c:strRef>
          </c:cat>
          <c:val>
            <c:numRef>
              <c:f>Sheet1!$G$32:$G$33</c:f>
              <c:numCache>
                <c:formatCode>General</c:formatCode>
                <c:ptCount val="2"/>
                <c:pt idx="1">
                  <c:v>2408.11</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本年支出合计</c:v>
                </c:pt>
              </c:strCache>
            </c:strRef>
          </c:tx>
          <c:explosion val="0"/>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Sheet1!$A$2:$A$5</c:f>
              <c:strCache>
                <c:ptCount val="2"/>
                <c:pt idx="0">
                  <c:v>基本支出</c:v>
                </c:pt>
                <c:pt idx="1">
                  <c:v>项目支出</c:v>
                </c:pt>
              </c:strCache>
            </c:strRef>
          </c:cat>
          <c:val>
            <c:numRef>
              <c:f>Sheet1!$B$2:$B$5</c:f>
              <c:numCache>
                <c:formatCode>General</c:formatCode>
                <c:ptCount val="4"/>
                <c:pt idx="0">
                  <c:v>262.85</c:v>
                </c:pt>
                <c:pt idx="1">
                  <c:v>2086.98</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本年收入</c:v>
                </c:pt>
              </c:strCache>
            </c:strRef>
          </c:tx>
          <c:invertIfNegative val="0"/>
          <c:dLbls>
            <c:delete val="1"/>
          </c:dLbls>
          <c:cat>
            <c:strRef>
              <c:f>Sheet1!$A$2:$A$3</c:f>
              <c:strCache>
                <c:ptCount val="2"/>
                <c:pt idx="0">
                  <c:v>2017年</c:v>
                </c:pt>
                <c:pt idx="1">
                  <c:v>2018年</c:v>
                </c:pt>
              </c:strCache>
            </c:strRef>
          </c:cat>
          <c:val>
            <c:numRef>
              <c:f>Sheet1!$B$2:$B$3</c:f>
              <c:numCache>
                <c:formatCode>General</c:formatCode>
                <c:ptCount val="2"/>
                <c:pt idx="0">
                  <c:v>2002.2</c:v>
                </c:pt>
                <c:pt idx="1">
                  <c:v>2408.11</c:v>
                </c:pt>
              </c:numCache>
            </c:numRef>
          </c:val>
        </c:ser>
        <c:ser>
          <c:idx val="1"/>
          <c:order val="1"/>
          <c:tx>
            <c:strRef>
              <c:f>Sheet1!$C$1</c:f>
              <c:strCache>
                <c:ptCount val="1"/>
                <c:pt idx="0">
                  <c:v>本年支出</c:v>
                </c:pt>
              </c:strCache>
            </c:strRef>
          </c:tx>
          <c:invertIfNegative val="0"/>
          <c:dLbls>
            <c:delete val="1"/>
          </c:dLbls>
          <c:cat>
            <c:strRef>
              <c:f>Sheet1!$A$2:$A$3</c:f>
              <c:strCache>
                <c:ptCount val="2"/>
                <c:pt idx="0">
                  <c:v>2017年</c:v>
                </c:pt>
                <c:pt idx="1">
                  <c:v>2018年</c:v>
                </c:pt>
              </c:strCache>
            </c:strRef>
          </c:cat>
          <c:val>
            <c:numRef>
              <c:f>Sheet1!$C$2:$C$3</c:f>
              <c:numCache>
                <c:formatCode>General</c:formatCode>
                <c:ptCount val="2"/>
                <c:pt idx="0">
                  <c:v>1970.07</c:v>
                </c:pt>
                <c:pt idx="1">
                  <c:v>2349.83</c:v>
                </c:pt>
              </c:numCache>
            </c:numRef>
          </c:val>
        </c:ser>
        <c:dLbls>
          <c:showLegendKey val="0"/>
          <c:showVal val="0"/>
          <c:showCatName val="0"/>
          <c:showSerName val="0"/>
          <c:showPercent val="0"/>
          <c:showBubbleSize val="0"/>
        </c:dLbls>
        <c:gapWidth val="150"/>
        <c:axId val="134015616"/>
        <c:axId val="137642368"/>
      </c:barChart>
      <c:catAx>
        <c:axId val="13401561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7642368"/>
        <c:crosses val="autoZero"/>
        <c:auto val="1"/>
        <c:lblAlgn val="ctr"/>
        <c:lblOffset val="100"/>
        <c:noMultiLvlLbl val="0"/>
      </c:catAx>
      <c:valAx>
        <c:axId val="13764236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401561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收入</c:v>
                </c:pt>
              </c:strCache>
            </c:strRef>
          </c:tx>
          <c:invertIfNegative val="0"/>
          <c:dLbls>
            <c:delete val="1"/>
          </c:dLbls>
          <c:cat>
            <c:strRef>
              <c:f>Sheet1!$A$2:$A$3</c:f>
              <c:strCache>
                <c:ptCount val="2"/>
                <c:pt idx="0">
                  <c:v>年初预算</c:v>
                </c:pt>
                <c:pt idx="1">
                  <c:v>决算</c:v>
                </c:pt>
              </c:strCache>
            </c:strRef>
          </c:cat>
          <c:val>
            <c:numRef>
              <c:f>Sheet1!$B$2:$B$3</c:f>
              <c:numCache>
                <c:formatCode>General</c:formatCode>
                <c:ptCount val="2"/>
                <c:pt idx="0">
                  <c:v>1120.69</c:v>
                </c:pt>
                <c:pt idx="1">
                  <c:v>2468.11</c:v>
                </c:pt>
              </c:numCache>
            </c:numRef>
          </c:val>
        </c:ser>
        <c:ser>
          <c:idx val="1"/>
          <c:order val="1"/>
          <c:tx>
            <c:strRef>
              <c:f>Sheet1!$C$1</c:f>
              <c:strCache>
                <c:ptCount val="1"/>
                <c:pt idx="0">
                  <c:v>支出</c:v>
                </c:pt>
              </c:strCache>
            </c:strRef>
          </c:tx>
          <c:invertIfNegative val="0"/>
          <c:dLbls>
            <c:delete val="1"/>
          </c:dLbls>
          <c:cat>
            <c:strRef>
              <c:f>Sheet1!$A$2:$A$3</c:f>
              <c:strCache>
                <c:ptCount val="2"/>
                <c:pt idx="0">
                  <c:v>年初预算</c:v>
                </c:pt>
                <c:pt idx="1">
                  <c:v>决算</c:v>
                </c:pt>
              </c:strCache>
            </c:strRef>
          </c:cat>
          <c:val>
            <c:numRef>
              <c:f>Sheet1!$C$2:$C$3</c:f>
              <c:numCache>
                <c:formatCode>General</c:formatCode>
                <c:ptCount val="2"/>
                <c:pt idx="0">
                  <c:v>1120.69</c:v>
                </c:pt>
                <c:pt idx="1">
                  <c:v>2349.83</c:v>
                </c:pt>
              </c:numCache>
            </c:numRef>
          </c:val>
        </c:ser>
        <c:dLbls>
          <c:showLegendKey val="0"/>
          <c:showVal val="0"/>
          <c:showCatName val="0"/>
          <c:showSerName val="0"/>
          <c:showPercent val="0"/>
          <c:showBubbleSize val="0"/>
        </c:dLbls>
        <c:gapWidth val="150"/>
        <c:axId val="212702720"/>
        <c:axId val="212704256"/>
      </c:barChart>
      <c:catAx>
        <c:axId val="21270272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704256"/>
        <c:crosses val="autoZero"/>
        <c:auto val="1"/>
        <c:lblAlgn val="ctr"/>
        <c:lblOffset val="100"/>
        <c:noMultiLvlLbl val="0"/>
      </c:catAx>
      <c:valAx>
        <c:axId val="21270425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70272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科学技术类支出</c:v>
                </c:pt>
              </c:strCache>
            </c:strRef>
          </c:tx>
          <c:explosion val="0"/>
          <c:dPt>
            <c:idx val="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财政拨款支出</c:v>
                </c:pt>
              </c:strCache>
            </c:strRef>
          </c:cat>
          <c:val>
            <c:numRef>
              <c:f>Sheet1!$B$2</c:f>
              <c:numCache>
                <c:formatCode>General</c:formatCode>
                <c:ptCount val="1"/>
                <c:pt idx="0">
                  <c:v>1970.07</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DF491C9D-B87F-4029-A45E-2FC6443368F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827</Words>
  <Characters>4718</Characters>
  <Lines>39</Lines>
  <Paragraphs>11</Paragraphs>
  <TotalTime>93</TotalTime>
  <ScaleCrop>false</ScaleCrop>
  <LinksUpToDate>false</LinksUpToDate>
  <CharactersWithSpaces>5534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2019-11-01T08:00:00Z</dcterms:created>
  <dc:creator>User</dc:creator>
  <cp:lastModifiedBy>Administrator</cp:lastModifiedBy>
  <cp:lastPrinted>2019-08-02T01:01:00Z</cp:lastPrinted>
  <dcterms:modified xsi:type="dcterms:W3CDTF">2021-05-21T02:54:06Z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