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both"/>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石家庄市藁城区街道办事处</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jc w:val="center"/>
        <w:rPr>
          <w:rFonts w:ascii="黑体" w:hAnsi="黑体" w:eastAsia="黑体" w:cs="黑体"/>
          <w:sz w:val="56"/>
          <w:szCs w:val="7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第三部分  名词解释</w:t>
      </w:r>
    </w:p>
    <w:p>
      <w:pPr>
        <w:widowControl/>
        <w:spacing w:after="160" w:line="580" w:lineRule="exact"/>
        <w:ind w:firstLine="640" w:firstLineChars="200"/>
        <w:rPr>
          <w:rFonts w:hint="eastAsia" w:ascii="仿宋" w:hAnsi="仿宋" w:eastAsia="仿宋" w:cs="仿宋"/>
          <w:sz w:val="20"/>
          <w:szCs w:val="32"/>
        </w:rPr>
      </w:pPr>
      <w:r>
        <w:rPr>
          <w:rFonts w:hint="eastAsia" w:ascii="仿宋" w:hAnsi="仿宋" w:eastAsia="仿宋" w:cs="仿宋"/>
          <w:sz w:val="32"/>
          <w:szCs w:val="32"/>
        </w:rPr>
        <w:t>第四部分  2019年度部门决算报表</w:t>
      </w:r>
    </w:p>
    <w:p>
      <w:pPr>
        <w:widowControl/>
        <w:spacing w:after="160" w:line="580" w:lineRule="exact"/>
        <w:ind w:firstLine="640" w:firstLineChars="200"/>
        <w:rPr>
          <w:rFonts w:hint="eastAsia" w:ascii="仿宋" w:hAnsi="仿宋" w:eastAsia="仿宋" w:cs="仿宋"/>
          <w:sz w:val="32"/>
          <w:szCs w:val="32"/>
        </w:rPr>
      </w:pPr>
    </w:p>
    <w:p>
      <w:pPr>
        <w:widowControl/>
        <w:spacing w:after="160" w:line="580" w:lineRule="exact"/>
        <w:ind w:firstLine="640" w:firstLineChars="200"/>
        <w:rPr>
          <w:rFonts w:hint="eastAsia" w:ascii="仿宋" w:hAnsi="仿宋" w:eastAsia="仿宋" w:cs="仿宋"/>
          <w:sz w:val="32"/>
          <w:szCs w:val="32"/>
        </w:rPr>
        <w:sectPr>
          <w:headerReference r:id="rId14" w:type="first"/>
          <w:footerReference r:id="rId16" w:type="first"/>
          <w:headerReference r:id="rId13" w:type="default"/>
          <w:footerReference r:id="rId15"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32"/>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360" w:lineRule="auto"/>
        <w:ind w:firstLine="960" w:firstLineChars="300"/>
        <w:jc w:val="left"/>
        <w:rPr>
          <w:rFonts w:ascii="宋体" w:hAnsi="宋体"/>
          <w:sz w:val="32"/>
          <w:szCs w:val="32"/>
        </w:rPr>
      </w:pPr>
      <w:r>
        <w:rPr>
          <w:rFonts w:hint="eastAsia" w:ascii="宋体" w:hAnsi="宋体"/>
          <w:sz w:val="32"/>
          <w:szCs w:val="32"/>
        </w:rPr>
        <w:t>街道办事处是区政府的派出机构，代表区政府对辖区经济和社会发展履行管理、组织、协调、指导和服务职能，是贯彻党和国家各项方针、政策的直接指挥者和组织实施者。其主要职责是：</w:t>
      </w:r>
    </w:p>
    <w:p>
      <w:pPr>
        <w:spacing w:line="360" w:lineRule="auto"/>
        <w:ind w:firstLine="640" w:firstLineChars="200"/>
        <w:jc w:val="left"/>
        <w:rPr>
          <w:rFonts w:ascii="宋体" w:hAnsi="宋体"/>
          <w:sz w:val="32"/>
          <w:szCs w:val="32"/>
        </w:rPr>
      </w:pPr>
      <w:r>
        <w:rPr>
          <w:rFonts w:hint="eastAsia" w:ascii="宋体" w:hAnsi="宋体"/>
          <w:sz w:val="32"/>
          <w:szCs w:val="32"/>
        </w:rPr>
        <w:t>1、指导、帮助居委会开展组织建设、制度建设和其他工作；</w:t>
      </w:r>
    </w:p>
    <w:p>
      <w:pPr>
        <w:spacing w:line="360" w:lineRule="auto"/>
        <w:ind w:firstLine="640" w:firstLineChars="200"/>
        <w:jc w:val="left"/>
        <w:rPr>
          <w:rFonts w:ascii="宋体" w:hAnsi="宋体"/>
          <w:sz w:val="32"/>
          <w:szCs w:val="32"/>
        </w:rPr>
      </w:pPr>
      <w:r>
        <w:rPr>
          <w:rFonts w:hint="eastAsia" w:ascii="宋体" w:hAnsi="宋体"/>
          <w:sz w:val="32"/>
          <w:szCs w:val="32"/>
        </w:rPr>
        <w:t>2、开展便民利民的社区服务，兴办社会福利事业，做好社会救助和其他社会保障工作；</w:t>
      </w:r>
    </w:p>
    <w:p>
      <w:pPr>
        <w:spacing w:line="360" w:lineRule="auto"/>
        <w:ind w:firstLine="640" w:firstLineChars="200"/>
        <w:jc w:val="left"/>
        <w:rPr>
          <w:rFonts w:ascii="宋体" w:hAnsi="宋体"/>
          <w:sz w:val="32"/>
          <w:szCs w:val="32"/>
        </w:rPr>
      </w:pPr>
      <w:r>
        <w:rPr>
          <w:rFonts w:hint="eastAsia" w:ascii="宋体" w:hAnsi="宋体"/>
          <w:sz w:val="32"/>
          <w:szCs w:val="32"/>
        </w:rPr>
        <w:t>3、开展计划生育、信访稳控、城镇医疗保险、环境保护、教育、文化、卫生、科普、体育等工作；</w:t>
      </w:r>
    </w:p>
    <w:p>
      <w:pPr>
        <w:spacing w:line="360" w:lineRule="auto"/>
        <w:ind w:firstLine="640" w:firstLineChars="200"/>
        <w:jc w:val="left"/>
        <w:rPr>
          <w:rFonts w:ascii="宋体" w:hAnsi="宋体"/>
          <w:sz w:val="32"/>
          <w:szCs w:val="32"/>
        </w:rPr>
      </w:pPr>
      <w:r>
        <w:rPr>
          <w:rFonts w:hint="eastAsia" w:ascii="宋体" w:hAnsi="宋体"/>
          <w:sz w:val="32"/>
          <w:szCs w:val="32"/>
        </w:rPr>
        <w:t>4、组织实施社会治安综合治理规划，开展法制宣传教育、人民调解、治安保卫工作；</w:t>
      </w:r>
    </w:p>
    <w:p>
      <w:pPr>
        <w:spacing w:line="360" w:lineRule="auto"/>
        <w:ind w:firstLine="640" w:firstLineChars="200"/>
        <w:jc w:val="left"/>
        <w:rPr>
          <w:rFonts w:ascii="宋体" w:hAnsi="宋体"/>
          <w:sz w:val="32"/>
          <w:szCs w:val="32"/>
        </w:rPr>
      </w:pPr>
      <w:r>
        <w:rPr>
          <w:rFonts w:hint="eastAsia" w:ascii="宋体" w:hAnsi="宋体"/>
          <w:sz w:val="32"/>
          <w:szCs w:val="32"/>
        </w:rPr>
        <w:t>5、开展拥军优属，做好国防动员和兵役工作；</w:t>
      </w:r>
    </w:p>
    <w:p>
      <w:pPr>
        <w:spacing w:line="360" w:lineRule="auto"/>
        <w:ind w:firstLine="640" w:firstLineChars="200"/>
        <w:jc w:val="left"/>
        <w:rPr>
          <w:rFonts w:ascii="宋体" w:hAnsi="宋体"/>
          <w:sz w:val="32"/>
          <w:szCs w:val="32"/>
        </w:rPr>
      </w:pPr>
      <w:r>
        <w:rPr>
          <w:rFonts w:hint="eastAsia" w:ascii="宋体" w:hAnsi="宋体"/>
          <w:sz w:val="32"/>
          <w:szCs w:val="32"/>
        </w:rPr>
        <w:t>6、领导街道经济工作；</w:t>
      </w:r>
    </w:p>
    <w:p>
      <w:pPr>
        <w:spacing w:line="360" w:lineRule="auto"/>
        <w:ind w:firstLine="640" w:firstLineChars="200"/>
        <w:jc w:val="left"/>
        <w:rPr>
          <w:rFonts w:ascii="宋体" w:hAnsi="宋体"/>
          <w:sz w:val="32"/>
          <w:szCs w:val="32"/>
        </w:rPr>
      </w:pPr>
      <w:r>
        <w:rPr>
          <w:rFonts w:hint="eastAsia" w:ascii="宋体" w:hAnsi="宋体"/>
          <w:sz w:val="32"/>
          <w:szCs w:val="32"/>
        </w:rPr>
        <w:t>7、参与检查、督促新建改建住宅的公共建筑、市政设施配套项目的落实、验收工作；</w:t>
      </w:r>
    </w:p>
    <w:p>
      <w:pPr>
        <w:spacing w:line="360" w:lineRule="auto"/>
        <w:ind w:firstLine="640" w:firstLineChars="200"/>
        <w:jc w:val="left"/>
        <w:rPr>
          <w:rFonts w:ascii="宋体" w:hAnsi="宋体"/>
          <w:sz w:val="32"/>
          <w:szCs w:val="32"/>
        </w:rPr>
      </w:pPr>
      <w:r>
        <w:rPr>
          <w:rFonts w:hint="eastAsia" w:ascii="宋体" w:hAnsi="宋体"/>
          <w:sz w:val="32"/>
          <w:szCs w:val="32"/>
        </w:rPr>
        <w:t>8、依照规定管理外来流动人员，维护老年人、妇女、青少年、儿童和残疾人合法权益；</w:t>
      </w:r>
    </w:p>
    <w:p>
      <w:pPr>
        <w:spacing w:line="360" w:lineRule="auto"/>
        <w:ind w:firstLine="640" w:firstLineChars="200"/>
        <w:jc w:val="left"/>
        <w:rPr>
          <w:rFonts w:ascii="宋体" w:hAnsi="宋体"/>
          <w:sz w:val="32"/>
          <w:szCs w:val="32"/>
        </w:rPr>
      </w:pPr>
      <w:r>
        <w:rPr>
          <w:rFonts w:hint="eastAsia" w:ascii="宋体" w:hAnsi="宋体"/>
          <w:sz w:val="32"/>
          <w:szCs w:val="32"/>
        </w:rPr>
        <w:t>9、向市政府反映居民群众的意见和要求，处理群众来信来访事项；</w:t>
      </w:r>
    </w:p>
    <w:p>
      <w:pPr>
        <w:spacing w:line="360" w:lineRule="auto"/>
        <w:ind w:firstLine="640" w:firstLineChars="200"/>
        <w:jc w:val="left"/>
        <w:rPr>
          <w:rFonts w:ascii="仿宋_GB2312" w:hAnsi="仿宋_GB2312" w:eastAsia="仿宋_GB2312" w:cs="仿宋_GB2312"/>
          <w:b/>
          <w:kern w:val="1"/>
          <w:sz w:val="32"/>
          <w:szCs w:val="32"/>
        </w:rPr>
      </w:pPr>
      <w:r>
        <w:rPr>
          <w:rFonts w:hint="eastAsia" w:ascii="宋体" w:hAnsi="宋体"/>
          <w:sz w:val="32"/>
          <w:szCs w:val="32"/>
        </w:rPr>
        <w:t xml:space="preserve">10、办理区政府交办的事项。  </w:t>
      </w:r>
      <w:r>
        <w:rPr>
          <w:rFonts w:ascii="仿宋_GB2312" w:hAnsi="仿宋_GB2312" w:eastAsia="仿宋_GB2312" w:cs="仿宋_GB2312"/>
          <w:b/>
          <w:kern w:val="1"/>
          <w:sz w:val="32"/>
          <w:szCs w:val="32"/>
        </w:rPr>
        <w:t xml:space="preserve"> </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mbria" w:eastAsia="仿宋_GB2312" w:cs="ArialUnicodeMS"/>
                <w:kern w:val="0"/>
                <w:sz w:val="28"/>
                <w:szCs w:val="28"/>
              </w:rPr>
              <w:t>石家庄市藁城区街道办事处(本级)</w:t>
            </w:r>
          </w:p>
        </w:tc>
        <w:tc>
          <w:tcPr>
            <w:tcW w:w="2445" w:type="dxa"/>
            <w:vAlign w:val="top"/>
          </w:tcPr>
          <w:p>
            <w:pPr>
              <w:spacing w:after="0" w:afterLines="0"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8"/>
                <w:szCs w:val="28"/>
              </w:rPr>
              <w:t>行政</w:t>
            </w:r>
          </w:p>
        </w:tc>
        <w:tc>
          <w:tcPr>
            <w:tcW w:w="2665" w:type="dxa"/>
            <w:vAlign w:val="top"/>
          </w:tcPr>
          <w:p>
            <w:pPr>
              <w:spacing w:after="0" w:afterLines="0"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highlight w:val="none"/>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9" w:type="first"/>
          <w:headerReference r:id="rId17" w:type="default"/>
          <w:footerReference r:id="rId18"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0"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84.02</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12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420" w:firstLineChars="200"/>
        <w:rPr>
          <w:rFonts w:hint="eastAsia" w:ascii="仿宋_GB2312" w:hAnsi="Times New Roman" w:eastAsia="仿宋_GB2312" w:cs="DengXian-Regular"/>
          <w:sz w:val="32"/>
          <w:szCs w:val="32"/>
          <w:highlight w:val="yellow"/>
          <w:lang w:eastAsia="zh-CN"/>
        </w:rPr>
      </w:pPr>
      <w:r>
        <w:drawing>
          <wp:anchor distT="0" distB="0" distL="114300" distR="114300" simplePos="0" relativeHeight="437324800" behindDoc="0" locked="0" layoutInCell="1" allowOverlap="1">
            <wp:simplePos x="0" y="0"/>
            <wp:positionH relativeFrom="column">
              <wp:posOffset>683260</wp:posOffset>
            </wp:positionH>
            <wp:positionV relativeFrom="paragraph">
              <wp:posOffset>734060</wp:posOffset>
            </wp:positionV>
            <wp:extent cx="4203065" cy="2526030"/>
            <wp:effectExtent l="0" t="0" r="6985" b="7620"/>
            <wp:wrapNone/>
            <wp:docPr id="7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2"/>
                    <pic:cNvPicPr>
                      <a:picLocks noChangeAspect="1"/>
                    </pic:cNvPicPr>
                  </pic:nvPicPr>
                  <pic:blipFill>
                    <a:blip r:embed="rId33"/>
                    <a:stretch>
                      <a:fillRect/>
                    </a:stretch>
                  </pic:blipFill>
                  <pic:spPr>
                    <a:xfrm>
                      <a:off x="0" y="0"/>
                      <a:ext cx="4203065" cy="2526030"/>
                    </a:xfrm>
                    <a:prstGeom prst="rect">
                      <a:avLst/>
                    </a:prstGeom>
                    <a:noFill/>
                    <a:ln>
                      <a:noFill/>
                    </a:ln>
                  </pic:spPr>
                </pic:pic>
              </a:graphicData>
            </a:graphic>
          </wp:anchor>
        </w:drawing>
      </w: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437325824" behindDoc="0" locked="0" layoutInCell="1" allowOverlap="1">
            <wp:simplePos x="0" y="0"/>
            <wp:positionH relativeFrom="column">
              <wp:posOffset>984250</wp:posOffset>
            </wp:positionH>
            <wp:positionV relativeFrom="paragraph">
              <wp:posOffset>732790</wp:posOffset>
            </wp:positionV>
            <wp:extent cx="4572000" cy="2743200"/>
            <wp:effectExtent l="0" t="0" r="0" b="0"/>
            <wp:wrapNone/>
            <wp:docPr id="8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106.88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17.3</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510.67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82.7</w:t>
      </w:r>
      <w:r>
        <w:rPr>
          <w:rFonts w:hint="eastAsia" w:ascii="仿宋_GB2312" w:hAnsi="Times New Roman" w:eastAsia="仿宋_GB2312" w:cs="DengXian-Regular"/>
          <w:sz w:val="32"/>
          <w:szCs w:val="32"/>
        </w:rPr>
        <w:t>%；如图所示：</w:t>
      </w:r>
    </w:p>
    <w:p>
      <w:pPr>
        <w:adjustRightInd w:val="0"/>
        <w:snapToGrid w:val="0"/>
        <w:spacing w:line="580" w:lineRule="exact"/>
        <w:ind w:firstLine="1928" w:firstLineChars="600"/>
        <w:rPr>
          <w:rFonts w:ascii="黑体" w:hAnsi="Calibri" w:eastAsia="黑体" w:cs="Times New Roman"/>
          <w:b/>
          <w:bCs/>
          <w:sz w:val="32"/>
          <w:szCs w:val="32"/>
        </w:rPr>
      </w:pPr>
    </w:p>
    <w:p>
      <w:pPr>
        <w:adjustRightInd w:val="0"/>
        <w:snapToGrid w:val="0"/>
        <w:spacing w:line="580" w:lineRule="exact"/>
        <w:ind w:firstLine="1928" w:firstLineChars="600"/>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0"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75.84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84.02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如图所示</w:t>
      </w:r>
    </w:p>
    <w:p>
      <w:pPr>
        <w:adjustRightInd w:val="0"/>
        <w:snapToGrid w:val="0"/>
        <w:spacing w:line="580" w:lineRule="exact"/>
        <w:ind w:firstLine="420" w:firstLineChars="200"/>
        <w:rPr>
          <w:rFonts w:hint="eastAsia" w:ascii="仿宋_GB2312" w:hAnsi="Times New Roman" w:eastAsia="仿宋_GB2312" w:cs="DengXian-Regular"/>
          <w:sz w:val="32"/>
          <w:szCs w:val="32"/>
          <w:lang w:eastAsia="zh-CN"/>
        </w:rPr>
      </w:pPr>
      <w:r>
        <w:drawing>
          <wp:anchor distT="0" distB="0" distL="114300" distR="114300" simplePos="0" relativeHeight="437326848" behindDoc="0" locked="0" layoutInCell="1" allowOverlap="1">
            <wp:simplePos x="0" y="0"/>
            <wp:positionH relativeFrom="column">
              <wp:posOffset>520700</wp:posOffset>
            </wp:positionH>
            <wp:positionV relativeFrom="paragraph">
              <wp:posOffset>133350</wp:posOffset>
            </wp:positionV>
            <wp:extent cx="4572000" cy="2743200"/>
            <wp:effectExtent l="0" t="0" r="0" b="0"/>
            <wp:wrapNone/>
            <wp:docPr id="8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snapToGrid w:val="0"/>
        <w:spacing w:line="580" w:lineRule="exact"/>
        <w:ind w:firstLine="640" w:firstLineChars="200"/>
        <w:rPr>
          <w:rFonts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p>
    <w:p>
      <w:pPr>
        <w:adjustRightInd w:val="0"/>
        <w:snapToGrid w:val="0"/>
        <w:spacing w:line="580" w:lineRule="exact"/>
        <w:ind w:firstLine="560" w:firstLineChars="200"/>
        <w:jc w:val="center"/>
        <w:rPr>
          <w:rFonts w:hint="eastAsia" w:ascii="仿宋_GB2312" w:hAnsi="Times New Roman" w:eastAsia="仿宋_GB2312" w:cs="DengXian-Regular"/>
          <w:sz w:val="28"/>
          <w:szCs w:val="28"/>
        </w:rPr>
      </w:pPr>
      <w:r>
        <w:rPr>
          <w:rFonts w:hint="eastAsia" w:ascii="仿宋_GB2312" w:hAnsi="Times New Roman" w:eastAsia="仿宋_GB2312" w:cs="DengXian-Regular"/>
          <w:sz w:val="28"/>
          <w:szCs w:val="28"/>
        </w:rPr>
        <w:t>图3：201</w:t>
      </w:r>
      <w:r>
        <w:rPr>
          <w:rFonts w:hint="eastAsia" w:ascii="仿宋_GB2312" w:hAnsi="Times New Roman" w:eastAsia="仿宋_GB2312" w:cs="DengXian-Regular"/>
          <w:sz w:val="28"/>
          <w:szCs w:val="28"/>
          <w:lang w:val="en-US" w:eastAsia="zh-CN"/>
        </w:rPr>
        <w:t>8</w:t>
      </w:r>
      <w:r>
        <w:rPr>
          <w:rFonts w:hint="eastAsia" w:ascii="仿宋_GB2312" w:hAnsi="Times New Roman" w:eastAsia="仿宋_GB2312" w:cs="DengXian-Regular"/>
          <w:sz w:val="28"/>
          <w:szCs w:val="28"/>
        </w:rPr>
        <w:t>-201</w:t>
      </w:r>
      <w:r>
        <w:rPr>
          <w:rFonts w:hint="eastAsia" w:ascii="仿宋_GB2312" w:hAnsi="Times New Roman" w:eastAsia="仿宋_GB2312" w:cs="DengXian-Regular"/>
          <w:sz w:val="28"/>
          <w:szCs w:val="28"/>
          <w:lang w:val="en-US" w:eastAsia="zh-CN"/>
        </w:rPr>
        <w:t>9</w:t>
      </w:r>
      <w:r>
        <w:rPr>
          <w:rFonts w:hint="eastAsia" w:ascii="仿宋_GB2312" w:hAnsi="Times New Roman" w:eastAsia="仿宋_GB2312" w:cs="DengXian-Regular"/>
          <w:sz w:val="28"/>
          <w:szCs w:val="28"/>
        </w:rPr>
        <w:t>年财政拨款收支情况</w:t>
      </w:r>
    </w:p>
    <w:p>
      <w:pPr>
        <w:snapToGrid w:val="0"/>
        <w:spacing w:line="580" w:lineRule="exact"/>
        <w:rPr>
          <w:rFonts w:hint="eastAsia" w:ascii="楷体_GB2312" w:hAnsi="Times New Roman" w:eastAsia="楷体_GB2312" w:cs="DengXian-Bold"/>
          <w:b/>
          <w:bCs/>
          <w:sz w:val="32"/>
          <w:szCs w:val="32"/>
        </w:rPr>
      </w:pPr>
    </w:p>
    <w:p>
      <w:pPr>
        <w:snapToGrid w:val="0"/>
        <w:spacing w:line="580" w:lineRule="exact"/>
        <w:ind w:firstLine="640"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106</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37.5</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106</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37.5</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大于</w:t>
      </w:r>
      <w:r>
        <w:rPr>
          <w:rFonts w:hint="eastAsia" w:ascii="仿宋_GB2312" w:hAnsi="Times New Roman" w:eastAsia="仿宋_GB2312" w:cs="DengXian-Regular"/>
          <w:sz w:val="32"/>
          <w:szCs w:val="32"/>
        </w:rPr>
        <w:t>预算数主要原因是主要是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如图所示</w:t>
      </w:r>
    </w:p>
    <w:p>
      <w:pPr>
        <w:adjustRightInd w:val="0"/>
        <w:snapToGrid w:val="0"/>
        <w:spacing w:line="580" w:lineRule="exact"/>
        <w:ind w:firstLine="420" w:firstLineChars="200"/>
        <w:rPr>
          <w:rFonts w:hint="eastAsia" w:ascii="仿宋_GB2312" w:hAnsi="Times New Roman" w:eastAsia="仿宋_GB2312" w:cs="DengXian-Regular"/>
          <w:sz w:val="32"/>
          <w:szCs w:val="32"/>
          <w:lang w:eastAsia="zh-CN"/>
        </w:rPr>
      </w:pPr>
      <w:r>
        <w:drawing>
          <wp:anchor distT="0" distB="0" distL="114300" distR="114300" simplePos="0" relativeHeight="437327872" behindDoc="0" locked="0" layoutInCell="1" allowOverlap="1">
            <wp:simplePos x="0" y="0"/>
            <wp:positionH relativeFrom="column">
              <wp:posOffset>669290</wp:posOffset>
            </wp:positionH>
            <wp:positionV relativeFrom="paragraph">
              <wp:posOffset>165100</wp:posOffset>
            </wp:positionV>
            <wp:extent cx="4572000" cy="2743200"/>
            <wp:effectExtent l="0" t="0" r="0" b="0"/>
            <wp:wrapNone/>
            <wp:docPr id="8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right="0" w:rightChars="0"/>
        <w:jc w:val="both"/>
        <w:textAlignment w:val="auto"/>
        <w:outlineLvl w:val="9"/>
        <w:rPr>
          <w:rFonts w:hint="eastAsia" w:ascii="仿宋_GB2312" w:eastAsia="仿宋_GB2312" w:cs="DengXian-Regular"/>
          <w:sz w:val="28"/>
          <w:szCs w:val="28"/>
          <w:lang w:eastAsia="zh-CN"/>
        </w:rPr>
      </w:pPr>
    </w:p>
    <w:p>
      <w:pPr>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right="0" w:rightChars="0"/>
        <w:jc w:val="center"/>
        <w:textAlignment w:val="auto"/>
        <w:outlineLvl w:val="9"/>
        <w:rPr>
          <w:rFonts w:ascii="仿宋_GB2312" w:hAnsi="Times New Roman" w:eastAsia="仿宋_GB2312" w:cs="DengXian-Regular"/>
          <w:sz w:val="32"/>
          <w:szCs w:val="32"/>
          <w:highlight w:val="yellow"/>
        </w:rPr>
      </w:pPr>
      <w:r>
        <w:rPr>
          <w:rFonts w:hint="eastAsia" w:ascii="仿宋_GB2312" w:eastAsia="仿宋_GB2312" w:cs="DengXian-Regular"/>
          <w:sz w:val="28"/>
          <w:szCs w:val="28"/>
          <w:lang w:eastAsia="zh-CN"/>
        </w:rPr>
        <w:t>图</w:t>
      </w:r>
      <w:r>
        <w:rPr>
          <w:rFonts w:hint="eastAsia" w:ascii="仿宋_GB2312" w:eastAsia="仿宋_GB2312" w:cs="DengXian-Regular"/>
          <w:sz w:val="28"/>
          <w:szCs w:val="28"/>
          <w:lang w:val="en-US" w:eastAsia="zh-CN"/>
        </w:rPr>
        <w:t>4：</w:t>
      </w:r>
      <w:r>
        <w:rPr>
          <w:rFonts w:hint="eastAsia" w:ascii="仿宋_GB2312" w:eastAsia="仿宋_GB2312" w:cs="DengXian-Regular"/>
          <w:sz w:val="28"/>
          <w:szCs w:val="28"/>
        </w:rPr>
        <w:t>财政拨款收支与年初预算数对比情况</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如图所示</w:t>
      </w:r>
    </w:p>
    <w:p>
      <w:pPr>
        <w:adjustRightInd w:val="0"/>
        <w:snapToGrid w:val="0"/>
        <w:spacing w:line="580" w:lineRule="exact"/>
        <w:ind w:firstLine="420" w:firstLineChars="200"/>
        <w:rPr>
          <w:rFonts w:hint="eastAsia" w:ascii="仿宋_GB2312" w:hAnsi="Times New Roman" w:eastAsia="仿宋_GB2312" w:cs="DengXian-Regular"/>
          <w:sz w:val="32"/>
          <w:szCs w:val="32"/>
          <w:lang w:eastAsia="zh-CN"/>
        </w:rPr>
      </w:pPr>
      <w:r>
        <w:drawing>
          <wp:anchor distT="0" distB="0" distL="114300" distR="114300" simplePos="0" relativeHeight="437328896" behindDoc="0" locked="0" layoutInCell="1" allowOverlap="1">
            <wp:simplePos x="0" y="0"/>
            <wp:positionH relativeFrom="column">
              <wp:posOffset>658495</wp:posOffset>
            </wp:positionH>
            <wp:positionV relativeFrom="paragraph">
              <wp:posOffset>70485</wp:posOffset>
            </wp:positionV>
            <wp:extent cx="4572000" cy="2743200"/>
            <wp:effectExtent l="0" t="0" r="0" b="0"/>
            <wp:wrapNone/>
            <wp:docPr id="30"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pPr>
        <w:adjustRightInd w:val="0"/>
        <w:snapToGrid w:val="0"/>
        <w:spacing w:line="580" w:lineRule="exact"/>
        <w:ind w:firstLine="420" w:firstLineChars="200"/>
        <w:rPr>
          <w:rFonts w:hint="eastAsia" w:ascii="仿宋_GB2312" w:hAnsi="Times New Roman" w:eastAsia="仿宋_GB2312" w:cs="DengXian-Regular"/>
          <w:sz w:val="32"/>
          <w:szCs w:val="32"/>
          <w:lang w:eastAsia="zh-CN"/>
        </w:rPr>
      </w:pPr>
      <w:r>
        <w:drawing>
          <wp:inline distT="0" distB="0" distL="114300" distR="114300">
            <wp:extent cx="4572000" cy="2743200"/>
            <wp:effectExtent l="0" t="0" r="0" b="0"/>
            <wp:docPr id="8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106.88</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97.73</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9.15</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持平；与</w:t>
      </w:r>
      <w:r>
        <w:rPr>
          <w:rFonts w:hint="eastAsia" w:ascii="仿宋_GB2312" w:hAnsi="Times New Roman" w:eastAsia="仿宋_GB2312" w:cs="DengXian-Regular"/>
          <w:sz w:val="32"/>
          <w:szCs w:val="32"/>
        </w:rPr>
        <w:t>2018年度</w:t>
      </w:r>
      <w:r>
        <w:rPr>
          <w:rFonts w:hint="eastAsia" w:ascii="仿宋_GB2312" w:hAnsi="Times New Roman" w:eastAsia="仿宋_GB2312" w:cs="DengXian-Regular"/>
          <w:sz w:val="32"/>
          <w:szCs w:val="32"/>
          <w:lang w:eastAsia="zh-CN"/>
        </w:rPr>
        <w:t>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无公务用车，</w:t>
      </w:r>
      <w:r>
        <w:rPr>
          <w:rFonts w:hint="eastAsia" w:ascii="仿宋_GB2312" w:hAnsi="Times New Roman" w:eastAsia="仿宋_GB2312" w:cs="DengXian-Regular"/>
          <w:sz w:val="32"/>
          <w:szCs w:val="32"/>
        </w:rPr>
        <w:t>2019年度公务用车购置及运行维护费</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未</w:t>
      </w:r>
      <w:r>
        <w:rPr>
          <w:rFonts w:hint="eastAsia" w:ascii="仿宋_GB2312" w:hAnsi="Times New Roman" w:eastAsia="仿宋_GB2312" w:cs="DengXian-Regular"/>
          <w:sz w:val="32"/>
          <w:szCs w:val="32"/>
        </w:rPr>
        <w:t>发生“公务用车购置”经费支出。公务用车购置费支出</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无公务用车，</w:t>
      </w:r>
      <w:r>
        <w:rPr>
          <w:rFonts w:hint="eastAsia" w:ascii="仿宋_GB2312" w:hAnsi="Times New Roman" w:eastAsia="仿宋_GB2312" w:cs="DengXian-Regular"/>
          <w:sz w:val="32"/>
          <w:szCs w:val="32"/>
        </w:rPr>
        <w:t>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w:t>
      </w:r>
      <w:r>
        <w:rPr>
          <w:rFonts w:hint="eastAsia" w:ascii="仿宋_GB2312" w:hAnsi="Times New Roman" w:eastAsia="仿宋_GB2312" w:cs="DengXian-Regular"/>
          <w:sz w:val="32"/>
          <w:szCs w:val="32"/>
          <w:lang w:eastAsia="zh-CN"/>
        </w:rPr>
        <w:t>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510.67</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adjustRightInd w:val="0"/>
        <w:snapToGrid w:val="0"/>
        <w:spacing w:line="580" w:lineRule="exact"/>
        <w:ind w:left="420" w:leftChars="200" w:firstLine="320"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一级</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个项目绩效自评结果。</w:t>
      </w:r>
    </w:p>
    <w:p>
      <w:pPr>
        <w:numPr>
          <w:ilvl w:val="0"/>
          <w:numId w:val="2"/>
        </w:numPr>
        <w:ind w:left="30" w:leftChars="0" w:firstLine="600" w:firstLineChars="0"/>
        <w:rPr>
          <w:rFonts w:hint="eastAsia" w:ascii="仿宋_GB2312" w:eastAsia="仿宋_GB2312"/>
          <w:sz w:val="32"/>
          <w:szCs w:val="32"/>
          <w:highlight w:val="none"/>
          <w:lang w:eastAsia="zh-CN"/>
        </w:rPr>
      </w:pPr>
      <w:r>
        <w:rPr>
          <w:rFonts w:hint="eastAsia" w:ascii="方正小标宋简体" w:hAnsi="方正小标宋简体" w:eastAsia="方正小标宋简体" w:cs="方正小标宋简体"/>
          <w:sz w:val="32"/>
          <w:szCs w:val="32"/>
          <w:lang w:val="en-US" w:eastAsia="zh-CN"/>
        </w:rPr>
        <w:t>大气污染防治工作经费（2018）</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大气污染防治工作经费（2018）</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91</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仿宋_GB2312" w:eastAsia="仿宋_GB2312"/>
          <w:sz w:val="32"/>
          <w:szCs w:val="32"/>
          <w:highlight w:val="none"/>
          <w:lang w:eastAsia="zh-CN"/>
        </w:rPr>
        <w:t>对环境安全保好长效机制。</w:t>
      </w:r>
    </w:p>
    <w:tbl>
      <w:tblPr>
        <w:tblStyle w:val="6"/>
        <w:tblW w:w="9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70"/>
        <w:gridCol w:w="1114"/>
        <w:gridCol w:w="911"/>
        <w:gridCol w:w="1577"/>
        <w:gridCol w:w="1"/>
        <w:gridCol w:w="1042"/>
        <w:gridCol w:w="1404"/>
        <w:gridCol w:w="1"/>
        <w:gridCol w:w="664"/>
        <w:gridCol w:w="13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8" w:hRule="atLeast"/>
        </w:trPr>
        <w:tc>
          <w:tcPr>
            <w:tcW w:w="9000"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5" w:hRule="atLeast"/>
        </w:trPr>
        <w:tc>
          <w:tcPr>
            <w:tcW w:w="9000"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jc w:val="both"/>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9000"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9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114" w:type="dxa"/>
            <w:tcBorders>
              <w:top w:val="nil"/>
              <w:left w:val="nil"/>
              <w:bottom w:val="nil"/>
              <w:right w:val="nil"/>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tcBorders>
              <w:top w:val="nil"/>
              <w:left w:val="nil"/>
              <w:bottom w:val="nil"/>
              <w:right w:val="nil"/>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8" w:type="dxa"/>
            <w:gridSpan w:val="2"/>
            <w:tcBorders>
              <w:top w:val="nil"/>
              <w:left w:val="nil"/>
              <w:bottom w:val="nil"/>
              <w:right w:val="nil"/>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2" w:type="dxa"/>
            <w:tcBorders>
              <w:top w:val="nil"/>
              <w:left w:val="nil"/>
              <w:bottom w:val="nil"/>
              <w:right w:val="nil"/>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4" w:type="dxa"/>
            <w:tcBorders>
              <w:top w:val="nil"/>
              <w:left w:val="nil"/>
              <w:bottom w:val="nil"/>
              <w:right w:val="nil"/>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981"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3" w:hRule="atLeast"/>
        </w:trPr>
        <w:tc>
          <w:tcPr>
            <w:tcW w:w="9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1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8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大气污染防治工作经费（2018）</w:t>
            </w:r>
          </w:p>
        </w:tc>
        <w:tc>
          <w:tcPr>
            <w:tcW w:w="10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8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3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3"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3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60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112"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3"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36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倡导低碳，组织协调，制定大气污染防范工作</w:t>
            </w:r>
          </w:p>
        </w:tc>
        <w:tc>
          <w:tcPr>
            <w:tcW w:w="311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按年初目标基本完成倡导低碳，组织协调，制定大气污染防范工作</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3" w:hRule="atLeast"/>
        </w:trPr>
        <w:tc>
          <w:tcPr>
            <w:tcW w:w="9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1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7"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宣传材料覆盖率</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7"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空气质量达标率</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清理柴，煤及时率</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3"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9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84"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环境污染宣传率</w:t>
            </w: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居民满意度</w:t>
            </w: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2"/>
                <w:szCs w:val="22"/>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2"/>
                <w:szCs w:val="22"/>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2"/>
                <w:szCs w:val="22"/>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714"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82" w:hRule="atLeast"/>
        </w:trPr>
        <w:tc>
          <w:tcPr>
            <w:tcW w:w="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8030"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从该项目的实施情况来看，整个项目在资金安排、使用的过程中在某些方面存在不足，下一步对环境宣传做长效机制。</w:t>
            </w:r>
          </w:p>
        </w:tc>
      </w:tr>
    </w:tbl>
    <w:p>
      <w:pPr>
        <w:numPr>
          <w:ilvl w:val="0"/>
          <w:numId w:val="2"/>
        </w:numPr>
        <w:ind w:left="30" w:leftChars="0" w:firstLine="600" w:firstLineChars="0"/>
        <w:rPr>
          <w:rFonts w:hint="eastAsia" w:ascii="仿宋_GB2312" w:eastAsia="仿宋_GB2312"/>
          <w:sz w:val="32"/>
          <w:szCs w:val="32"/>
          <w:highlight w:val="none"/>
          <w:lang w:eastAsia="zh-CN"/>
        </w:rPr>
      </w:pPr>
      <w:r>
        <w:rPr>
          <w:rFonts w:hint="eastAsia" w:ascii="方正小标宋简体" w:hAnsi="方正小标宋简体" w:eastAsia="方正小标宋简体" w:cs="方正小标宋简体"/>
          <w:sz w:val="32"/>
          <w:szCs w:val="32"/>
          <w:lang w:val="en-US" w:eastAsia="zh-CN"/>
        </w:rPr>
        <w:t>创卫工作经费</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创卫工作经费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w:t>
      </w:r>
      <w:r>
        <w:rPr>
          <w:rFonts w:hint="eastAsia" w:ascii="仿宋_GB2312" w:hAnsi="仿宋_GB2312" w:eastAsia="仿宋_GB2312" w:cs="仿宋_GB2312"/>
          <w:sz w:val="32"/>
          <w:szCs w:val="32"/>
          <w:lang w:eastAsia="zh-CN"/>
        </w:rPr>
        <w:t>对创卫工作宣传加强</w:t>
      </w:r>
      <w:r>
        <w:rPr>
          <w:rFonts w:hint="eastAsia" w:ascii="仿宋_GB2312" w:hAnsi="仿宋_GB2312" w:eastAsia="仿宋_GB2312" w:cs="仿宋_GB2312"/>
          <w:sz w:val="32"/>
          <w:szCs w:val="32"/>
        </w:rPr>
        <w:t>。</w:t>
      </w:r>
    </w:p>
    <w:tbl>
      <w:tblPr>
        <w:tblStyle w:val="6"/>
        <w:tblW w:w="88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01"/>
        <w:gridCol w:w="1431"/>
        <w:gridCol w:w="1"/>
        <w:gridCol w:w="839"/>
        <w:gridCol w:w="1220"/>
        <w:gridCol w:w="734"/>
        <w:gridCol w:w="1428"/>
        <w:gridCol w:w="1"/>
        <w:gridCol w:w="1080"/>
        <w:gridCol w:w="9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860"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8860"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5" w:hRule="atLeast"/>
        </w:trPr>
        <w:tc>
          <w:tcPr>
            <w:tcW w:w="8860"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5" w:hRule="atLeast"/>
        </w:trPr>
        <w:tc>
          <w:tcPr>
            <w:tcW w:w="120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432"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83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73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00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5" w:hRule="atLeast"/>
        </w:trPr>
        <w:tc>
          <w:tcPr>
            <w:tcW w:w="12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4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创卫工作经费</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4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5" w:hRule="atLeast"/>
        </w:trPr>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27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12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14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9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12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14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491"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24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9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完成对小区墙面粉刷，广告清理，垃圾清运等工作</w:t>
            </w:r>
          </w:p>
        </w:tc>
        <w:tc>
          <w:tcPr>
            <w:tcW w:w="324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按年初目标要求完成辖区墙面粉刷，广告清理，垃圾清运等工作</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5" w:hRule="atLeast"/>
        </w:trPr>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4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6"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墙面粉刷面数</w:t>
            </w:r>
          </w:p>
        </w:tc>
        <w:tc>
          <w:tcPr>
            <w:tcW w:w="14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140000平方</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150421平方</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清理广告数量</w:t>
            </w:r>
          </w:p>
        </w:tc>
        <w:tc>
          <w:tcPr>
            <w:tcW w:w="14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1700处</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1877处</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6"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墙面粉刷完成率</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8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4"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创卫工作宣传率</w:t>
            </w:r>
          </w:p>
        </w:tc>
        <w:tc>
          <w:tcPr>
            <w:tcW w:w="14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88%</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居民对小区环境满意度</w:t>
            </w:r>
          </w:p>
        </w:tc>
        <w:tc>
          <w:tcPr>
            <w:tcW w:w="14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82%</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734"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35" w:hRule="atLeast"/>
        </w:trPr>
        <w:tc>
          <w:tcPr>
            <w:tcW w:w="12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659"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从该项目的实施情况来看，整个项目在资金安排、使用的过程中在某些方面存在不足，下一步对创卫工作宣传加强。</w:t>
            </w:r>
          </w:p>
        </w:tc>
      </w:tr>
    </w:tbl>
    <w:p>
      <w:pPr>
        <w:numPr>
          <w:ilvl w:val="0"/>
          <w:numId w:val="2"/>
        </w:numPr>
        <w:ind w:left="30" w:leftChars="0" w:firstLine="600" w:firstLineChars="0"/>
        <w:rPr>
          <w:rFonts w:hint="default" w:ascii="仿宋_GB2312" w:eastAsia="仿宋_GB2312"/>
          <w:sz w:val="32"/>
          <w:szCs w:val="32"/>
          <w:highlight w:val="none"/>
          <w:lang w:val="en-US" w:eastAsia="zh-CN"/>
        </w:rPr>
      </w:pPr>
      <w:r>
        <w:rPr>
          <w:rFonts w:hint="eastAsia" w:ascii="方正小标宋简体" w:hAnsi="方正小标宋简体" w:eastAsia="方正小标宋简体" w:cs="方正小标宋简体"/>
          <w:sz w:val="32"/>
          <w:szCs w:val="32"/>
          <w:lang w:val="en-US" w:eastAsia="zh-CN"/>
        </w:rPr>
        <w:t>禁煤、禁柴活动经费</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禁煤、禁柴活动经费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91</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eastAsia="zh-CN"/>
        </w:rPr>
        <w:t>对环境安全做好长效机制。</w:t>
      </w:r>
    </w:p>
    <w:tbl>
      <w:tblPr>
        <w:tblStyle w:val="6"/>
        <w:tblW w:w="88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59"/>
        <w:gridCol w:w="1303"/>
        <w:gridCol w:w="1054"/>
        <w:gridCol w:w="1"/>
        <w:gridCol w:w="948"/>
        <w:gridCol w:w="1"/>
        <w:gridCol w:w="1245"/>
        <w:gridCol w:w="1002"/>
        <w:gridCol w:w="1059"/>
        <w:gridCol w:w="10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860"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8860"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8860"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15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30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5"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4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147"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3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0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禁煤、收柴活动经费</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14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3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0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8"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2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0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2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30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30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8"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0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倡导低碳，组织协调，制定大气污染防范工作</w:t>
            </w:r>
          </w:p>
        </w:tc>
        <w:tc>
          <w:tcPr>
            <w:tcW w:w="330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按年初目标基本完成倡导低碳，组织协调，制定大气污染防范工作</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1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3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宣传材料覆盖率</w:t>
            </w:r>
          </w:p>
        </w:tc>
        <w:tc>
          <w:tcPr>
            <w:tcW w:w="10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空气质量达标率</w:t>
            </w:r>
          </w:p>
        </w:tc>
        <w:tc>
          <w:tcPr>
            <w:tcW w:w="10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清理煤、柴及时率</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8"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8"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环境污染宣传率</w:t>
            </w:r>
          </w:p>
        </w:tc>
        <w:tc>
          <w:tcPr>
            <w:tcW w:w="10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居民满意度</w:t>
            </w:r>
          </w:p>
        </w:tc>
        <w:tc>
          <w:tcPr>
            <w:tcW w:w="10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613"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04" w:hRule="atLeast"/>
        </w:trPr>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701"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从该项目的实施情况来看，整个项目在资金安排、使用的过程中在某些方面存在不足，下一步对环境宣传做长效机制。</w:t>
            </w:r>
          </w:p>
        </w:tc>
      </w:tr>
    </w:tbl>
    <w:p>
      <w:pPr>
        <w:numPr>
          <w:ilvl w:val="0"/>
          <w:numId w:val="2"/>
        </w:numPr>
        <w:ind w:left="30" w:leftChars="0" w:firstLine="600" w:firstLineChars="0"/>
        <w:rPr>
          <w:rFonts w:hint="eastAsia" w:ascii="仿宋_GB2312" w:eastAsia="仿宋_GB2312"/>
          <w:sz w:val="32"/>
          <w:szCs w:val="32"/>
          <w:highlight w:val="none"/>
          <w:lang w:eastAsia="zh-CN"/>
        </w:rPr>
      </w:pPr>
      <w:r>
        <w:rPr>
          <w:rFonts w:hint="eastAsia" w:ascii="仿宋" w:hAnsi="仿宋" w:eastAsia="仿宋" w:cs="仿宋"/>
          <w:sz w:val="32"/>
          <w:szCs w:val="32"/>
          <w:lang w:val="en-US" w:eastAsia="zh-CN"/>
        </w:rPr>
        <w:t>社区用房办公租金</w:t>
      </w:r>
      <w:r>
        <w:rPr>
          <w:rFonts w:hint="eastAsia" w:ascii="仿宋_GB2312" w:hAnsi="仿宋_GB2312" w:eastAsia="仿宋_GB2312" w:cs="仿宋_GB2312"/>
          <w:sz w:val="32"/>
          <w:szCs w:val="32"/>
        </w:rPr>
        <w:t>项目自评综述：根据年初设定的绩效目标，</w:t>
      </w:r>
      <w:r>
        <w:rPr>
          <w:rFonts w:hint="eastAsia" w:ascii="仿宋" w:hAnsi="仿宋" w:eastAsia="仿宋" w:cs="仿宋"/>
          <w:sz w:val="32"/>
          <w:szCs w:val="32"/>
          <w:lang w:val="en-US" w:eastAsia="zh-CN"/>
        </w:rPr>
        <w:t>社区用房办公租金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91.38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84.61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93%</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仿宋_GB2312" w:eastAsia="仿宋_GB2312"/>
          <w:sz w:val="32"/>
          <w:szCs w:val="32"/>
          <w:highlight w:val="none"/>
          <w:lang w:eastAsia="zh-CN"/>
        </w:rPr>
        <w:t>对社区办公用房加强管理。</w:t>
      </w:r>
    </w:p>
    <w:tbl>
      <w:tblPr>
        <w:tblStyle w:val="6"/>
        <w:tblW w:w="89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94"/>
        <w:gridCol w:w="1091"/>
        <w:gridCol w:w="159"/>
        <w:gridCol w:w="1"/>
        <w:gridCol w:w="1130"/>
        <w:gridCol w:w="1"/>
        <w:gridCol w:w="1125"/>
        <w:gridCol w:w="1017"/>
        <w:gridCol w:w="1"/>
        <w:gridCol w:w="1090"/>
        <w:gridCol w:w="1"/>
        <w:gridCol w:w="249"/>
        <w:gridCol w:w="754"/>
        <w:gridCol w:w="337"/>
        <w:gridCol w:w="7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6" w:hRule="atLeast"/>
        </w:trPr>
        <w:tc>
          <w:tcPr>
            <w:tcW w:w="8920" w:type="dxa"/>
            <w:gridSpan w:val="15"/>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3" w:hRule="atLeast"/>
        </w:trPr>
        <w:tc>
          <w:tcPr>
            <w:tcW w:w="8920" w:type="dxa"/>
            <w:gridSpan w:val="15"/>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7" w:hRule="atLeast"/>
        </w:trPr>
        <w:tc>
          <w:tcPr>
            <w:tcW w:w="8920" w:type="dxa"/>
            <w:gridSpan w:val="15"/>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7" w:hRule="atLeast"/>
        </w:trPr>
        <w:tc>
          <w:tcPr>
            <w:tcW w:w="119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50"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31"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26"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1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111" w:type="dxa"/>
            <w:gridSpan w:val="5"/>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2" w:hRule="atLeast"/>
        </w:trPr>
        <w:tc>
          <w:tcPr>
            <w:tcW w:w="11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5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社区办公用房租金</w:t>
            </w:r>
          </w:p>
        </w:tc>
        <w:tc>
          <w:tcPr>
            <w:tcW w:w="10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202"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6" w:hRule="atLeast"/>
        </w:trPr>
        <w:tc>
          <w:tcPr>
            <w:tcW w:w="11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382"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95"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1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91.38</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91.38</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0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84.613</w:t>
            </w:r>
          </w:p>
        </w:tc>
        <w:tc>
          <w:tcPr>
            <w:tcW w:w="110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2"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91.38</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91.38</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0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84.613</w:t>
            </w:r>
          </w:p>
        </w:tc>
        <w:tc>
          <w:tcPr>
            <w:tcW w:w="11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1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0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50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11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0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按合同时间为每个社区交纳租金</w:t>
            </w:r>
          </w:p>
        </w:tc>
        <w:tc>
          <w:tcPr>
            <w:tcW w:w="311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按合同要求完成交纳社区租金</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6" w:hRule="atLeast"/>
        </w:trPr>
        <w:tc>
          <w:tcPr>
            <w:tcW w:w="11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5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1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1"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租用社区办公用房数量</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w:t>
            </w: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1"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交纳房租及时率</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2"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113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9"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解决社区办公用房问题</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社区工作人员满意度</w:t>
            </w:r>
          </w:p>
        </w:tc>
        <w:tc>
          <w:tcPr>
            <w:tcW w:w="13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6635" w:type="dxa"/>
            <w:gridSpan w:val="1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77" w:hRule="atLeast"/>
        </w:trPr>
        <w:tc>
          <w:tcPr>
            <w:tcW w:w="11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726" w:type="dxa"/>
            <w:gridSpan w:val="1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下一步对社区办公用房加强管理。</w:t>
            </w:r>
          </w:p>
        </w:tc>
      </w:tr>
    </w:tbl>
    <w:p>
      <w:pPr>
        <w:numPr>
          <w:ilvl w:val="0"/>
          <w:numId w:val="2"/>
        </w:numPr>
        <w:ind w:left="30" w:leftChars="0" w:firstLine="600" w:firstLineChars="0"/>
        <w:rPr>
          <w:rFonts w:hint="eastAsia" w:ascii="仿宋_GB2312" w:eastAsia="仿宋_GB2312"/>
          <w:sz w:val="32"/>
          <w:szCs w:val="32"/>
          <w:highlight w:val="none"/>
          <w:lang w:eastAsia="zh-CN"/>
        </w:rPr>
      </w:pPr>
      <w:r>
        <w:rPr>
          <w:rFonts w:hint="eastAsia" w:ascii="仿宋" w:hAnsi="仿宋" w:eastAsia="仿宋" w:cs="仿宋"/>
          <w:sz w:val="30"/>
          <w:szCs w:val="30"/>
          <w:highlight w:val="none"/>
          <w:lang w:eastAsia="zh-CN"/>
        </w:rPr>
        <w:t>社区办公经费、信息化建设及培训费、党建惠民工程专项资金</w:t>
      </w:r>
      <w:r>
        <w:rPr>
          <w:rFonts w:hint="eastAsia" w:ascii="仿宋_GB2312" w:hAnsi="仿宋_GB2312" w:eastAsia="仿宋_GB2312" w:cs="仿宋_GB2312"/>
          <w:sz w:val="32"/>
          <w:szCs w:val="32"/>
        </w:rPr>
        <w:t>项目自评综述：根据年初设定的绩效目标，</w:t>
      </w:r>
      <w:r>
        <w:rPr>
          <w:rFonts w:hint="eastAsia" w:ascii="仿宋" w:hAnsi="仿宋" w:eastAsia="仿宋" w:cs="仿宋"/>
          <w:sz w:val="30"/>
          <w:szCs w:val="30"/>
          <w:highlight w:val="none"/>
          <w:lang w:eastAsia="zh-CN"/>
        </w:rPr>
        <w:t>社区办公经费、信息化建设及培训费、党建惠民工程专项资金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120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宋体" w:hAnsi="宋体" w:eastAsia="宋体" w:cs="宋体"/>
          <w:i w:val="0"/>
          <w:color w:val="000000"/>
          <w:kern w:val="0"/>
          <w:sz w:val="32"/>
          <w:szCs w:val="32"/>
          <w:u w:val="none"/>
          <w:lang w:val="en-US" w:eastAsia="zh-CN" w:bidi="ar"/>
        </w:rPr>
        <w:t>项目支出运行实践经验还欠缺，相关制度建设还有待进一步加强</w:t>
      </w:r>
      <w:r>
        <w:rPr>
          <w:rFonts w:hint="eastAsia" w:ascii="仿宋_GB2312" w:eastAsia="仿宋_GB2312"/>
          <w:sz w:val="32"/>
          <w:szCs w:val="32"/>
          <w:highlight w:val="none"/>
          <w:lang w:eastAsia="zh-CN"/>
        </w:rPr>
        <w:t>。</w:t>
      </w:r>
    </w:p>
    <w:tbl>
      <w:tblPr>
        <w:tblStyle w:val="6"/>
        <w:tblW w:w="88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55"/>
        <w:gridCol w:w="1371"/>
        <w:gridCol w:w="838"/>
        <w:gridCol w:w="1090"/>
        <w:gridCol w:w="1"/>
        <w:gridCol w:w="901"/>
        <w:gridCol w:w="1241"/>
        <w:gridCol w:w="1057"/>
        <w:gridCol w:w="10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7" w:hRule="atLeast"/>
        </w:trPr>
        <w:tc>
          <w:tcPr>
            <w:tcW w:w="8840" w:type="dxa"/>
            <w:gridSpan w:val="9"/>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3" w:hRule="atLeast"/>
        </w:trPr>
        <w:tc>
          <w:tcPr>
            <w:tcW w:w="8840" w:type="dxa"/>
            <w:gridSpan w:val="9"/>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6" w:hRule="atLeast"/>
        </w:trPr>
        <w:tc>
          <w:tcPr>
            <w:tcW w:w="8840"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6" w:hRule="atLeast"/>
        </w:trPr>
        <w:tc>
          <w:tcPr>
            <w:tcW w:w="125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37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83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02"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14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66" w:hRule="atLeast"/>
        </w:trPr>
        <w:tc>
          <w:tcPr>
            <w:tcW w:w="12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9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社区办公经费、信息化建设及培训费，党建惠民工程专项资金</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8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8" w:hRule="atLeast"/>
        </w:trPr>
        <w:tc>
          <w:tcPr>
            <w:tcW w:w="12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2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120</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120</w:t>
            </w:r>
          </w:p>
        </w:tc>
        <w:tc>
          <w:tcPr>
            <w:tcW w:w="10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1"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120</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120</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120</w:t>
            </w:r>
          </w:p>
        </w:tc>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30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19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1"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0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完成社区民政事务，信息化建设，党建工作。</w:t>
            </w:r>
          </w:p>
        </w:tc>
        <w:tc>
          <w:tcPr>
            <w:tcW w:w="319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按年初目标要求基本完成民政事务，信息化建设，党建工作等</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8" w:hRule="atLeast"/>
        </w:trPr>
        <w:tc>
          <w:tcPr>
            <w:tcW w:w="12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8"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社区开展党员活动次数</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≥72</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72</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8"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社区走访慰问党员次数</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1"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及时解决社区水电暖、维修、通讯等办公经费</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1"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9"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社区居民办事便民率</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社区工作人员满意度</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499"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86" w:hRule="atLeast"/>
        </w:trPr>
        <w:tc>
          <w:tcPr>
            <w:tcW w:w="12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585"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从该项目的实施情况来看，整个项目在资金安排、使用的过程中在某些方面存在不足，对于项目支出运行实践经验还欠缺，相关制度建设还有待进一步加强。</w:t>
            </w:r>
          </w:p>
        </w:tc>
      </w:tr>
    </w:tbl>
    <w:p>
      <w:pPr>
        <w:numPr>
          <w:ilvl w:val="0"/>
          <w:numId w:val="2"/>
        </w:numPr>
        <w:ind w:left="30" w:leftChars="0" w:firstLine="600" w:firstLineChars="0"/>
        <w:rPr>
          <w:rFonts w:hint="eastAsia" w:ascii="仿宋_GB2312" w:eastAsia="仿宋_GB2312"/>
          <w:sz w:val="32"/>
          <w:szCs w:val="32"/>
          <w:highlight w:val="none"/>
          <w:lang w:eastAsia="zh-CN"/>
        </w:rPr>
      </w:pPr>
      <w:r>
        <w:rPr>
          <w:rFonts w:hint="eastAsia" w:ascii="方正小标宋简体" w:hAnsi="方正小标宋简体" w:eastAsia="方正小标宋简体" w:cs="方正小标宋简体"/>
          <w:sz w:val="32"/>
          <w:szCs w:val="32"/>
          <w:lang w:val="en-US" w:eastAsia="zh-CN"/>
        </w:rPr>
        <w:t>社区工作者工资及社保</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社区工作者工资及社保</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246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226.79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仿宋_GB2312" w:eastAsia="仿宋_GB2312"/>
          <w:sz w:val="32"/>
          <w:szCs w:val="32"/>
          <w:highlight w:val="none"/>
          <w:lang w:eastAsia="zh-CN"/>
        </w:rPr>
        <w:t>对社区工资保险建立长效机制。</w:t>
      </w:r>
    </w:p>
    <w:p>
      <w:pPr>
        <w:numPr>
          <w:ilvl w:val="0"/>
          <w:numId w:val="0"/>
        </w:numPr>
        <w:ind w:left="630" w:leftChars="0"/>
        <w:rPr>
          <w:rFonts w:hint="eastAsia" w:ascii="仿宋_GB2312" w:eastAsia="仿宋_GB2312"/>
          <w:sz w:val="32"/>
          <w:szCs w:val="32"/>
          <w:highlight w:val="none"/>
          <w:lang w:eastAsia="zh-CN"/>
        </w:rPr>
      </w:pPr>
    </w:p>
    <w:tbl>
      <w:tblPr>
        <w:tblStyle w:val="6"/>
        <w:tblW w:w="88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30"/>
        <w:gridCol w:w="975"/>
        <w:gridCol w:w="142"/>
        <w:gridCol w:w="1032"/>
        <w:gridCol w:w="1187"/>
        <w:gridCol w:w="919"/>
        <w:gridCol w:w="975"/>
        <w:gridCol w:w="1"/>
        <w:gridCol w:w="1144"/>
        <w:gridCol w:w="12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820"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5" w:hRule="atLeast"/>
        </w:trPr>
        <w:tc>
          <w:tcPr>
            <w:tcW w:w="8820"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2" w:hRule="atLeast"/>
        </w:trPr>
        <w:tc>
          <w:tcPr>
            <w:tcW w:w="8820"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2" w:hRule="atLeast"/>
        </w:trPr>
        <w:tc>
          <w:tcPr>
            <w:tcW w:w="12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117"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3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360"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社区工作者工资及社保</w:t>
            </w:r>
          </w:p>
        </w:tc>
        <w:tc>
          <w:tcPr>
            <w:tcW w:w="9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14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246</w:t>
            </w: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246</w:t>
            </w:r>
          </w:p>
        </w:tc>
        <w:tc>
          <w:tcPr>
            <w:tcW w:w="9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1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226.78905</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246</w:t>
            </w:r>
          </w:p>
        </w:tc>
        <w:tc>
          <w:tcPr>
            <w:tcW w:w="11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246</w:t>
            </w:r>
          </w:p>
        </w:tc>
        <w:tc>
          <w:tcPr>
            <w:tcW w:w="9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246</w:t>
            </w: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1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33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03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53"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3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每月及时为社区工作者发放工资缴纳社保</w:t>
            </w:r>
          </w:p>
        </w:tc>
        <w:tc>
          <w:tcPr>
            <w:tcW w:w="303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完成2019年度社区工作者工资及社保</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94" w:hRule="atLeast"/>
        </w:trPr>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7"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社区工作者人数</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43</w:t>
            </w: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7"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发放社区工资及时率</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缴纳社区保险及时率</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6"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1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保障社区工作者工资及社保</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1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社区工作人员满意度</w:t>
            </w:r>
          </w:p>
        </w:tc>
        <w:tc>
          <w:tcPr>
            <w:tcW w:w="9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6615"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55"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590"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对社区工作者工资保险建立长效机制。</w:t>
            </w:r>
          </w:p>
        </w:tc>
      </w:tr>
    </w:tbl>
    <w:p>
      <w:pPr>
        <w:numPr>
          <w:ilvl w:val="0"/>
          <w:numId w:val="2"/>
        </w:numPr>
        <w:ind w:left="30" w:leftChars="0" w:firstLine="600" w:firstLineChars="0"/>
        <w:rPr>
          <w:rFonts w:hint="eastAsia" w:ascii="仿宋" w:hAnsi="仿宋" w:eastAsia="仿宋" w:cs="仿宋"/>
          <w:sz w:val="32"/>
          <w:szCs w:val="32"/>
          <w:highlight w:val="none"/>
          <w:lang w:eastAsia="zh-CN"/>
        </w:rPr>
      </w:pPr>
      <w:r>
        <w:rPr>
          <w:rFonts w:hint="eastAsia" w:ascii="方正小标宋简体" w:hAnsi="方正小标宋简体" w:eastAsia="方正小标宋简体" w:cs="方正小标宋简体"/>
          <w:sz w:val="32"/>
          <w:szCs w:val="32"/>
          <w:lang w:val="en-US" w:eastAsia="zh-CN"/>
        </w:rPr>
        <w:t>信访维稳工作经费</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信访维稳工作经费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15.27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76%</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良，</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仿宋" w:hAnsi="仿宋" w:eastAsia="仿宋" w:cs="仿宋"/>
          <w:i w:val="0"/>
          <w:color w:val="000000"/>
          <w:kern w:val="0"/>
          <w:sz w:val="32"/>
          <w:szCs w:val="32"/>
          <w:u w:val="none"/>
          <w:lang w:val="en-US" w:eastAsia="zh-CN" w:bidi="ar"/>
        </w:rPr>
        <w:t>对信访工作执行长效机制，保证好信访工作稳定。</w:t>
      </w:r>
    </w:p>
    <w:tbl>
      <w:tblPr>
        <w:tblStyle w:val="6"/>
        <w:tblW w:w="89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18"/>
        <w:gridCol w:w="1332"/>
        <w:gridCol w:w="1070"/>
        <w:gridCol w:w="1"/>
        <w:gridCol w:w="1179"/>
        <w:gridCol w:w="1"/>
        <w:gridCol w:w="959"/>
        <w:gridCol w:w="1060"/>
        <w:gridCol w:w="1"/>
        <w:gridCol w:w="1230"/>
        <w:gridCol w:w="9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940" w:type="dxa"/>
            <w:gridSpan w:val="11"/>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8940" w:type="dxa"/>
            <w:gridSpan w:val="11"/>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6" w:hRule="atLeast"/>
        </w:trPr>
        <w:tc>
          <w:tcPr>
            <w:tcW w:w="8940" w:type="dxa"/>
            <w:gridSpan w:val="1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6" w:hRule="atLeast"/>
        </w:trPr>
        <w:tc>
          <w:tcPr>
            <w:tcW w:w="111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33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7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0"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60"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220"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2" w:hRule="atLeast"/>
        </w:trPr>
        <w:tc>
          <w:tcPr>
            <w:tcW w:w="11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信访维稳工作经费</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28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2" w:hRule="atLeast"/>
        </w:trPr>
        <w:tc>
          <w:tcPr>
            <w:tcW w:w="11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4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2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7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c>
          <w:tcPr>
            <w:tcW w:w="11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c>
          <w:tcPr>
            <w:tcW w:w="1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2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15.26703</w:t>
            </w:r>
          </w:p>
        </w:tc>
        <w:tc>
          <w:tcPr>
            <w:tcW w:w="9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2"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7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c>
          <w:tcPr>
            <w:tcW w:w="11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2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15.26703</w:t>
            </w: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7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2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8" w:hRule="atLeast"/>
        </w:trPr>
        <w:tc>
          <w:tcPr>
            <w:tcW w:w="11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58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25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2"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8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解决信访事件，维护信访工作稳定，促进社会和谐发展</w:t>
            </w:r>
          </w:p>
        </w:tc>
        <w:tc>
          <w:tcPr>
            <w:tcW w:w="325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按年初目标要求完成本年信访事件。</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92" w:hRule="atLeast"/>
        </w:trPr>
        <w:tc>
          <w:tcPr>
            <w:tcW w:w="11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7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8"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对信访人员走访慰问次数</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3次</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5次</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0"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信访事件完成率</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8"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解决信访人员补贴及时率</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2"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107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5"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信访工作稳定性</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88%</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信访事件处理满意度</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82%</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833"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00" w:hRule="atLeast"/>
        </w:trPr>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822"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从该项目的实施情况来看，整个项目在资金安排、使用的过程中在某些方面存在不足，下一步对信访工作执行长效机制，保证好信访工作稳定。</w:t>
            </w:r>
          </w:p>
        </w:tc>
      </w:tr>
    </w:tbl>
    <w:p>
      <w:pPr>
        <w:numPr>
          <w:ilvl w:val="0"/>
          <w:numId w:val="2"/>
        </w:numPr>
        <w:ind w:left="30" w:leftChars="0" w:firstLine="600" w:firstLineChars="0"/>
        <w:rPr>
          <w:rFonts w:hint="eastAsia" w:ascii="仿宋_GB2312" w:eastAsia="仿宋_GB2312"/>
          <w:sz w:val="32"/>
          <w:szCs w:val="32"/>
          <w:highlight w:val="none"/>
          <w:lang w:eastAsia="zh-CN"/>
        </w:rPr>
      </w:pPr>
      <w:r>
        <w:rPr>
          <w:rFonts w:hint="eastAsia" w:ascii="方正小标宋简体" w:hAnsi="方正小标宋简体" w:eastAsia="方正小标宋简体" w:cs="方正小标宋简体"/>
          <w:sz w:val="32"/>
          <w:szCs w:val="32"/>
          <w:lang w:val="en-US" w:eastAsia="zh-CN"/>
        </w:rPr>
        <w:t>烟花爆竹禁放经费</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烟花爆竹禁放经费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94</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宋体" w:hAnsi="宋体" w:eastAsia="宋体" w:cs="宋体"/>
          <w:i w:val="0"/>
          <w:color w:val="000000"/>
          <w:kern w:val="0"/>
          <w:sz w:val="32"/>
          <w:szCs w:val="32"/>
          <w:u w:val="none"/>
          <w:lang w:val="en-US" w:eastAsia="zh-CN" w:bidi="ar"/>
        </w:rPr>
        <w:t>加强对禁放烟花爆竹工作时行管控</w:t>
      </w:r>
      <w:r>
        <w:rPr>
          <w:rFonts w:hint="eastAsia" w:ascii="仿宋_GB2312" w:eastAsia="仿宋_GB2312"/>
          <w:sz w:val="32"/>
          <w:szCs w:val="32"/>
          <w:highlight w:val="none"/>
          <w:lang w:eastAsia="zh-CN"/>
        </w:rPr>
        <w:t>。</w:t>
      </w:r>
    </w:p>
    <w:tbl>
      <w:tblPr>
        <w:tblStyle w:val="6"/>
        <w:tblW w:w="89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6"/>
        <w:gridCol w:w="1198"/>
        <w:gridCol w:w="968"/>
        <w:gridCol w:w="1184"/>
        <w:gridCol w:w="925"/>
        <w:gridCol w:w="981"/>
        <w:gridCol w:w="1"/>
        <w:gridCol w:w="1156"/>
        <w:gridCol w:w="12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940" w:type="dxa"/>
            <w:gridSpan w:val="9"/>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9" w:hRule="atLeast"/>
        </w:trPr>
        <w:tc>
          <w:tcPr>
            <w:tcW w:w="8940" w:type="dxa"/>
            <w:gridSpan w:val="9"/>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2" w:hRule="atLeast"/>
        </w:trPr>
        <w:tc>
          <w:tcPr>
            <w:tcW w:w="8940"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2" w:hRule="atLeast"/>
        </w:trPr>
        <w:tc>
          <w:tcPr>
            <w:tcW w:w="128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19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6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398"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15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烟花爆竹禁放经费</w:t>
            </w:r>
          </w:p>
        </w:tc>
        <w:tc>
          <w:tcPr>
            <w:tcW w:w="9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13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1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1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2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1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8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1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3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06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倡导低碳，组织协调，宣传绿化环保，禁放烟花爆竹</w:t>
            </w:r>
          </w:p>
        </w:tc>
        <w:tc>
          <w:tcPr>
            <w:tcW w:w="306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按年初目标基本完成倡导低碳，组织协调，宣传绿化环保，禁放烟花爆竹工作</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94"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8"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宣传材料覆盖率</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8"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购置奖励物资质量合格率</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宣传材料及时率</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9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7"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环境污染宣传率</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居民满意度</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413"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57" w:hRule="atLeast"/>
        </w:trPr>
        <w:tc>
          <w:tcPr>
            <w:tcW w:w="12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654"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从该项目的实施情况来看，整个项目在资金安排、使用的过程中在某些方面存在不足，下一步加强对禁放烟花爆竹工作时行管控。</w:t>
            </w:r>
          </w:p>
        </w:tc>
      </w:tr>
    </w:tbl>
    <w:p>
      <w:pPr>
        <w:keepNext/>
        <w:keepLines/>
        <w:numPr>
          <w:ilvl w:val="0"/>
          <w:numId w:val="0"/>
        </w:numPr>
        <w:snapToGrid w:val="0"/>
        <w:spacing w:line="580" w:lineRule="exact"/>
        <w:ind w:firstLine="640"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eastAsia="zh-CN"/>
        </w:rPr>
        <w:t>：无</w:t>
      </w:r>
      <w:r>
        <w:rPr>
          <w:rFonts w:hint="eastAsia" w:ascii="仿宋_GB2312" w:hAnsi="仿宋_GB2312" w:eastAsia="仿宋_GB2312" w:cs="仿宋_GB2312"/>
          <w:b/>
          <w:bCs/>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0"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9.15</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2.03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28.5</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项目调整</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widowControl/>
        <w:spacing w:after="0" w:afterLines="0" w:line="580" w:lineRule="exact"/>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本部门201</w:t>
      </w:r>
      <w:r>
        <w:rPr>
          <w:rFonts w:hint="eastAsia" w:ascii="仿宋_GB2312" w:hAnsi="仿宋_GB2312" w:eastAsia="仿宋_GB2312" w:cs="仿宋_GB2312"/>
          <w:b w:val="0"/>
          <w:bCs w:val="0"/>
          <w:sz w:val="32"/>
          <w:szCs w:val="32"/>
          <w:lang w:val="en-US" w:eastAsia="zh-CN"/>
        </w:rPr>
        <w:t>9</w:t>
      </w:r>
      <w:r>
        <w:rPr>
          <w:rFonts w:hint="eastAsia" w:ascii="仿宋_GB2312" w:hAnsi="仿宋_GB2312" w:eastAsia="仿宋_GB2312" w:cs="仿宋_GB2312"/>
          <w:b w:val="0"/>
          <w:bCs w:val="0"/>
          <w:sz w:val="32"/>
          <w:szCs w:val="32"/>
        </w:rPr>
        <w:t>年度政府采购支出总额</w:t>
      </w:r>
      <w:r>
        <w:rPr>
          <w:rFonts w:hint="eastAsia" w:ascii="仿宋_GB2312" w:hAnsi="仿宋_GB2312" w:eastAsia="仿宋_GB2312" w:cs="仿宋_GB2312"/>
          <w:b w:val="0"/>
          <w:bCs w:val="0"/>
          <w:sz w:val="32"/>
          <w:szCs w:val="32"/>
          <w:lang w:val="en-US" w:eastAsia="zh-CN"/>
        </w:rPr>
        <w:t>0</w:t>
      </w:r>
      <w:r>
        <w:rPr>
          <w:rFonts w:hint="eastAsia" w:ascii="仿宋_GB2312" w:hAnsi="仿宋_GB2312" w:eastAsia="仿宋_GB2312" w:cs="仿宋_GB2312"/>
          <w:b w:val="0"/>
          <w:bCs w:val="0"/>
          <w:sz w:val="32"/>
          <w:szCs w:val="32"/>
        </w:rPr>
        <w:t>万元，从采购类型来看，</w:t>
      </w:r>
      <w:r>
        <w:rPr>
          <w:rFonts w:hint="eastAsia" w:ascii="仿宋_GB2312" w:hAnsi="仿宋_GB2312" w:eastAsia="仿宋_GB2312" w:cs="仿宋_GB2312"/>
          <w:b w:val="0"/>
          <w:bCs w:val="0"/>
          <w:color w:val="000000"/>
          <w:kern w:val="0"/>
          <w:sz w:val="32"/>
          <w:szCs w:val="32"/>
        </w:rPr>
        <w:t>政府采购货物支出</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万元、政府采购工程支出</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 xml:space="preserve">万元、政府采购服务支出 </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万元。授予中小企业合同金</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万元，占政府采购支出总额的</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%，其中授予小微企业合同金额</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 xml:space="preserve">万元，占政府采购支出总额的 </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w:t>
      </w:r>
    </w:p>
    <w:p>
      <w:pPr>
        <w:keepNext/>
        <w:keepLines/>
        <w:snapToGrid w:val="0"/>
        <w:spacing w:line="580" w:lineRule="exact"/>
        <w:ind w:firstLine="640"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after="0" w:afterLines="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截至201</w:t>
      </w:r>
      <w:r>
        <w:rPr>
          <w:rFonts w:hint="eastAsia" w:ascii="仿宋" w:hAnsi="仿宋" w:eastAsia="仿宋" w:cs="仿宋"/>
          <w:sz w:val="32"/>
          <w:szCs w:val="32"/>
          <w:lang w:val="en-US" w:eastAsia="zh-CN"/>
        </w:rPr>
        <w:t>9</w:t>
      </w:r>
      <w:r>
        <w:rPr>
          <w:rFonts w:hint="eastAsia" w:ascii="仿宋" w:hAnsi="仿宋" w:eastAsia="仿宋" w:cs="仿宋"/>
          <w:sz w:val="32"/>
          <w:szCs w:val="32"/>
        </w:rPr>
        <w:t>年12月31日，本部门共有车辆</w:t>
      </w:r>
      <w:r>
        <w:rPr>
          <w:rFonts w:hint="eastAsia" w:ascii="仿宋" w:hAnsi="仿宋" w:eastAsia="仿宋" w:cs="仿宋"/>
          <w:sz w:val="32"/>
          <w:szCs w:val="32"/>
          <w:lang w:val="en-US" w:eastAsia="zh-CN"/>
        </w:rPr>
        <w:t>0</w:t>
      </w:r>
      <w:r>
        <w:rPr>
          <w:rFonts w:hint="eastAsia" w:ascii="仿宋" w:hAnsi="仿宋" w:eastAsia="仿宋" w:cs="仿宋"/>
          <w:sz w:val="32"/>
          <w:szCs w:val="32"/>
        </w:rPr>
        <w:t>辆，</w:t>
      </w:r>
      <w:r>
        <w:rPr>
          <w:rFonts w:hint="eastAsia" w:ascii="仿宋" w:hAnsi="仿宋" w:eastAsia="仿宋" w:cs="仿宋"/>
          <w:sz w:val="32"/>
          <w:szCs w:val="32"/>
          <w:lang w:eastAsia="zh-CN"/>
        </w:rPr>
        <w:t>与</w:t>
      </w:r>
      <w:r>
        <w:rPr>
          <w:rFonts w:hint="eastAsia" w:ascii="仿宋" w:hAnsi="仿宋" w:eastAsia="仿宋" w:cs="仿宋"/>
          <w:sz w:val="32"/>
          <w:szCs w:val="32"/>
        </w:rPr>
        <w:t>上年</w:t>
      </w:r>
      <w:r>
        <w:rPr>
          <w:rFonts w:hint="eastAsia" w:ascii="仿宋" w:hAnsi="仿宋" w:eastAsia="仿宋" w:cs="仿宋"/>
          <w:sz w:val="32"/>
          <w:szCs w:val="32"/>
          <w:lang w:eastAsia="zh-CN"/>
        </w:rPr>
        <w:t>持平，其中，副部（省）级及以上领导用车</w:t>
      </w:r>
      <w:r>
        <w:rPr>
          <w:rFonts w:hint="eastAsia" w:ascii="仿宋" w:hAnsi="仿宋" w:eastAsia="仿宋" w:cs="仿宋"/>
          <w:sz w:val="32"/>
          <w:szCs w:val="32"/>
          <w:lang w:val="en-US" w:eastAsia="zh-CN"/>
        </w:rPr>
        <w:t>0辆，机要通信用车0辆，应急保障用车0辆，执法执勤用车0辆，特种专业技术用车0辆，离退休干部用车0辆，其他用车0辆；</w:t>
      </w:r>
      <w:r>
        <w:rPr>
          <w:rFonts w:hint="eastAsia" w:ascii="仿宋" w:hAnsi="仿宋" w:eastAsia="仿宋" w:cs="仿宋"/>
          <w:sz w:val="32"/>
          <w:szCs w:val="32"/>
        </w:rPr>
        <w:t>单位价值50万元以上通用设备</w:t>
      </w:r>
      <w:r>
        <w:rPr>
          <w:rFonts w:hint="eastAsia" w:ascii="仿宋" w:hAnsi="仿宋" w:eastAsia="仿宋" w:cs="仿宋"/>
          <w:sz w:val="32"/>
          <w:szCs w:val="32"/>
          <w:lang w:val="en-US" w:eastAsia="zh-CN"/>
        </w:rPr>
        <w:t>0</w:t>
      </w:r>
      <w:r>
        <w:rPr>
          <w:rFonts w:hint="eastAsia" w:ascii="仿宋" w:hAnsi="仿宋" w:eastAsia="仿宋" w:cs="仿宋"/>
          <w:sz w:val="32"/>
          <w:szCs w:val="32"/>
        </w:rPr>
        <w:t>台（套），</w:t>
      </w:r>
      <w:r>
        <w:rPr>
          <w:rFonts w:hint="eastAsia" w:ascii="仿宋" w:hAnsi="仿宋" w:eastAsia="仿宋" w:cs="仿宋"/>
          <w:sz w:val="32"/>
          <w:szCs w:val="32"/>
          <w:lang w:eastAsia="zh-CN"/>
        </w:rPr>
        <w:t>与上年无增减变化</w:t>
      </w:r>
      <w:r>
        <w:rPr>
          <w:rFonts w:hint="eastAsia" w:ascii="仿宋" w:hAnsi="仿宋" w:eastAsia="仿宋" w:cs="仿宋"/>
          <w:sz w:val="32"/>
          <w:szCs w:val="32"/>
        </w:rPr>
        <w:t xml:space="preserve"> </w:t>
      </w:r>
      <w:r>
        <w:rPr>
          <w:rFonts w:hint="eastAsia" w:ascii="仿宋" w:hAnsi="仿宋" w:eastAsia="仿宋" w:cs="仿宋"/>
          <w:sz w:val="32"/>
          <w:szCs w:val="32"/>
          <w:lang w:eastAsia="zh-CN"/>
        </w:rPr>
        <w:t>；</w:t>
      </w:r>
      <w:r>
        <w:rPr>
          <w:rFonts w:hint="eastAsia" w:ascii="仿宋" w:hAnsi="仿宋" w:eastAsia="仿宋" w:cs="仿宋"/>
          <w:sz w:val="32"/>
          <w:szCs w:val="32"/>
        </w:rPr>
        <w:t>单位价值100万元以上专用设备</w:t>
      </w:r>
      <w:r>
        <w:rPr>
          <w:rFonts w:hint="eastAsia" w:ascii="仿宋" w:hAnsi="仿宋" w:eastAsia="仿宋" w:cs="仿宋"/>
          <w:sz w:val="32"/>
          <w:szCs w:val="32"/>
          <w:lang w:val="en-US" w:eastAsia="zh-CN"/>
        </w:rPr>
        <w:t>0</w:t>
      </w:r>
      <w:r>
        <w:rPr>
          <w:rFonts w:hint="eastAsia" w:ascii="仿宋" w:hAnsi="仿宋" w:eastAsia="仿宋" w:cs="仿宋"/>
          <w:sz w:val="32"/>
          <w:szCs w:val="32"/>
        </w:rPr>
        <w:t>台（套）</w:t>
      </w:r>
      <w:r>
        <w:rPr>
          <w:rFonts w:hint="eastAsia" w:ascii="仿宋" w:hAnsi="仿宋" w:eastAsia="仿宋" w:cs="仿宋"/>
          <w:sz w:val="32"/>
          <w:szCs w:val="32"/>
          <w:lang w:eastAsia="zh-CN"/>
        </w:rPr>
        <w:t>，与上年无增减变化。</w:t>
      </w:r>
    </w:p>
    <w:p>
      <w:pPr>
        <w:keepNext/>
        <w:keepLines/>
        <w:snapToGrid w:val="0"/>
        <w:spacing w:line="580" w:lineRule="exact"/>
        <w:ind w:firstLine="640"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rPr>
          <w:rFonts w:hint="eastAsia" w:ascii="仿宋" w:hAnsi="仿宋" w:eastAsia="仿宋" w:cs="仿宋"/>
          <w:sz w:val="32"/>
          <w:szCs w:val="32"/>
        </w:rPr>
      </w:pP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rPr>
        <w:t>1、</w:t>
      </w:r>
      <w:r>
        <w:rPr>
          <w:rFonts w:hint="eastAsia" w:ascii="仿宋" w:hAnsi="仿宋" w:eastAsia="仿宋" w:cs="仿宋"/>
          <w:sz w:val="32"/>
          <w:szCs w:val="32"/>
        </w:rPr>
        <w:t>本部门201</w:t>
      </w:r>
      <w:r>
        <w:rPr>
          <w:rFonts w:hint="eastAsia" w:ascii="仿宋" w:hAnsi="仿宋" w:eastAsia="仿宋" w:cs="仿宋"/>
          <w:sz w:val="32"/>
          <w:szCs w:val="32"/>
          <w:lang w:val="en-US" w:eastAsia="zh-CN"/>
        </w:rPr>
        <w:t>9</w:t>
      </w:r>
      <w:r>
        <w:rPr>
          <w:rFonts w:hint="eastAsia" w:ascii="仿宋" w:hAnsi="仿宋" w:eastAsia="仿宋" w:cs="仿宋"/>
          <w:sz w:val="32"/>
          <w:szCs w:val="32"/>
        </w:rPr>
        <w:t>年度</w:t>
      </w:r>
      <w:r>
        <w:rPr>
          <w:rFonts w:hint="eastAsia" w:ascii="仿宋" w:hAnsi="仿宋" w:eastAsia="仿宋" w:cs="仿宋"/>
          <w:color w:val="000000"/>
          <w:kern w:val="0"/>
          <w:sz w:val="32"/>
          <w:szCs w:val="32"/>
        </w:rPr>
        <w:t>一般公共预算财政拨款“</w:t>
      </w:r>
      <w:r>
        <w:rPr>
          <w:rFonts w:hint="eastAsia" w:ascii="仿宋" w:hAnsi="仿宋" w:eastAsia="仿宋" w:cs="仿宋"/>
          <w:sz w:val="32"/>
          <w:szCs w:val="32"/>
        </w:rPr>
        <mc:AlternateContent>
          <mc:Choice Requires="wpg">
            <w:drawing>
              <wp:anchor distT="0" distB="0" distL="114300" distR="114300" simplePos="0" relativeHeight="437316608" behindDoc="0" locked="1" layoutInCell="1" allowOverlap="1">
                <wp:simplePos x="0" y="0"/>
                <wp:positionH relativeFrom="column">
                  <wp:posOffset>6622415</wp:posOffset>
                </wp:positionH>
                <wp:positionV relativeFrom="page">
                  <wp:posOffset>517525</wp:posOffset>
                </wp:positionV>
                <wp:extent cx="3088640" cy="523875"/>
                <wp:effectExtent l="3175" t="0" r="13335" b="28575"/>
                <wp:wrapNone/>
                <wp:docPr id="41" name="组合 41"/>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38" name="矩形 38"/>
                        <wps:cNvSpPr/>
                        <wps:spPr>
                          <a:xfrm>
                            <a:off x="0" y="0"/>
                            <a:ext cx="8546" cy="1175"/>
                          </a:xfrm>
                          <a:prstGeom prst="rect">
                            <a:avLst/>
                          </a:prstGeom>
                          <a:solidFill>
                            <a:srgbClr val="D9D9D9"/>
                          </a:solidFill>
                          <a:ln>
                            <a:noFill/>
                          </a:ln>
                        </wps:spPr>
                        <wps:bodyPr anchor="ctr" anchorCtr="0" upright="1"/>
                      </wps:wsp>
                      <wps:wsp>
                        <wps:cNvPr id="39" name="矩形 39"/>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p>
                            <w:p>
                              <w:pPr>
                                <w:jc w:val="center"/>
                              </w:pPr>
                            </w:p>
                          </w:txbxContent>
                        </wps:txbx>
                        <wps:bodyPr anchor="ctr" anchorCtr="0" upright="1"/>
                      </wps:wsp>
                    </wpg:wgp>
                  </a:graphicData>
                </a:graphic>
              </wp:anchor>
            </w:drawing>
          </mc:Choice>
          <mc:Fallback>
            <w:pict>
              <v:group id="_x0000_s1026" o:spid="_x0000_s1026" o:spt="203" style="position:absolute;left:0pt;margin-left:521.45pt;margin-top:40.75pt;height:41.25pt;width:243.2pt;mso-position-vertical-relative:page;z-index:437316608;mso-width-relative:page;mso-height-relative:page;" coordsize="8546,1398" o:gfxdata="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P3mbarbAAAADAEAAA8AAAAAAAAAAQAgAAAAIgAAAGRycy9kb3ducmV2LnhtbFBLAQIU&#10;ABQAAAAIAIdO4kA1YclzmwIAALwGAAAOAAAAAAAAAAEAIAAAACoBAABkcnMvZTJvRG9jLnhtbFBL&#10;BQYAAAAABgAGAFkBAAA3BgAAAAA=&#10;">
                <o:lock v:ext="edit" aspectratio="f"/>
                <v:rect id="_x0000_s1026" o:spid="_x0000_s1026" o:spt="1" style="position:absolute;left:0;top:0;height:1175;width:8546;v-text-anchor:middle;" fillcolor="#D9D9D9" filled="t" stroked="f" coordsize="21600,21600" o:gfxdata="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ZuRoHugAAANsA&#10;AAAPAAAAAAAAAAEAIAAAACIAAABkcnMvZG93bnJldi54bWxQSwECFAAUAAAACACHTuJAMy8FnjsA&#10;AAA5AAAAEAAAAAAAAAABACAAAAAJAQAAZHJzL3NoYXBleG1sLnhtbFBLBQYAAAAABgAGAFsBAACz&#10;Aw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vmoF4L0AAADb&#10;AAAADwAAAGRycy9kb3ducmV2LnhtbEWPT2vCQBTE7wW/w/IEb3U3FmyauhEULB6t9s/1kX1NQrNv&#10;w+4m6rd3hUKPw8z8hlmtL7YTI/nQOtaQzRUI4sqZlmsNH6fdYw4iRGSDnWPScKUA63LysMLCuDO/&#10;03iMtUgQDgVqaGLsCylD1ZDFMHc9cfJ+nLcYk/S1NB7PCW47uVBqKS22nBYa7GnbUPV7HKyG5WGz&#10;ddUpf/vy3606uGF3zZ8/tZ5NM/UKItIl/of/2nuj4ekF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gXgvQAA&#10;ANsAAAAPAAAAAAAAAAEAIAAAACIAAABkcnMvZG93bnJldi54bWxQSwECFAAUAAAACACHTuJAMy8F&#10;njsAAAA5AAAAEAAAAAAAAAABACAAAAAMAQAAZHJzL3NoYXBleG1sLnhtbFBLBQYAAAAABgAGAFsB&#10;AAC2Aw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p>
                      <w:p>
                        <w:pPr>
                          <w:jc w:val="center"/>
                        </w:pPr>
                      </w:p>
                    </w:txbxContent>
                  </v:textbox>
                </v:rect>
                <w10:anchorlock/>
              </v:group>
            </w:pict>
          </mc:Fallback>
        </mc:AlternateContent>
      </w:r>
      <w:r>
        <w:rPr>
          <w:rFonts w:hint="eastAsia" w:ascii="仿宋" w:hAnsi="仿宋" w:eastAsia="仿宋" w:cs="仿宋"/>
          <w:color w:val="000000"/>
          <w:kern w:val="0"/>
          <w:sz w:val="32"/>
          <w:szCs w:val="32"/>
        </w:rPr>
        <w:t>三公”经费支出决算表</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政府性基金预算财政拨款</w:t>
      </w:r>
      <w:r>
        <w:rPr>
          <w:rFonts w:hint="eastAsia" w:ascii="仿宋" w:hAnsi="仿宋" w:eastAsia="仿宋" w:cs="仿宋"/>
          <w:sz w:val="32"/>
          <w:szCs w:val="32"/>
        </w:rPr>
        <mc:AlternateContent>
          <mc:Choice Requires="wpg">
            <w:drawing>
              <wp:anchor distT="0" distB="0" distL="114300" distR="114300" simplePos="0" relativeHeight="437317632" behindDoc="0" locked="1" layoutInCell="1" allowOverlap="1">
                <wp:simplePos x="0" y="0"/>
                <wp:positionH relativeFrom="column">
                  <wp:posOffset>6696075</wp:posOffset>
                </wp:positionH>
                <wp:positionV relativeFrom="page">
                  <wp:posOffset>517525</wp:posOffset>
                </wp:positionV>
                <wp:extent cx="3088640" cy="523875"/>
                <wp:effectExtent l="3175" t="0" r="13335" b="28575"/>
                <wp:wrapNone/>
                <wp:docPr id="44" name="组合 44"/>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42" name="矩形 42"/>
                        <wps:cNvSpPr/>
                        <wps:spPr>
                          <a:xfrm>
                            <a:off x="0" y="0"/>
                            <a:ext cx="8546" cy="1175"/>
                          </a:xfrm>
                          <a:prstGeom prst="rect">
                            <a:avLst/>
                          </a:prstGeom>
                          <a:solidFill>
                            <a:srgbClr val="D9D9D9"/>
                          </a:solidFill>
                          <a:ln>
                            <a:noFill/>
                          </a:ln>
                        </wps:spPr>
                        <wps:bodyPr anchor="ctr" anchorCtr="0" upright="1"/>
                      </wps:wsp>
                      <wps:wsp>
                        <wps:cNvPr id="43" name="矩形 43"/>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jc w:val="center"/>
                              </w:pPr>
                            </w:p>
                          </w:txbxContent>
                        </wps:txbx>
                        <wps:bodyPr anchor="ctr" anchorCtr="0" upright="1"/>
                      </wps:wsp>
                    </wpg:wgp>
                  </a:graphicData>
                </a:graphic>
              </wp:anchor>
            </w:drawing>
          </mc:Choice>
          <mc:Fallback>
            <w:pict>
              <v:group id="_x0000_s1026" o:spid="_x0000_s1026" o:spt="203" style="position:absolute;left:0pt;margin-left:527.25pt;margin-top:40.75pt;height:41.25pt;width:243.2pt;mso-position-vertical-relative:page;z-index:437317632;mso-width-relative:page;mso-height-relative:page;" coordsize="8546,1398" o:gfxdata="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">
                <o:lock v:ext="edit" aspectratio="f"/>
                <v:rect id="_x0000_s1026" o:spid="_x0000_s1026" o:spt="1" style="position:absolute;left:0;top:0;height:1175;width:8546;v-text-anchor:middle;" fillcolor="#D9D9D9" filled="t" stroked="f" coordsize="21600,21600" o:gfxdata="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V16QvQAA&#10;ANsAAAAPAAAAAAAAAAEAIAAAACIAAABkcnMvZG93bnJldi54bWxQSwECFAAUAAAACACHTuJAMy8F&#10;njsAAAA5AAAAEAAAAAAAAAABACAAAAAMAQAAZHJzL3NoYXBleG1sLnhtbFBLBQYAAAAABgAGAFsB&#10;AAC2Aw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h4RBd7sAAADb&#10;AAAADwAAAGRycy9kb3ducmV2LnhtbEWPS4sCMRCE78L+h9ALe9PEddF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4RBd7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jc w:val="center"/>
                        </w:pPr>
                      </w:p>
                    </w:txbxContent>
                  </v:textbox>
                </v:rect>
                <w10:anchorlock/>
              </v:group>
            </w:pict>
          </mc:Fallback>
        </mc:AlternateContent>
      </w:r>
      <w:r>
        <w:rPr>
          <w:rFonts w:hint="eastAsia" w:ascii="仿宋" w:hAnsi="仿宋" w:eastAsia="仿宋" w:cs="仿宋"/>
          <w:color w:val="000000"/>
          <w:kern w:val="0"/>
          <w:sz w:val="32"/>
          <w:szCs w:val="32"/>
        </w:rPr>
        <w:t>收入支出决算表</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国有资本经营预算财政拨</w:t>
      </w:r>
      <w:r>
        <w:rPr>
          <w:rFonts w:hint="eastAsia" w:ascii="仿宋" w:hAnsi="仿宋" w:eastAsia="仿宋" w:cs="仿宋"/>
          <w:sz w:val="32"/>
          <w:szCs w:val="32"/>
        </w:rPr>
        <mc:AlternateContent>
          <mc:Choice Requires="wpg">
            <w:drawing>
              <wp:anchor distT="0" distB="0" distL="114300" distR="114300" simplePos="0" relativeHeight="437318656" behindDoc="0" locked="1" layoutInCell="1" allowOverlap="1">
                <wp:simplePos x="0" y="0"/>
                <wp:positionH relativeFrom="column">
                  <wp:posOffset>6611620</wp:posOffset>
                </wp:positionH>
                <wp:positionV relativeFrom="page">
                  <wp:posOffset>516890</wp:posOffset>
                </wp:positionV>
                <wp:extent cx="3088640" cy="523875"/>
                <wp:effectExtent l="3175" t="0" r="13335" b="28575"/>
                <wp:wrapNone/>
                <wp:docPr id="55" name="组合 55"/>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53" name="矩形 53"/>
                        <wps:cNvSpPr/>
                        <wps:spPr>
                          <a:xfrm>
                            <a:off x="0" y="0"/>
                            <a:ext cx="8546" cy="1175"/>
                          </a:xfrm>
                          <a:prstGeom prst="rect">
                            <a:avLst/>
                          </a:prstGeom>
                          <a:solidFill>
                            <a:srgbClr val="D9D9D9"/>
                          </a:solidFill>
                          <a:ln>
                            <a:noFill/>
                          </a:ln>
                        </wps:spPr>
                        <wps:bodyPr anchor="ctr" anchorCtr="0" upright="1"/>
                      </wps:wsp>
                      <wps:wsp>
                        <wps:cNvPr id="54" name="矩形 5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p>
                            <w:p>
                              <w:pPr>
                                <w:jc w:val="center"/>
                              </w:pPr>
                            </w:p>
                          </w:txbxContent>
                        </wps:txbx>
                        <wps:bodyPr anchor="ctr" anchorCtr="0" upright="1"/>
                      </wps:wsp>
                    </wpg:wgp>
                  </a:graphicData>
                </a:graphic>
              </wp:anchor>
            </w:drawing>
          </mc:Choice>
          <mc:Fallback>
            <w:pict>
              <v:group id="_x0000_s1026" o:spid="_x0000_s1026" o:spt="203" style="position:absolute;left:0pt;margin-left:520.6pt;margin-top:40.7pt;height:41.25pt;width:243.2pt;mso-position-vertical-relative:page;z-index:437318656;mso-width-relative:page;mso-height-relative:page;" coordsize="8546,1398" o:gfxdata="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">
                <o:lock v:ext="edit" aspectratio="f"/>
                <v:rect id="_x0000_s1026" o:spid="_x0000_s1026" o:spt="1" style="position:absolute;left:0;top:0;height:1175;width:8546;v-text-anchor:middle;" fillcolor="#D9D9D9" filled="t" stroked="f" coordsize="21600,21600" o:gfxdata="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Kwm3WvQAA&#10;ANsAAAAPAAAAAAAAAAEAIAAAACIAAABkcnMvZG93bnJldi54bWxQSwECFAAUAAAACACHTuJAMy8F&#10;njsAAAA5AAAAEAAAAAAAAAABACAAAAAMAQAAZHJzL3NoYXBleG1sLnhtbFBLBQYAAAAABgAGAFsB&#10;AAC2Aw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p>
                      <w:p>
                        <w:pPr>
                          <w:jc w:val="center"/>
                        </w:pPr>
                      </w:p>
                    </w:txbxContent>
                  </v:textbox>
                </v:rect>
                <w10:anchorlock/>
              </v:group>
            </w:pict>
          </mc:Fallback>
        </mc:AlternateContent>
      </w:r>
      <w:r>
        <w:rPr>
          <w:rFonts w:hint="eastAsia" w:ascii="仿宋" w:hAnsi="仿宋" w:eastAsia="仿宋" w:cs="仿宋"/>
          <w:color w:val="000000"/>
          <w:kern w:val="0"/>
          <w:sz w:val="32"/>
          <w:szCs w:val="32"/>
        </w:rPr>
        <w:t>款支出决算表</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政府采购</w:t>
      </w:r>
      <w:r>
        <w:rPr>
          <w:rFonts w:hint="eastAsia" w:ascii="仿宋" w:hAnsi="仿宋" w:eastAsia="仿宋" w:cs="仿宋"/>
          <w:sz w:val="32"/>
          <w:szCs w:val="32"/>
        </w:rPr>
        <mc:AlternateContent>
          <mc:Choice Requires="wpg">
            <w:drawing>
              <wp:anchor distT="0" distB="0" distL="114300" distR="114300" simplePos="0" relativeHeight="437319680" behindDoc="0" locked="1" layoutInCell="1" allowOverlap="1">
                <wp:simplePos x="0" y="0"/>
                <wp:positionH relativeFrom="column">
                  <wp:posOffset>6579870</wp:posOffset>
                </wp:positionH>
                <wp:positionV relativeFrom="page">
                  <wp:posOffset>454660</wp:posOffset>
                </wp:positionV>
                <wp:extent cx="3088640" cy="523875"/>
                <wp:effectExtent l="3175" t="0" r="13335" b="28575"/>
                <wp:wrapNone/>
                <wp:docPr id="58" name="组合 58"/>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56" name="矩形 56"/>
                        <wps:cNvSpPr/>
                        <wps:spPr>
                          <a:xfrm>
                            <a:off x="0" y="0"/>
                            <a:ext cx="8546" cy="1175"/>
                          </a:xfrm>
                          <a:prstGeom prst="rect">
                            <a:avLst/>
                          </a:prstGeom>
                          <a:solidFill>
                            <a:srgbClr val="D9D9D9"/>
                          </a:solidFill>
                          <a:ln>
                            <a:noFill/>
                          </a:ln>
                        </wps:spPr>
                        <wps:bodyPr anchor="ctr" anchorCtr="0" upright="1"/>
                      </wps:wsp>
                      <wps:wsp>
                        <wps:cNvPr id="57" name="矩形 57"/>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p>
                            <w:p>
                              <w:pPr>
                                <w:jc w:val="center"/>
                              </w:pPr>
                            </w:p>
                          </w:txbxContent>
                        </wps:txbx>
                        <wps:bodyPr anchor="ctr" anchorCtr="0" upright="1"/>
                      </wps:wsp>
                    </wpg:wgp>
                  </a:graphicData>
                </a:graphic>
              </wp:anchor>
            </w:drawing>
          </mc:Choice>
          <mc:Fallback>
            <w:pict>
              <v:group id="_x0000_s1026" o:spid="_x0000_s1026" o:spt="203" style="position:absolute;left:0pt;margin-left:518.1pt;margin-top:35.8pt;height:41.25pt;width:243.2pt;mso-position-vertical-relative:page;z-index:437319680;mso-width-relative:page;mso-height-relative:page;" coordsize="8546,1398" o:gfxdata="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QOD1wdoAAAAMAQAADwAAAAAAAAABACAAAAAiAAAAZHJzL2Rvd25yZXYueG1sUEsBAhQAFAAA&#10;AAgAh07iQM/LQFuYAgAAvAYAAA4AAAAAAAAAAQAgAAAAKQEAAGRycy9lMm9Eb2MueG1sUEsFBgAA&#10;AAAGAAYAWQEAADMGAAAAAA==&#10;">
                <o:lock v:ext="edit" aspectratio="f"/>
                <v:rect id="_x0000_s1026" o:spid="_x0000_s1026" o:spt="1" style="position:absolute;left:0;top:0;height:1175;width:8546;v-text-anchor:middle;" fillcolor="#D9D9D9" filled="t" stroked="f" coordsize="21600,21600" o:gfxdata="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q1zk68AAAA&#10;2wAAAA8AAAAAAAAAAQAgAAAAIgAAAGRycy9kb3ducmV2LnhtbFBLAQIUABQAAAAIAIdO4kAzLwWe&#10;OwAAADkAAAAQAAAAAAAAAAEAIAAAAAsBAABkcnMvc2hhcGV4bWwueG1sUEsFBgAAAAAGAAYAWwEA&#10;ALUDA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p>
                      <w:p>
                        <w:pPr>
                          <w:jc w:val="center"/>
                        </w:pPr>
                      </w:p>
                    </w:txbxContent>
                  </v:textbox>
                </v:rect>
                <w10:anchorlock/>
              </v:group>
            </w:pict>
          </mc:Fallback>
        </mc:AlternateContent>
      </w:r>
      <w:r>
        <w:rPr>
          <w:rFonts w:hint="eastAsia" w:ascii="仿宋" w:hAnsi="仿宋" w:eastAsia="仿宋" w:cs="仿宋"/>
          <w:color w:val="000000"/>
          <w:kern w:val="0"/>
          <w:sz w:val="32"/>
          <w:szCs w:val="32"/>
        </w:rPr>
        <w:t>情况表</w:t>
      </w:r>
      <w:r>
        <w:rPr>
          <w:rFonts w:hint="eastAsia" w:ascii="仿宋" w:hAnsi="仿宋" w:eastAsia="仿宋" w:cs="仿宋"/>
          <w:sz w:val="32"/>
          <w:szCs w:val="32"/>
        </w:rPr>
        <w:t>无收支及结转结余情况，故</w:t>
      </w:r>
      <w:r>
        <w:rPr>
          <w:rFonts w:hint="eastAsia" w:ascii="仿宋" w:hAnsi="仿宋" w:eastAsia="仿宋" w:cs="仿宋"/>
          <w:color w:val="000000"/>
          <w:kern w:val="0"/>
          <w:sz w:val="32"/>
          <w:szCs w:val="32"/>
        </w:rPr>
        <w:t>一般公共预算财政拨款“</w:t>
      </w:r>
      <w:r>
        <w:rPr>
          <w:rFonts w:hint="eastAsia" w:ascii="仿宋" w:hAnsi="仿宋" w:eastAsia="仿宋" w:cs="仿宋"/>
          <w:sz w:val="32"/>
          <w:szCs w:val="32"/>
        </w:rPr>
        <mc:AlternateContent>
          <mc:Choice Requires="wpg">
            <w:drawing>
              <wp:anchor distT="0" distB="0" distL="114300" distR="114300" simplePos="0" relativeHeight="437320704" behindDoc="0" locked="1" layoutInCell="1" allowOverlap="1">
                <wp:simplePos x="0" y="0"/>
                <wp:positionH relativeFrom="column">
                  <wp:posOffset>6552565</wp:posOffset>
                </wp:positionH>
                <wp:positionV relativeFrom="page">
                  <wp:posOffset>469265</wp:posOffset>
                </wp:positionV>
                <wp:extent cx="3088640" cy="523875"/>
                <wp:effectExtent l="3175" t="0" r="13335" b="28575"/>
                <wp:wrapNone/>
                <wp:docPr id="61" name="组合 61"/>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59" name="矩形 59"/>
                        <wps:cNvSpPr/>
                        <wps:spPr>
                          <a:xfrm>
                            <a:off x="0" y="0"/>
                            <a:ext cx="8546" cy="1175"/>
                          </a:xfrm>
                          <a:prstGeom prst="rect">
                            <a:avLst/>
                          </a:prstGeom>
                          <a:solidFill>
                            <a:srgbClr val="D9D9D9"/>
                          </a:solidFill>
                          <a:ln>
                            <a:noFill/>
                          </a:ln>
                        </wps:spPr>
                        <wps:bodyPr anchor="ctr" anchorCtr="0" upright="1"/>
                      </wps:wsp>
                      <wps:wsp>
                        <wps:cNvPr id="60" name="矩形 60"/>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jc w:val="center"/>
                              </w:pPr>
                            </w:p>
                          </w:txbxContent>
                        </wps:txbx>
                        <wps:bodyPr anchor="ctr" anchorCtr="0" upright="1"/>
                      </wps:wsp>
                    </wpg:wgp>
                  </a:graphicData>
                </a:graphic>
              </wp:anchor>
            </w:drawing>
          </mc:Choice>
          <mc:Fallback>
            <w:pict>
              <v:group id="_x0000_s1026" o:spid="_x0000_s1026" o:spt="203" style="position:absolute;left:0pt;margin-left:515.95pt;margin-top:36.95pt;height:41.25pt;width:243.2pt;mso-position-vertical-relative:page;z-index:437320704;mso-width-relative:page;mso-height-relative:page;" coordsize="8546,1398" o:gfxdata="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NAaYC/aAAAADAEAAA8AAAAAAAAAAQAgAAAAIgAAAGRycy9kb3ducmV2LnhtbFBLAQIUABQA&#10;AAAIAIdO4kAxi7FWmQIAALwGAAAOAAAAAAAAAAEAIAAAACkBAABkcnMvZTJvRG9jLnhtbFBLBQYA&#10;AAAABgAGAFkBAAA0BgAAAAA=&#10;">
                <o:lock v:ext="edit" aspectratio="f"/>
                <v:rect id="_x0000_s1026" o:spid="_x0000_s1026" o:spt="1" style="position:absolute;left:0;top:0;height:1175;width:8546;v-text-anchor:middle;" fillcolor="#D9D9D9" filled="t" stroked="f" coordsize="21600,21600" o:gfxdata="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Klo8vQAA&#10;ANsAAAAPAAAAAAAAAAEAIAAAACIAAABkcnMvZG93bnJldi54bWxQSwECFAAUAAAACACHTuJAMy8F&#10;njsAAAA5AAAAEAAAAAAAAAABACAAAAAMAQAAZHJzL3NoYXBleG1sLnhtbFBLBQYAAAAABgAGAFsB&#10;AAC2Aw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joinstyle="miter"/>
                  <v:imagedata o:title=""/>
                  <o:lock v:ext="edit" aspectratio="f"/>
                  <v:textbox>
                    <w:txbxContent>
                      <w:p>
                        <w:pPr>
                          <w:jc w:val="center"/>
                        </w:pPr>
                      </w:p>
                    </w:txbxContent>
                  </v:textbox>
                </v:rect>
                <w10:anchorlock/>
              </v:group>
            </w:pict>
          </mc:Fallback>
        </mc:AlternateContent>
      </w:r>
      <w:r>
        <w:rPr>
          <w:rFonts w:hint="eastAsia" w:ascii="仿宋" w:hAnsi="仿宋" w:eastAsia="仿宋" w:cs="仿宋"/>
          <w:color w:val="000000"/>
          <w:kern w:val="0"/>
          <w:sz w:val="32"/>
          <w:szCs w:val="32"/>
        </w:rPr>
        <w:t>三公”经费支出决算表</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政府性基金预算财政拨款</w:t>
      </w:r>
      <w:r>
        <w:rPr>
          <w:rFonts w:hint="eastAsia" w:ascii="仿宋" w:hAnsi="仿宋" w:eastAsia="仿宋" w:cs="仿宋"/>
          <w:sz w:val="32"/>
          <w:szCs w:val="32"/>
        </w:rPr>
        <mc:AlternateContent>
          <mc:Choice Requires="wpg">
            <w:drawing>
              <wp:anchor distT="0" distB="0" distL="114300" distR="114300" simplePos="0" relativeHeight="437321728" behindDoc="0" locked="1" layoutInCell="1" allowOverlap="1">
                <wp:simplePos x="0" y="0"/>
                <wp:positionH relativeFrom="column">
                  <wp:posOffset>6530975</wp:posOffset>
                </wp:positionH>
                <wp:positionV relativeFrom="page">
                  <wp:posOffset>415925</wp:posOffset>
                </wp:positionV>
                <wp:extent cx="3088640" cy="523875"/>
                <wp:effectExtent l="3175" t="0" r="13335" b="28575"/>
                <wp:wrapNone/>
                <wp:docPr id="64" name="组合 64"/>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62" name="矩形 62"/>
                        <wps:cNvSpPr/>
                        <wps:spPr>
                          <a:xfrm>
                            <a:off x="0" y="0"/>
                            <a:ext cx="8546" cy="1175"/>
                          </a:xfrm>
                          <a:prstGeom prst="rect">
                            <a:avLst/>
                          </a:prstGeom>
                          <a:solidFill>
                            <a:srgbClr val="D9D9D9"/>
                          </a:solidFill>
                          <a:ln>
                            <a:noFill/>
                          </a:ln>
                        </wps:spPr>
                        <wps:bodyPr anchor="ctr" anchorCtr="0" upright="1"/>
                      </wps:wsp>
                      <wps:wsp>
                        <wps:cNvPr id="63" name="矩形 63"/>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jc w:val="center"/>
                              </w:pPr>
                            </w:p>
                          </w:txbxContent>
                        </wps:txbx>
                        <wps:bodyPr anchor="ctr" anchorCtr="0" upright="1"/>
                      </wps:wsp>
                    </wpg:wgp>
                  </a:graphicData>
                </a:graphic>
              </wp:anchor>
            </w:drawing>
          </mc:Choice>
          <mc:Fallback>
            <w:pict>
              <v:group id="_x0000_s1026" o:spid="_x0000_s1026" o:spt="203" style="position:absolute;left:0pt;margin-left:514.25pt;margin-top:32.75pt;height:41.25pt;width:243.2pt;mso-position-vertical-relative:page;z-index:437321728;mso-width-relative:page;mso-height-relative:page;" coordsize="8546,1398" o:gfxdata="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">
                <o:lock v:ext="edit" aspectratio="f"/>
                <v:rect id="_x0000_s1026" o:spid="_x0000_s1026" o:spt="1" style="position:absolute;left:0;top:0;height:1175;width:8546;v-text-anchor:middle;" fillcolor="#D9D9D9" filled="t" stroked="f" coordsize="21600,21600" o:gfxdata="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4gLwvQAA&#10;ANsAAAAPAAAAAAAAAAEAIAAAACIAAABkcnMvZG93bnJldi54bWxQSwECFAAUAAAACACHTuJAMy8F&#10;njsAAAA5AAAAEAAAAAAAAAABACAAAAAMAQAAZHJzL3NoYXBleG1sLnhtbFBLBQYAAAAABgAGAFsB&#10;AAC2Aw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jc w:val="center"/>
                        </w:pPr>
                      </w:p>
                    </w:txbxContent>
                  </v:textbox>
                </v:rect>
                <w10:anchorlock/>
              </v:group>
            </w:pict>
          </mc:Fallback>
        </mc:AlternateContent>
      </w:r>
      <w:r>
        <w:rPr>
          <w:rFonts w:hint="eastAsia" w:ascii="仿宋" w:hAnsi="仿宋" w:eastAsia="仿宋" w:cs="仿宋"/>
          <w:color w:val="000000"/>
          <w:kern w:val="0"/>
          <w:sz w:val="32"/>
          <w:szCs w:val="32"/>
        </w:rPr>
        <w:t>收入支出决算表</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国有资本经营预算财政拨</w:t>
      </w:r>
      <w:r>
        <w:rPr>
          <w:rFonts w:hint="eastAsia" w:ascii="仿宋" w:hAnsi="仿宋" w:eastAsia="仿宋" w:cs="仿宋"/>
          <w:sz w:val="32"/>
          <w:szCs w:val="32"/>
        </w:rPr>
        <mc:AlternateContent>
          <mc:Choice Requires="wpg">
            <w:drawing>
              <wp:anchor distT="0" distB="0" distL="114300" distR="114300" simplePos="0" relativeHeight="437322752" behindDoc="0" locked="1" layoutInCell="1" allowOverlap="1">
                <wp:simplePos x="0" y="0"/>
                <wp:positionH relativeFrom="column">
                  <wp:posOffset>6552565</wp:posOffset>
                </wp:positionH>
                <wp:positionV relativeFrom="page">
                  <wp:posOffset>416560</wp:posOffset>
                </wp:positionV>
                <wp:extent cx="3088640" cy="523875"/>
                <wp:effectExtent l="3175" t="0" r="13335" b="28575"/>
                <wp:wrapNone/>
                <wp:docPr id="67" name="组合 67"/>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65" name="矩形 65"/>
                        <wps:cNvSpPr/>
                        <wps:spPr>
                          <a:xfrm>
                            <a:off x="0" y="0"/>
                            <a:ext cx="8546" cy="1175"/>
                          </a:xfrm>
                          <a:prstGeom prst="rect">
                            <a:avLst/>
                          </a:prstGeom>
                          <a:solidFill>
                            <a:srgbClr val="D9D9D9"/>
                          </a:solidFill>
                          <a:ln>
                            <a:noFill/>
                          </a:ln>
                        </wps:spPr>
                        <wps:bodyPr anchor="ctr" anchorCtr="0" upright="1"/>
                      </wps:wsp>
                      <wps:wsp>
                        <wps:cNvPr id="66" name="矩形 66"/>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p>
                            <w:p>
                              <w:pPr>
                                <w:jc w:val="center"/>
                              </w:pPr>
                            </w:p>
                          </w:txbxContent>
                        </wps:txbx>
                        <wps:bodyPr anchor="ctr" anchorCtr="0" upright="1"/>
                      </wps:wsp>
                    </wpg:wgp>
                  </a:graphicData>
                </a:graphic>
              </wp:anchor>
            </w:drawing>
          </mc:Choice>
          <mc:Fallback>
            <w:pict>
              <v:group id="_x0000_s1026" o:spid="_x0000_s1026" o:spt="203" style="position:absolute;left:0pt;margin-left:515.95pt;margin-top:32.8pt;height:41.25pt;width:243.2pt;mso-position-vertical-relative:page;z-index:437322752;mso-width-relative:page;mso-height-relative:page;" coordsize="8546,1398" o:gfxdata="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">
                <o:lock v:ext="edit" aspectratio="f"/>
                <v:rect id="_x0000_s1026" o:spid="_x0000_s1026" o:spt="1" style="position:absolute;left:0;top:0;height:1175;width:8546;v-text-anchor:middle;" fillcolor="#D9D9D9" filled="t" stroked="f" coordsize="21600,21600" o:gfxdata="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QLmoS8AAAA&#10;2wAAAA8AAAAAAAAAAQAgAAAAIgAAAGRycy9kb3ducmV2LnhtbFBLAQIUABQAAAAIAIdO4kAzLwWe&#10;OwAAADkAAAAQAAAAAAAAAAEAIAAAAAsBAABkcnMvc2hhcGV4bWwueG1sUEsFBgAAAAAGAAYAWwEA&#10;ALUDA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3Ea+j7sAAADb&#10;AAAADwAAAGRycy9kb3ducmV2LnhtbEWPzYvCMBTE78L+D+EJe7OJHmrpGgUFF4+uX3t9NM+22LyU&#10;JH7995sFweMw85thZouH7cSNfGgdaxhnCgRx5UzLtYbDfj0qQISIbLBzTBqeFGAx/xjMsDTuzj90&#10;28VapBIOJWpoYuxLKUPVkMWQuZ44eWfnLcYkfS2Nx3sqt52cKJVLiy2nhQZ7WjVUXXZXqyHfLleu&#10;2hffJ//bqq27rp/F9Kj153CsvkBEesR3+EVvTOJy+P+SfoCc/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Ea+j7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p>
                      <w:p>
                        <w:pPr>
                          <w:jc w:val="center"/>
                        </w:pPr>
                      </w:p>
                    </w:txbxContent>
                  </v:textbox>
                </v:rect>
                <w10:anchorlock/>
              </v:group>
            </w:pict>
          </mc:Fallback>
        </mc:AlternateContent>
      </w:r>
      <w:r>
        <w:rPr>
          <w:rFonts w:hint="eastAsia" w:ascii="仿宋" w:hAnsi="仿宋" w:eastAsia="仿宋" w:cs="仿宋"/>
          <w:color w:val="000000"/>
          <w:kern w:val="0"/>
          <w:sz w:val="32"/>
          <w:szCs w:val="32"/>
        </w:rPr>
        <w:t>款支出决算表</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政府采购</w:t>
      </w:r>
      <w:r>
        <w:rPr>
          <w:rFonts w:hint="eastAsia" w:ascii="仿宋" w:hAnsi="仿宋" w:eastAsia="仿宋" w:cs="仿宋"/>
          <w:sz w:val="32"/>
          <w:szCs w:val="32"/>
        </w:rPr>
        <mc:AlternateContent>
          <mc:Choice Requires="wpg">
            <w:drawing>
              <wp:anchor distT="0" distB="0" distL="114300" distR="114300" simplePos="0" relativeHeight="437323776" behindDoc="0" locked="1" layoutInCell="1" allowOverlap="1">
                <wp:simplePos x="0" y="0"/>
                <wp:positionH relativeFrom="column">
                  <wp:posOffset>6700520</wp:posOffset>
                </wp:positionH>
                <wp:positionV relativeFrom="page">
                  <wp:posOffset>352425</wp:posOffset>
                </wp:positionV>
                <wp:extent cx="3088640" cy="523875"/>
                <wp:effectExtent l="3175" t="0" r="13335" b="28575"/>
                <wp:wrapNone/>
                <wp:docPr id="70" name="组合 70"/>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68" name="矩形 68"/>
                        <wps:cNvSpPr/>
                        <wps:spPr>
                          <a:xfrm>
                            <a:off x="0" y="0"/>
                            <a:ext cx="8546" cy="1175"/>
                          </a:xfrm>
                          <a:prstGeom prst="rect">
                            <a:avLst/>
                          </a:prstGeom>
                          <a:solidFill>
                            <a:srgbClr val="D9D9D9"/>
                          </a:solidFill>
                          <a:ln>
                            <a:noFill/>
                          </a:ln>
                        </wps:spPr>
                        <wps:bodyPr anchor="ctr" anchorCtr="0" upright="1"/>
                      </wps:wsp>
                      <wps:wsp>
                        <wps:cNvPr id="69" name="矩形 69"/>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jc w:val="center"/>
                              </w:pPr>
                            </w:p>
                          </w:txbxContent>
                        </wps:txbx>
                        <wps:bodyPr anchor="ctr" anchorCtr="0" upright="1"/>
                      </wps:wsp>
                    </wpg:wgp>
                  </a:graphicData>
                </a:graphic>
              </wp:anchor>
            </w:drawing>
          </mc:Choice>
          <mc:Fallback>
            <w:pict>
              <v:group id="_x0000_s1026" o:spid="_x0000_s1026" o:spt="203" style="position:absolute;left:0pt;margin-left:527.6pt;margin-top:27.75pt;height:41.25pt;width:243.2pt;mso-position-vertical-relative:page;z-index:437323776;mso-width-relative:page;mso-height-relative:page;" coordsize="8546,1398" o:gfxdata="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QwQ8ANoAAAAMAQAADwAAAAAAAAABACAAAAAiAAAAZHJzL2Rvd25yZXYueG1sUEsBAhQA&#10;FAAAAAgAh07iQH23pASbAgAAvAYAAA4AAAAAAAAAAQAgAAAAKQEAAGRycy9lMm9Eb2MueG1sUEsF&#10;BgAAAAAGAAYAWQEAADYGAAAAAA==&#10;">
                <o:lock v:ext="edit" aspectratio="f"/>
                <v:rect id="_x0000_s1026" o:spid="_x0000_s1026" o:spt="1" style="position:absolute;left:0;top:0;height:1175;width:8546;v-text-anchor:middle;" fillcolor="#D9D9D9" filled="t" stroked="f" coordsize="21600,21600" o:gfxdata="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KCjUaugAAANsA&#10;AAAPAAAAAAAAAAEAIAAAACIAAABkcnMvZG93bnJldi54bWxQSwECFAAUAAAACACHTuJAMy8FnjsA&#10;AAA5AAAAEAAAAAAAAAABACAAAAAJAQAAZHJzL3NoYXBleG1sLnhtbFBLBQYAAAAABgAGAFsBAACz&#10;Aw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rdkq/bwAAADb&#10;AAAADwAAAGRycy9kb3ducmV2LnhtbEWPQWvCQBSE7wX/w/KE3uquHtI0dRUUlB6tWr0+sq9JMPs2&#10;7K6J+ffdQqHHYeabYZbrh21FTz40jjXMZwoEcelMw5WG82n3koMIEdlg65g0jBRgvZo8LbEwbuBP&#10;6o+xEqmEQ4Ea6hi7QspQ1mQxzFxHnLxv5y3GJH0ljcchldtWLpTKpMWG00KNHW1rKm/Hu9WQHTZb&#10;V57y/cVfG3Vw992Yv35p/Tydq3cQkR7xP/xHf5jEvcHvl/QD5O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3ZKv28AAAA&#10;2wAAAA8AAAAAAAAAAQAgAAAAIgAAAGRycy9kb3ducmV2LnhtbFBLAQIUABQAAAAIAIdO4kAzLwWe&#10;OwAAADkAAAAQAAAAAAAAAAEAIAAAAAsBAABkcnMvc2hhcGV4bWwueG1sUEsFBgAAAAAGAAYAWwEA&#10;ALUDAAAAAA==&#10;">
                  <v:fill on="t" focussize="0,0"/>
                  <v:stroke weight="2pt" color="#B0761F" joinstyle="miter"/>
                  <v:imagedata o:title=""/>
                  <o:lock v:ext="edit" aspectratio="f"/>
                  <v:textbox>
                    <w:txbxContent>
                      <w:p>
                        <w:pPr>
                          <w:jc w:val="center"/>
                        </w:pPr>
                      </w:p>
                    </w:txbxContent>
                  </v:textbox>
                </v:rect>
                <w10:anchorlock/>
              </v:group>
            </w:pict>
          </mc:Fallback>
        </mc:AlternateContent>
      </w:r>
      <w:r>
        <w:rPr>
          <w:rFonts w:hint="eastAsia" w:ascii="仿宋" w:hAnsi="仿宋" w:eastAsia="仿宋" w:cs="仿宋"/>
          <w:color w:val="000000"/>
          <w:kern w:val="0"/>
          <w:sz w:val="32"/>
          <w:szCs w:val="32"/>
        </w:rPr>
        <w:t>情况表</w:t>
      </w:r>
      <w:r>
        <w:rPr>
          <w:rFonts w:hint="eastAsia" w:ascii="仿宋" w:hAnsi="仿宋" w:eastAsia="仿宋" w:cs="仿宋"/>
          <w:sz w:val="32"/>
          <w:szCs w:val="32"/>
        </w:rPr>
        <w:t>表以空表列示。</w:t>
      </w:r>
      <w:bookmarkStart w:id="0" w:name="_GoBack"/>
      <w:bookmarkEnd w:id="0"/>
    </w:p>
    <w:p>
      <w:pPr>
        <w:adjustRightInd w:val="0"/>
        <w:snapToGrid w:val="0"/>
        <w:spacing w:after="0" w:afterLines="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afterLines="0"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cols w:space="720" w:num="1"/>
          <w:docGrid w:type="lines" w:linePitch="312" w:charSpace="0"/>
        </w:sect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rPr>
          <w:rFonts w:ascii="黑体" w:hAnsi="黑体" w:eastAsia="黑体" w:cs="黑体"/>
          <w:sz w:val="56"/>
          <w:szCs w:val="72"/>
        </w:rPr>
        <w:sectPr>
          <w:headerReference r:id="rId22" w:type="first"/>
          <w:footerReference r:id="rId24" w:type="first"/>
          <w:headerReference r:id="rId21" w:type="default"/>
          <w:footerReference r:id="rId23"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32"/>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5"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0"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0"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7"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691"/>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石家庄市藁城区街道办事处</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617.55</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567.55</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50.00</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617.55</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617.55</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ind w:firstLine="220" w:firstLineChars="100"/>
              <w:jc w:val="both"/>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ind w:firstLine="220" w:firstLineChars="100"/>
              <w:jc w:val="both"/>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617.55</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617.55</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Ind w:w="0" w:type="dxa"/>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Layout w:type="fixed"/>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庄市藁城区街道</w:t>
            </w: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办事处</w:t>
            </w: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617.55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617.55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Ind w:w="0" w:type="dxa"/>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eastAsiaTheme="minorEastAsia"/>
                <w:color w:val="000000"/>
                <w:sz w:val="20"/>
                <w:szCs w:val="20"/>
                <w:lang w:eastAsia="zh-CN"/>
              </w:rPr>
            </w:pPr>
            <w:r>
              <w:rPr>
                <w:rFonts w:hint="eastAsia" w:ascii="Arial" w:hAnsi="Arial" w:cs="Arial"/>
                <w:color w:val="000000"/>
                <w:sz w:val="20"/>
                <w:szCs w:val="20"/>
                <w:lang w:eastAsia="zh-CN"/>
              </w:rPr>
              <w:t>石家庄市藁城区街道办事处</w:t>
            </w: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617.55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106.88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510.67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106.88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460.67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106.88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460.67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106.88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460.67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979" w:type="dxa"/>
        <w:jc w:val="center"/>
        <w:tblInd w:w="0" w:type="dxa"/>
        <w:tblLayout w:type="fixed"/>
        <w:tblCellMar>
          <w:top w:w="0" w:type="dxa"/>
          <w:left w:w="0" w:type="dxa"/>
          <w:bottom w:w="0" w:type="dxa"/>
          <w:right w:w="0" w:type="dxa"/>
        </w:tblCellMar>
      </w:tblPr>
      <w:tblGrid>
        <w:gridCol w:w="3077"/>
        <w:gridCol w:w="270"/>
        <w:gridCol w:w="772"/>
        <w:gridCol w:w="2946"/>
        <w:gridCol w:w="507"/>
        <w:gridCol w:w="767"/>
        <w:gridCol w:w="855"/>
        <w:gridCol w:w="785"/>
      </w:tblGrid>
      <w:tr>
        <w:tblPrEx>
          <w:tblLayout w:type="fixed"/>
          <w:tblCellMar>
            <w:top w:w="0" w:type="dxa"/>
            <w:left w:w="0" w:type="dxa"/>
            <w:bottom w:w="0" w:type="dxa"/>
            <w:right w:w="0" w:type="dxa"/>
          </w:tblCellMar>
        </w:tblPrEx>
        <w:trPr>
          <w:trHeight w:val="406" w:hRule="atLeast"/>
          <w:jc w:val="center"/>
        </w:trPr>
        <w:tc>
          <w:tcPr>
            <w:tcW w:w="9979"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石家庄市藁城区街道办事处</w:t>
            </w:r>
          </w:p>
        </w:tc>
        <w:tc>
          <w:tcPr>
            <w:tcW w:w="2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411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860"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3077"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2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7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67"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307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7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9979"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Ind w:w="0" w:type="dxa"/>
        <w:tblLayout w:type="fixed"/>
        <w:tblCellMar>
          <w:top w:w="0" w:type="dxa"/>
          <w:left w:w="0" w:type="dxa"/>
          <w:bottom w:w="0" w:type="dxa"/>
          <w:right w:w="0" w:type="dxa"/>
        </w:tblCellMar>
      </w:tblPr>
      <w:tblGrid>
        <w:gridCol w:w="1174"/>
        <w:gridCol w:w="67"/>
        <w:gridCol w:w="67"/>
        <w:gridCol w:w="1695"/>
        <w:gridCol w:w="2329"/>
        <w:gridCol w:w="2329"/>
        <w:gridCol w:w="2329"/>
      </w:tblGrid>
      <w:tr>
        <w:tblPrEx>
          <w:tblLayout w:type="fixed"/>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石家庄市藁城区街道办事处</w:t>
            </w: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617.55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106.88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510.67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106.88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460.67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106.88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460.67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2010303</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机关服务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106.88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460.67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r>
    </w:tbl>
    <w:p>
      <w:r>
        <w:rPr>
          <w:rFonts w:hint="eastAsia"/>
        </w:rPr>
        <w:t>注：本表反映部门本年度一般公共预算财政拨款支出情况。</w:t>
      </w:r>
      <w:r>
        <w:br w:type="page"/>
      </w:r>
    </w:p>
    <w:tbl>
      <w:tblPr>
        <w:tblStyle w:val="6"/>
        <w:tblW w:w="102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gridCol w:w="200"/>
      </w:tblGrid>
      <w:tr>
        <w:tblPrEx>
          <w:tblLayout w:type="fixed"/>
          <w:tblCellMar>
            <w:top w:w="0" w:type="dxa"/>
            <w:left w:w="0" w:type="dxa"/>
            <w:bottom w:w="0" w:type="dxa"/>
            <w:right w:w="0" w:type="dxa"/>
          </w:tblCellMar>
        </w:tblPrEx>
        <w:trPr>
          <w:trHeight w:val="472" w:hRule="atLeast"/>
          <w:jc w:val="center"/>
        </w:trPr>
        <w:tc>
          <w:tcPr>
            <w:tcW w:w="1020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gridAfter w:val="1"/>
          <w:wAfter w:w="200" w:type="dxa"/>
          <w:trHeight w:val="287"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gridAfter w:val="1"/>
          <w:wAfter w:w="200" w:type="dxa"/>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石家庄市藁城区街道办事处</w:t>
            </w: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gridAfter w:val="1"/>
          <w:wAfter w:w="200" w:type="dxa"/>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gridAfter w:val="1"/>
          <w:wAfter w:w="200" w:type="dxa"/>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gridAfter w:val="1"/>
          <w:wAfter w:w="200" w:type="dxa"/>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96.74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9.15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14.23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0.60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26.72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1.81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10.37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1.63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4.26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6.89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0.19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11.12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23.78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0.99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0.99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0.58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0.59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97.73</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9.15</w:t>
            </w:r>
          </w:p>
        </w:tc>
      </w:tr>
    </w:tbl>
    <w:p>
      <w:r>
        <w:rPr>
          <w:rFonts w:hint="eastAsia"/>
        </w:rPr>
        <w:t>注：本表反映部门本年度一般公共预算财政拨款基本支出明细情况。</w:t>
      </w:r>
      <w:r>
        <w:br w:type="page"/>
      </w:r>
    </w:p>
    <w:tbl>
      <w:tblPr>
        <w:tblStyle w:val="6"/>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石家庄市藁城区街道办事处</w:t>
            </w: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本部门本年度无“三公”经费支出预决算情况，按要求以空表列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石家庄市藁城区街道办事处</w:t>
            </w: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注：本表反映部门本年度政府性基金预算财政拨款收入、支出及结转和结余情况。本部门本年度无收支及结转结余情况，按要求以空表列示。</w:t>
      </w:r>
      <w:r>
        <w:br w:type="page"/>
      </w:r>
    </w:p>
    <w:tbl>
      <w:tblPr>
        <w:tblStyle w:val="6"/>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石家庄市藁城区街道办事处</w:t>
            </w: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注：本表反映部门本年度国有资本经营预算财政拨款支出情况。本部门本年度无相关支出情况，按要求以空表列示。</w:t>
      </w:r>
      <w:r>
        <w:br w:type="page"/>
      </w:r>
    </w:p>
    <w:p>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9" w:type="first"/>
      <w:headerReference r:id="rId28" w:type="default"/>
      <w:footerReference r:id="rId30"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微软雅黑"/>
    <w:panose1 w:val="02010609030101010101"/>
    <w:charset w:val="86"/>
    <w:family w:val="modern"/>
    <w:pitch w:val="default"/>
    <w:sig w:usb0="00000000" w:usb1="00000000" w:usb2="00000000" w:usb3="00000000" w:csb0="00040000" w:csb1="00000000"/>
  </w:font>
  <w:font w:name="楷体_GB2312">
    <w:altName w:val="微软雅黑"/>
    <w:panose1 w:val="02010609030101010101"/>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宋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方正小标宋简体">
    <w:altName w:val="宋体"/>
    <w:panose1 w:val="02010601030101010101"/>
    <w:charset w:val="86"/>
    <w:family w:val="auto"/>
    <w:pitch w:val="default"/>
    <w:sig w:usb0="00000000" w:usb1="0000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楷体">
    <w:altName w:val="宋体"/>
    <w:panose1 w:val="02010609060101010101"/>
    <w:charset w:val="86"/>
    <w:family w:val="modern"/>
    <w:pitch w:val="default"/>
    <w:sig w:usb0="00000000" w:usb1="00000000"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Lao UI">
    <w:panose1 w:val="020B0502040204020203"/>
    <w:charset w:val="00"/>
    <w:family w:val="auto"/>
    <w:pitch w:val="default"/>
    <w:sig w:usb0="02000003" w:usb1="00000000" w:usb2="00000000" w:usb3="00000000" w:csb0="00000001" w:csb1="00000000"/>
  </w:font>
  <w:font w:name="Georgia">
    <w:panose1 w:val="02040502050405020303"/>
    <w:charset w:val="00"/>
    <w:family w:val="auto"/>
    <w:pitch w:val="default"/>
    <w:sig w:usb0="00000287" w:usb1="00000000" w:usb2="00000000" w:usb3="00000000" w:csb0="2000009F" w:csb1="00000000"/>
  </w:font>
  <w:font w:name="新宋体">
    <w:panose1 w:val="02010609030101010101"/>
    <w:charset w:val="86"/>
    <w:family w:val="auto"/>
    <w:pitch w:val="default"/>
    <w:sig w:usb0="00000003" w:usb1="288F0000" w:usb2="00000006" w:usb3="00000000" w:csb0="00040001" w:csb1="00000000"/>
  </w:font>
  <w:font w:name="仿宋">
    <w:altName w:val="微软雅黑"/>
    <w:panose1 w:val="00000000000000000000"/>
    <w:charset w:val="00"/>
    <w:family w:val="auto"/>
    <w:pitch w:val="default"/>
    <w:sig w:usb0="00000000" w:usb1="00000000" w:usb2="00000000" w:usb3="00000000" w:csb0="00000000"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1B5699"/>
    <w:multiLevelType w:val="singleLevel"/>
    <w:tmpl w:val="1B1B5699"/>
    <w:lvl w:ilvl="0" w:tentative="0">
      <w:start w:val="1"/>
      <w:numFmt w:val="decimal"/>
      <w:suff w:val="nothing"/>
      <w:lvlText w:val="（%1）"/>
      <w:lvlJc w:val="left"/>
      <w:pPr>
        <w:ind w:left="30"/>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472D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DD6069"/>
    <w:rsid w:val="05B00A30"/>
    <w:rsid w:val="088E7971"/>
    <w:rsid w:val="08FF28AC"/>
    <w:rsid w:val="0B011416"/>
    <w:rsid w:val="11A072FD"/>
    <w:rsid w:val="12F754B0"/>
    <w:rsid w:val="13D84440"/>
    <w:rsid w:val="1496165D"/>
    <w:rsid w:val="151B5EC1"/>
    <w:rsid w:val="1581568D"/>
    <w:rsid w:val="15C33E67"/>
    <w:rsid w:val="15DF4B5B"/>
    <w:rsid w:val="18AB7960"/>
    <w:rsid w:val="1A0C089B"/>
    <w:rsid w:val="1ADB0AFE"/>
    <w:rsid w:val="1B323ED2"/>
    <w:rsid w:val="1C930883"/>
    <w:rsid w:val="1D3644F6"/>
    <w:rsid w:val="1F1B2C63"/>
    <w:rsid w:val="20675DE4"/>
    <w:rsid w:val="238755D0"/>
    <w:rsid w:val="25C73CF6"/>
    <w:rsid w:val="27CC34DC"/>
    <w:rsid w:val="2FA94CCD"/>
    <w:rsid w:val="30EA433D"/>
    <w:rsid w:val="310935C0"/>
    <w:rsid w:val="319014EE"/>
    <w:rsid w:val="31C2036A"/>
    <w:rsid w:val="320D02A5"/>
    <w:rsid w:val="332C5B4B"/>
    <w:rsid w:val="33AA5496"/>
    <w:rsid w:val="348E566F"/>
    <w:rsid w:val="35013430"/>
    <w:rsid w:val="35487A99"/>
    <w:rsid w:val="39A66A72"/>
    <w:rsid w:val="3A226944"/>
    <w:rsid w:val="3AEE6A48"/>
    <w:rsid w:val="3C1620AA"/>
    <w:rsid w:val="3CDA4A40"/>
    <w:rsid w:val="3D8F080F"/>
    <w:rsid w:val="3DFB2B49"/>
    <w:rsid w:val="41287039"/>
    <w:rsid w:val="42166703"/>
    <w:rsid w:val="42AB4507"/>
    <w:rsid w:val="430C6BF1"/>
    <w:rsid w:val="44CE1FA4"/>
    <w:rsid w:val="45173B69"/>
    <w:rsid w:val="466F73A7"/>
    <w:rsid w:val="47202E71"/>
    <w:rsid w:val="473236AF"/>
    <w:rsid w:val="47B823FE"/>
    <w:rsid w:val="487F73ED"/>
    <w:rsid w:val="49714695"/>
    <w:rsid w:val="4A347EAE"/>
    <w:rsid w:val="4A6E1269"/>
    <w:rsid w:val="4AB07887"/>
    <w:rsid w:val="4D88033F"/>
    <w:rsid w:val="4DDB5794"/>
    <w:rsid w:val="4E2B0A07"/>
    <w:rsid w:val="4FA75F13"/>
    <w:rsid w:val="502C5103"/>
    <w:rsid w:val="524B1D75"/>
    <w:rsid w:val="52600405"/>
    <w:rsid w:val="529B4319"/>
    <w:rsid w:val="57773DD6"/>
    <w:rsid w:val="578B79AB"/>
    <w:rsid w:val="58B12485"/>
    <w:rsid w:val="5CCD3FD5"/>
    <w:rsid w:val="5DFF699A"/>
    <w:rsid w:val="5FAA319F"/>
    <w:rsid w:val="61FA5F9D"/>
    <w:rsid w:val="62451A43"/>
    <w:rsid w:val="6331736E"/>
    <w:rsid w:val="64CD6910"/>
    <w:rsid w:val="66320FF0"/>
    <w:rsid w:val="6789158D"/>
    <w:rsid w:val="67CD268D"/>
    <w:rsid w:val="67CF5DC0"/>
    <w:rsid w:val="67D81BA4"/>
    <w:rsid w:val="682C2F71"/>
    <w:rsid w:val="69816EE9"/>
    <w:rsid w:val="69ED55DA"/>
    <w:rsid w:val="6A271220"/>
    <w:rsid w:val="6A845BDE"/>
    <w:rsid w:val="6AAF1C96"/>
    <w:rsid w:val="6B1D7F73"/>
    <w:rsid w:val="6BAD5802"/>
    <w:rsid w:val="6E0D42A5"/>
    <w:rsid w:val="6E8739A4"/>
    <w:rsid w:val="6F04613C"/>
    <w:rsid w:val="6F1A685B"/>
    <w:rsid w:val="6F56334C"/>
    <w:rsid w:val="6F7F3444"/>
    <w:rsid w:val="71170FCD"/>
    <w:rsid w:val="716227B1"/>
    <w:rsid w:val="74B5269D"/>
    <w:rsid w:val="74FD18A9"/>
    <w:rsid w:val="75342294"/>
    <w:rsid w:val="75681757"/>
    <w:rsid w:val="75A346A8"/>
    <w:rsid w:val="762A35F0"/>
    <w:rsid w:val="78482C28"/>
    <w:rsid w:val="79B9382C"/>
    <w:rsid w:val="7B043B76"/>
    <w:rsid w:val="7BC929D8"/>
    <w:rsid w:val="7C041A6A"/>
    <w:rsid w:val="7CD66426"/>
    <w:rsid w:val="7DF072F1"/>
    <w:rsid w:val="7E327570"/>
    <w:rsid w:val="7E5A42F7"/>
    <w:rsid w:val="7F6E23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2" Type="http://schemas.openxmlformats.org/officeDocument/2006/relationships/fontTable" Target="fontTable.xml"/><Relationship Id="rId41" Type="http://schemas.openxmlformats.org/officeDocument/2006/relationships/customXml" Target="../customXml/item2.xml"/><Relationship Id="rId40" Type="http://schemas.openxmlformats.org/officeDocument/2006/relationships/numbering" Target="numbering.xml"/><Relationship Id="rId4" Type="http://schemas.openxmlformats.org/officeDocument/2006/relationships/header" Target="header2.xml"/><Relationship Id="rId39" Type="http://schemas.openxmlformats.org/officeDocument/2006/relationships/customXml" Target="../customXml/item1.xml"/><Relationship Id="rId38" Type="http://schemas.openxmlformats.org/officeDocument/2006/relationships/chart" Target="charts/chart5.xml"/><Relationship Id="rId37" Type="http://schemas.openxmlformats.org/officeDocument/2006/relationships/chart" Target="charts/chart4.xml"/><Relationship Id="rId36" Type="http://schemas.openxmlformats.org/officeDocument/2006/relationships/chart" Target="charts/chart3.xml"/><Relationship Id="rId35" Type="http://schemas.openxmlformats.org/officeDocument/2006/relationships/chart" Target="charts/chart2.xml"/><Relationship Id="rId34" Type="http://schemas.openxmlformats.org/officeDocument/2006/relationships/chart" Target="charts/chart1.xml"/><Relationship Id="rId33" Type="http://schemas.openxmlformats.org/officeDocument/2006/relationships/image" Target="media/image3.png"/><Relationship Id="rId32" Type="http://schemas.openxmlformats.org/officeDocument/2006/relationships/image" Target="media/image2.bmp"/><Relationship Id="rId31" Type="http://schemas.openxmlformats.org/officeDocument/2006/relationships/theme" Target="theme/theme1.xml"/><Relationship Id="rId30" Type="http://schemas.openxmlformats.org/officeDocument/2006/relationships/footer" Target="footer11.xml"/><Relationship Id="rId3" Type="http://schemas.openxmlformats.org/officeDocument/2006/relationships/header" Target="header1.xml"/><Relationship Id="rId29" Type="http://schemas.openxmlformats.org/officeDocument/2006/relationships/header" Target="header17.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4.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32;&#24314;%20Excel%202007.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6032;&#24314;%20Excel%202007.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ministrator\Desktop\&#26032;&#24314;%20Excel%202007.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Administrator\Desktop\&#26032;&#24314;%20Excel%202007.xlsx"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Administrator\Desktop\&#26032;&#24314;%20Excel%20200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2</a:t>
            </a:r>
            <a:r>
              <a:rPr altLang="en-US"/>
              <a:t>：支出构成情况（按支出性质）</a:t>
            </a:r>
            <a:endParaRPr altLang="en-US"/>
          </a:p>
        </c:rich>
      </c:tx>
      <c:layout>
        <c:manualLayout>
          <c:xMode val="edge"/>
          <c:yMode val="edge"/>
          <c:x val="0.203194444444444"/>
          <c:y val="0.861111111111111"/>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477777777777776"/>
          <c:y val="0.090046296296296"/>
          <c:w val="0.938888888888889"/>
          <c:h val="0.771990740740741"/>
        </c:manualLayout>
      </c:layout>
      <c:pie3DChart>
        <c:varyColors val="1"/>
        <c:ser>
          <c:idx val="0"/>
          <c:order val="0"/>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基本支出17</a:t>
                    </a:r>
                    <a:r>
                      <a:rPr lang="en-US" altLang="zh-CN"/>
                      <a:t>.3</a:t>
                    </a:r>
                    <a:r>
                      <a:t>%</a:t>
                    </a:r>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项目支出8</a:t>
                    </a:r>
                    <a:r>
                      <a:rPr lang="en-US" altLang="zh-CN"/>
                      <a:t>2.7</a:t>
                    </a:r>
                    <a:r>
                      <a:t>%</a:t>
                    </a:r>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Excel 2007.xlsx]Sheet1'!$A$4:$A$5</c:f>
              <c:strCache>
                <c:ptCount val="2"/>
                <c:pt idx="0">
                  <c:v>基本支出</c:v>
                </c:pt>
                <c:pt idx="1">
                  <c:v>项目支出</c:v>
                </c:pt>
              </c:strCache>
            </c:strRef>
          </c:cat>
          <c:val>
            <c:numRef>
              <c:f>'[新建 Excel 2007.xlsx]Sheet1'!$B$4:$B$5</c:f>
              <c:numCache>
                <c:formatCode>General</c:formatCode>
                <c:ptCount val="2"/>
                <c:pt idx="0">
                  <c:v>106.88</c:v>
                </c:pt>
                <c:pt idx="1">
                  <c:v>510.67</c:v>
                </c:pt>
              </c:numCache>
            </c:numRef>
          </c:val>
        </c:ser>
        <c:dLbls>
          <c:showLegendKey val="0"/>
          <c:showVal val="1"/>
          <c:showCatName val="0"/>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49444444444444"/>
          <c:y val="0.0949074074074074"/>
          <c:w val="0.780888888888889"/>
          <c:h val="0.83412037037037"/>
        </c:manualLayout>
      </c:layout>
      <c:barChart>
        <c:barDir val="col"/>
        <c:grouping val="clustered"/>
        <c:varyColors val="0"/>
        <c:ser>
          <c:idx val="0"/>
          <c:order val="0"/>
          <c:tx>
            <c:strRef>
              <c:f>'[新建 Excel 2007.xlsx]Sheet2'!$A$4</c:f>
              <c:strCache>
                <c:ptCount val="1"/>
                <c:pt idx="0">
                  <c:v>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Excel 2007.xlsx]Sheet2'!$B$3:$C$3</c:f>
              <c:strCache>
                <c:ptCount val="2"/>
                <c:pt idx="0">
                  <c:v>2018年</c:v>
                </c:pt>
                <c:pt idx="1">
                  <c:v>2019年</c:v>
                </c:pt>
              </c:strCache>
            </c:strRef>
          </c:cat>
          <c:val>
            <c:numRef>
              <c:f>'[新建 Excel 2007.xlsx]Sheet2'!$B$4:$C$4</c:f>
              <c:numCache>
                <c:formatCode>General</c:formatCode>
                <c:ptCount val="2"/>
                <c:pt idx="0">
                  <c:v>693.39</c:v>
                </c:pt>
                <c:pt idx="1">
                  <c:v>617.55</c:v>
                </c:pt>
              </c:numCache>
            </c:numRef>
          </c:val>
        </c:ser>
        <c:ser>
          <c:idx val="1"/>
          <c:order val="1"/>
          <c:tx>
            <c:strRef>
              <c:f>'[新建 Excel 2007.xlsx]Sheet2'!$A$5</c:f>
              <c:strCache>
                <c:ptCount val="1"/>
                <c:pt idx="0">
                  <c:v>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Excel 2007.xlsx]Sheet2'!$B$3:$C$3</c:f>
              <c:strCache>
                <c:ptCount val="2"/>
                <c:pt idx="0">
                  <c:v>2018年</c:v>
                </c:pt>
                <c:pt idx="1">
                  <c:v>2019年</c:v>
                </c:pt>
              </c:strCache>
            </c:strRef>
          </c:cat>
          <c:val>
            <c:numRef>
              <c:f>'[新建 Excel 2007.xlsx]Sheet2'!$B$5:$C$5</c:f>
              <c:numCache>
                <c:formatCode>General</c:formatCode>
                <c:ptCount val="2"/>
                <c:pt idx="0">
                  <c:v>701.57</c:v>
                </c:pt>
                <c:pt idx="1">
                  <c:v>617.55</c:v>
                </c:pt>
              </c:numCache>
            </c:numRef>
          </c:val>
        </c:ser>
        <c:dLbls>
          <c:showLegendKey val="0"/>
          <c:showVal val="1"/>
          <c:showCatName val="0"/>
          <c:showSerName val="0"/>
          <c:showPercent val="0"/>
          <c:showBubbleSize val="0"/>
        </c:dLbls>
        <c:gapWidth val="150"/>
        <c:overlap val="0"/>
        <c:axId val="106972259"/>
        <c:axId val="951895609"/>
      </c:barChart>
      <c:catAx>
        <c:axId val="10697225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51895609"/>
        <c:crosses val="autoZero"/>
        <c:auto val="1"/>
        <c:lblAlgn val="ctr"/>
        <c:lblOffset val="100"/>
        <c:noMultiLvlLbl val="0"/>
      </c:catAx>
      <c:valAx>
        <c:axId val="95189560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6972259"/>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'[新建 Excel 2007.xlsx]Sheet3'!$A$4</c:f>
              <c:strCache>
                <c:ptCount val="1"/>
                <c:pt idx="0">
                  <c:v>年初预算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Excel 2007.xlsx]Sheet3'!$B$3:$C$3</c:f>
              <c:strCache>
                <c:ptCount val="2"/>
                <c:pt idx="0">
                  <c:v>收入</c:v>
                </c:pt>
                <c:pt idx="1">
                  <c:v>支出</c:v>
                </c:pt>
              </c:strCache>
            </c:strRef>
          </c:cat>
          <c:val>
            <c:numRef>
              <c:f>'[新建 Excel 2007.xlsx]Sheet3'!$B$4:$C$4</c:f>
              <c:numCache>
                <c:formatCode>General</c:formatCode>
                <c:ptCount val="2"/>
                <c:pt idx="0">
                  <c:v>580.05</c:v>
                </c:pt>
                <c:pt idx="1">
                  <c:v>580.05</c:v>
                </c:pt>
              </c:numCache>
            </c:numRef>
          </c:val>
        </c:ser>
        <c:ser>
          <c:idx val="1"/>
          <c:order val="1"/>
          <c:tx>
            <c:strRef>
              <c:f>'[新建 Excel 2007.xlsx]Sheet3'!$A$5</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Excel 2007.xlsx]Sheet3'!$B$3:$C$3</c:f>
              <c:strCache>
                <c:ptCount val="2"/>
                <c:pt idx="0">
                  <c:v>收入</c:v>
                </c:pt>
                <c:pt idx="1">
                  <c:v>支出</c:v>
                </c:pt>
              </c:strCache>
            </c:strRef>
          </c:cat>
          <c:val>
            <c:numRef>
              <c:f>'[新建 Excel 2007.xlsx]Sheet3'!$B$5:$C$5</c:f>
              <c:numCache>
                <c:formatCode>General</c:formatCode>
                <c:ptCount val="2"/>
                <c:pt idx="0">
                  <c:v>617.55</c:v>
                </c:pt>
                <c:pt idx="1">
                  <c:v>617.55</c:v>
                </c:pt>
              </c:numCache>
            </c:numRef>
          </c:val>
        </c:ser>
        <c:dLbls>
          <c:showLegendKey val="0"/>
          <c:showVal val="1"/>
          <c:showCatName val="0"/>
          <c:showSerName val="0"/>
          <c:showPercent val="0"/>
          <c:showBubbleSize val="0"/>
        </c:dLbls>
        <c:gapWidth val="219"/>
        <c:overlap val="-27"/>
        <c:axId val="42845580"/>
        <c:axId val="185167515"/>
      </c:barChart>
      <c:catAx>
        <c:axId val="4284558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5167515"/>
        <c:crosses val="autoZero"/>
        <c:auto val="1"/>
        <c:lblAlgn val="ctr"/>
        <c:lblOffset val="100"/>
        <c:noMultiLvlLbl val="0"/>
      </c:catAx>
      <c:valAx>
        <c:axId val="1851675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2845580"/>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5</a:t>
            </a:r>
            <a:r>
              <a:rPr altLang="en-US"/>
              <a:t>：财政拨款支出决算结构（按功能分类）</a:t>
            </a:r>
            <a:endParaRPr altLang="en-US"/>
          </a:p>
        </c:rich>
      </c:tx>
      <c:layout>
        <c:manualLayout>
          <c:xMode val="edge"/>
          <c:yMode val="edge"/>
          <c:x val="0.12625"/>
          <c:y val="0.798611111111111"/>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26388888888889"/>
          <c:y val="0.0571759259259257"/>
          <c:w val="0.938888888888889"/>
          <c:h val="0.772685185185185"/>
        </c:manualLayout>
      </c:layout>
      <c:pie3DChart>
        <c:varyColors val="1"/>
        <c:ser>
          <c:idx val="0"/>
          <c:order val="0"/>
          <c:tx>
            <c:strRef>
              <c:f>'[新建 Excel 2007.xlsx]Sheet4'!$A$4</c:f>
              <c:strCache>
                <c:ptCount val="1"/>
                <c:pt idx="0">
                  <c:v>一般公共服务（类）支出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Lbls>
            <c:dLbl>
              <c:idx val="0"/>
              <c:layout>
                <c:manualLayout>
                  <c:x val="-1.66313708695674e-6"/>
                  <c:y val="-0.352823749007742"/>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一般公共服务（类）支出100%</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3175"/>
                      <c:h val="0.163888888888889"/>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'[新建 Excel 2007.xlsx]Sheet4'!$B$4</c:f>
              <c:numCache>
                <c:formatCode>General</c:formatCode>
                <c:ptCount val="1"/>
                <c:pt idx="0">
                  <c:v>617.55</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5</a:t>
            </a:r>
            <a:r>
              <a:rPr altLang="en-US"/>
              <a:t>：财政拨款支出决算结构（按功能分类）</a:t>
            </a:r>
            <a:endParaRPr altLang="en-US"/>
          </a:p>
        </c:rich>
      </c:tx>
      <c:layout>
        <c:manualLayout>
          <c:xMode val="edge"/>
          <c:yMode val="edge"/>
          <c:x val="0.12625"/>
          <c:y val="0.798611111111111"/>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26388888888889"/>
          <c:y val="0.103472222222222"/>
          <c:w val="0.938888888888889"/>
          <c:h val="0.772685185185185"/>
        </c:manualLayout>
      </c:layout>
      <c:pie3DChart>
        <c:varyColors val="1"/>
        <c:ser>
          <c:idx val="0"/>
          <c:order val="0"/>
          <c:tx>
            <c:strRef>
              <c:f>'[新建 Excel 2007.xlsx]Sheet4'!$A$4</c:f>
              <c:strCache>
                <c:ptCount val="1"/>
                <c:pt idx="0">
                  <c:v>一般公共服务（类）支出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Lbls>
            <c:dLbl>
              <c:idx val="0"/>
              <c:layout>
                <c:manualLayout>
                  <c:x val="-1.66313708695674e-6"/>
                  <c:y val="-0.352823749007742"/>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一般公共服务（类）支出100%</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3175"/>
                      <c:h val="0.163888888888889"/>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'[新建 Excel 2007.xlsx]Sheet4'!$B$4</c:f>
              <c:numCache>
                <c:formatCode>General</c:formatCode>
                <c:ptCount val="1"/>
                <c:pt idx="0">
                  <c:v>617.55</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2</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王俪</cp:lastModifiedBy>
  <cp:lastPrinted>2020-07-30T02:37:00Z</cp:lastPrinted>
  <dcterms:modified xsi:type="dcterms:W3CDTF">2021-05-21T06:22:11Z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