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even"/>
          <w:pgSz w:w="11906" w:h="16838"/>
          <w:pgMar w:top="0" w:right="0" w:bottom="0" w:left="0" w:header="851" w:footer="992" w:gutter="0"/>
          <w:cols w:space="425" w:num="1"/>
          <w:titlePg/>
          <w:docGrid w:type="lines" w:linePitch="312" w:charSpace="0"/>
        </w:sectPr>
      </w:pPr>
      <w:r>
        <w:pict>
          <v:group id="_x0000_s1026" o:spid="_x0000_s1026" o:spt="203" style="position:absolute;left:0pt;margin-left:0pt;margin-top:0pt;height:308.5pt;width:600.25pt;z-index:-251659264;mso-width-relative:page;mso-height-relative:page;" coordorigin="13622,283" coordsize="12005,6170">
            <o:lock v:ext="edit" aspectratio="f"/>
            <v:rect id="矩形 5" o:spid="_x0000_s1027" o:spt="1" style="position:absolute;left:13622;top:283;height:6170;width:12005;v-text-anchor:middle;" fillcolor="#FDBC11" filled="t" stroked="f" coordsize="21600,21600">
              <v:path/>
              <v:fill on="t" color2="#FFFFFF" focussize="0,0"/>
              <v:stroke on="f" weight="1pt"/>
              <v:imagedata o:title=""/>
              <o:lock v:ext="edit" aspectratio="f"/>
            </v:rect>
            <v:shape id="_x0000_s1028" o:spid="_x0000_s1028" o:spt="202" type="#_x0000_t202" style="position:absolute;left:17229;top:5021;height:1392;width:8083;" filled="f" stroked="f" coordsize="21600,21600">
              <v:path/>
              <v:fill on="f" focussize="0,0"/>
              <v:stroke on="f"/>
              <v:imagedata o:title=""/>
              <o:lock v:ext="edit" aspectratio="f"/>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shape>
          </v:group>
        </w:pict>
      </w:r>
      <w:r>
        <w:pict>
          <v:shape id="文本框 10" o:spid="_x0000_s1029" o:spt="202" type="#_x0000_t202" style="position:absolute;left:0pt;margin-left:106.25pt;margin-top:693.55pt;height:79.95pt;width:404.15pt;z-index:251654144;mso-width-relative:page;mso-height-relative:page;" filled="f" stroked="f" coordsize="21600,21600">
            <v:path/>
            <v:fill on="f" focussize="0,0"/>
            <v:stroke on="f" joinstyle="miter"/>
            <v:imagedata o:title=""/>
            <o:lock v:ext="edit"/>
            <v:textbox style="mso-fit-shape-to-text:t;">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二〇二〇年十月</w:t>
                  </w:r>
                </w:p>
              </w:txbxContent>
            </v:textbox>
          </v:shape>
        </w:pict>
      </w:r>
      <w:r>
        <w:pict>
          <v:shape id="椭圆 8" o:spid="_x0000_s1030" o:spt="3" type="#_x0000_t3" style="position:absolute;left:0pt;margin-left:53.5pt;margin-top:232.45pt;height:121.95pt;width:121.95pt;z-index:251651072;v-text-anchor:middle;mso-width-relative:page;mso-height-relative:page;" stroked="f" coordsize="21600,21600">
            <v:path/>
            <v:fill focussize="0,0"/>
            <v:stroke on="f" weight="1pt" joinstyle="miter"/>
            <v:imagedata o:title=""/>
            <o:lock v:ext="edit"/>
            <v:textbox>
              <w:txbxContent>
                <w:p>
                  <w:pPr>
                    <w:jc w:val="center"/>
                  </w:pPr>
                </w:p>
              </w:txbxContent>
            </v:textbox>
          </v:shape>
        </w:pict>
      </w:r>
      <w:r>
        <w:pict>
          <v:rect id="矩形 14" o:spid="_x0000_s1031" o:spt="1" style="position:absolute;left:0pt;margin-left:33.6pt;margin-top:256.75pt;height:69.6pt;width:160.65pt;z-index:251656192;mso-width-relative:page;mso-height-relative:page;" filled="f" stroked="f" coordsize="21600,21600">
            <v:path/>
            <v:fill on="f" focussize="0,0"/>
            <v:stroke on="f"/>
            <v:imagedata o:title=""/>
            <o:lock v:ext="edit"/>
            <v:textbox style="mso-fit-shape-to-text:t;">
              <w:txbxContent>
                <w:p>
                  <w:pPr>
                    <w:spacing w:line="360" w:lineRule="auto"/>
                    <w:jc w:val="center"/>
                    <w:rPr>
                      <w:kern w:val="0"/>
                      <w:sz w:val="28"/>
                      <w:szCs w:val="28"/>
                    </w:rPr>
                  </w:pPr>
                  <w:r>
                    <w:rPr>
                      <w:rFonts w:ascii="Yu Gothic UI Semibold" w:hAnsi="Yu Gothic UI Semibold" w:eastAsia="宋体"/>
                      <w:color w:val="FFFFFF"/>
                      <w:kern w:val="24"/>
                      <w:sz w:val="72"/>
                      <w:szCs w:val="72"/>
                    </w:rPr>
                    <w:t>2019</w:t>
                  </w:r>
                </w:p>
              </w:txbxContent>
            </v:textbox>
          </v:rect>
        </w:pict>
      </w:r>
      <w:r>
        <w:pict>
          <v:shape id="椭圆 9" o:spid="_x0000_s1032" o:spt="3" type="#_x0000_t3" style="position:absolute;left:0pt;margin-left:62.2pt;margin-top:242.75pt;height:103.45pt;width:103.45pt;z-index:251655168;v-text-anchor:middle;mso-width-relative:page;mso-height-relative:page;" fillcolor="#1F2959" filled="t" stroked="f" coordsize="21600,21600">
            <v:path/>
            <v:fill on="t" focussize="0,0"/>
            <v:stroke on="f" weight="1pt" joinstyle="miter"/>
            <v:imagedata o:title=""/>
            <o:lock v:ext="edit"/>
            <v:textbox>
              <w:txbxContent>
                <w:p>
                  <w:pPr>
                    <w:jc w:val="center"/>
                  </w:pPr>
                </w:p>
              </w:txbxContent>
            </v:textbox>
          </v:shape>
        </w:pict>
      </w:r>
      <w:r>
        <w:pict>
          <v:group id="_x0000_s1033" o:spid="_x0000_s1033" o:spt="203" style="position:absolute;left:0pt;margin-left:1.25pt;margin-top:821.7pt;height:21.45pt;width:595.25pt;z-index:251652096;mso-width-relative:page;mso-height-relative:page;" coordorigin="1483,16692" coordsize="11905,429">
            <o:lock v:ext="edit"/>
            <v:rect id="矩形 6" o:spid="_x0000_s1034" o:spt="1" style="position:absolute;left:1483;top:16692;height:428;width:1125;v-text-anchor:middle;" fillcolor="#FDBC11" filled="t" stroked="f" coordsize="21600,21600">
              <v:path/>
              <v:fill on="t" focussize="0,0"/>
              <v:stroke on="f" weight="1pt"/>
              <v:imagedata o:title=""/>
              <o:lock v:ext="edit"/>
            </v:rect>
            <v:rect id="矩形 7" o:spid="_x0000_s1035" o:spt="1" style="position:absolute;left:2608;top:16693;height:428;width:10780;v-text-anchor:middle;" fillcolor="#1F2959" filled="t" stroked="f" coordsize="21600,21600">
              <v:path/>
              <v:fill on="t" focussize="0,0"/>
              <v:stroke on="f" weight="1pt"/>
              <v:imagedata o:title=""/>
              <o:lock v:ext="edit"/>
            </v:rect>
          </v:group>
        </w:pict>
      </w:r>
      <w:r>
        <w:pict>
          <v:rect id="矩形 11" o:spid="_x0000_s1036" o:spt="1" style="position:absolute;left:0pt;margin-left:184.75pt;margin-top:286.6pt;height:31.25pt;width:339.65pt;mso-wrap-style:none;z-index:251653120;mso-width-relative:page;mso-height-relative:page;" filled="f" stroked="f" coordsize="21600,2160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sz w:val="48"/>
          <w:szCs w:val="48"/>
        </w:rPr>
      </w:pPr>
      <w:r>
        <w:rPr>
          <w:rFonts w:ascii="黑体" w:hAnsi="Times New Roman" w:eastAsia="黑体"/>
          <w:sz w:val="48"/>
          <w:szCs w:val="48"/>
        </w:rPr>
        <w:br w:type="page"/>
      </w:r>
    </w:p>
    <w:p>
      <w:pPr>
        <w:tabs>
          <w:tab w:val="left" w:pos="2728"/>
        </w:tabs>
        <w:rPr>
          <w:rFonts w:ascii="黑体" w:hAnsi="Times New Roman" w:eastAsia="黑体"/>
          <w:sz w:val="48"/>
          <w:szCs w:val="48"/>
        </w:rPr>
      </w:pPr>
      <w:r>
        <w:rPr>
          <w:rFonts w:ascii="黑体" w:hAnsi="Times New Roman" w:eastAsia="黑体"/>
          <w:sz w:val="48"/>
          <w:szCs w:val="48"/>
        </w:rPr>
        <w:tab/>
      </w:r>
    </w:p>
    <w:p>
      <w:pPr>
        <w:jc w:val="center"/>
        <w:rPr>
          <w:rFonts w:ascii="黑体" w:hAnsi="黑体" w:eastAsia="黑体" w:cs="黑体"/>
          <w:b/>
          <w:sz w:val="72"/>
          <w:szCs w:val="72"/>
        </w:rPr>
      </w:pPr>
      <w:r>
        <w:rPr>
          <w:rFonts w:hint="eastAsia" w:ascii="黑体" w:hAnsi="黑体" w:eastAsia="黑体" w:cs="黑体"/>
          <w:b/>
          <w:sz w:val="72"/>
          <w:szCs w:val="72"/>
        </w:rPr>
        <w:t>石家庄市藁城区红十字会</w:t>
      </w:r>
    </w:p>
    <w:p>
      <w:pPr>
        <w:rPr>
          <w:rFonts w:ascii="黑体" w:hAnsi="黑体" w:eastAsia="黑体" w:cs="黑体"/>
          <w:b/>
          <w:bCs/>
          <w:sz w:val="72"/>
          <w:szCs w:val="96"/>
        </w:rPr>
      </w:pPr>
      <w:r>
        <w:rPr>
          <w:rFonts w:ascii="黑体" w:hAnsi="黑体" w:eastAsia="黑体" w:cs="黑体"/>
          <w:b/>
          <w:bCs/>
          <w:sz w:val="72"/>
          <w:szCs w:val="96"/>
        </w:rPr>
        <w:t>2019</w:t>
      </w:r>
      <w:r>
        <w:rPr>
          <w:rFonts w:hint="eastAsia" w:ascii="黑体" w:hAnsi="黑体" w:eastAsia="黑体" w:cs="黑体"/>
          <w:b/>
          <w:bCs/>
          <w:sz w:val="72"/>
          <w:szCs w:val="96"/>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kern w:val="0"/>
          <w:sz w:val="44"/>
          <w:szCs w:val="44"/>
        </w:rPr>
        <w:sectPr>
          <w:headerReference r:id="rId5" w:type="first"/>
          <w:footerReference r:id="rId6" w:type="first"/>
          <w:headerReference r:id="rId4"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二〇二〇年十月</w:t>
      </w:r>
    </w:p>
    <w:p>
      <w:pPr>
        <w:widowControl/>
        <w:spacing w:line="600" w:lineRule="exact"/>
        <w:jc w:val="left"/>
        <w:rPr>
          <w:rFonts w:ascii="黑体" w:hAnsi="黑体" w:eastAsia="黑体" w:cs="黑体"/>
          <w:bCs/>
          <w:sz w:val="32"/>
          <w:szCs w:val="32"/>
          <w:highlight w:val="yellow"/>
        </w:rPr>
      </w:pPr>
    </w:p>
    <w:p>
      <w:pPr>
        <w:rPr>
          <w:rFonts w:ascii="黑体" w:hAnsi="Times New Roman" w:eastAsia="黑体"/>
          <w:sz w:val="48"/>
          <w:szCs w:val="48"/>
        </w:rPr>
      </w:pPr>
      <w:r>
        <w:rPr>
          <w:rFonts w:ascii="黑体" w:hAnsi="Times New Roman" w:eastAsia="黑体"/>
          <w:sz w:val="48"/>
          <w:szCs w:val="48"/>
        </w:rPr>
        <w:br w:type="page"/>
      </w:r>
    </w:p>
    <w:p>
      <w:pPr>
        <w:tabs>
          <w:tab w:val="left" w:pos="2728"/>
        </w:tabs>
        <w:jc w:val="center"/>
        <w:rPr>
          <w:rFonts w:ascii="黑体" w:hAnsi="Times New Roman" w:eastAsia="黑体"/>
          <w:sz w:val="48"/>
          <w:szCs w:val="48"/>
        </w:rPr>
      </w:pPr>
    </w:p>
    <w:p>
      <w:pPr>
        <w:tabs>
          <w:tab w:val="left" w:pos="2728"/>
        </w:tabs>
        <w:jc w:val="center"/>
        <w:rPr>
          <w:rFonts w:ascii="黑体" w:hAnsi="Times New Roman" w:eastAsia="黑体"/>
          <w:sz w:val="48"/>
          <w:szCs w:val="48"/>
        </w:rPr>
      </w:pPr>
      <w:r>
        <w:rPr>
          <w:rFonts w:hint="eastAsia" w:ascii="黑体" w:hAnsi="Times New Roman" w:eastAsia="黑体"/>
          <w:sz w:val="48"/>
          <w:szCs w:val="48"/>
        </w:rPr>
        <w:t>目</w:t>
      </w:r>
      <w:r>
        <w:rPr>
          <w:rFonts w:ascii="黑体" w:hAnsi="Times New Roman" w:eastAsia="黑体"/>
          <w:sz w:val="48"/>
          <w:szCs w:val="48"/>
        </w:rPr>
        <w:t xml:space="preserve">    </w:t>
      </w:r>
      <w:r>
        <w:rPr>
          <w:rFonts w:hint="eastAsia" w:ascii="黑体" w:hAnsi="Times New Roman" w:eastAsia="黑体"/>
          <w:sz w:val="48"/>
          <w:szCs w:val="48"/>
        </w:rPr>
        <w:t>录</w:t>
      </w:r>
    </w:p>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仿宋_GB2312"/>
          <w:sz w:val="24"/>
          <w:szCs w:val="32"/>
        </w:rPr>
      </w:pPr>
      <w:r>
        <w:rPr>
          <w:rFonts w:hint="eastAsia" w:ascii="Times New Roman" w:hAnsi="Times New Roman" w:eastAsia="黑体"/>
          <w:sz w:val="32"/>
          <w:szCs w:val="32"/>
        </w:rPr>
        <w:t>第一部分</w:t>
      </w:r>
      <w:r>
        <w:rPr>
          <w:rFonts w:ascii="Times New Roman" w:hAnsi="Times New Roman" w:eastAsia="黑体"/>
          <w:sz w:val="32"/>
          <w:szCs w:val="32"/>
        </w:rPr>
        <w:t xml:space="preserve">   </w:t>
      </w:r>
      <w:r>
        <w:rPr>
          <w:rFonts w:hint="eastAsia" w:ascii="Times New Roman" w:hAnsi="Times New Roman" w:eastAsia="黑体"/>
          <w:sz w:val="32"/>
          <w:szCs w:val="32"/>
        </w:rPr>
        <w:t>部门概况</w:t>
      </w:r>
    </w:p>
    <w:p>
      <w:pPr>
        <w:widowControl/>
        <w:spacing w:after="160" w:line="58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一、部门职责</w:t>
      </w:r>
    </w:p>
    <w:p>
      <w:pPr>
        <w:widowControl/>
        <w:spacing w:after="160" w:line="580" w:lineRule="exact"/>
        <w:ind w:firstLine="1273" w:firstLineChars="398"/>
        <w:rPr>
          <w:rFonts w:ascii="Times New Roman" w:hAnsi="Times New Roman" w:eastAsia="仿宋_GB2312"/>
          <w:sz w:val="32"/>
          <w:szCs w:val="32"/>
        </w:rPr>
      </w:pPr>
      <w:r>
        <w:rPr>
          <w:rFonts w:hint="eastAsia" w:ascii="Times New Roman" w:hAnsi="Times New Roman" w:eastAsia="仿宋_GB2312"/>
          <w:sz w:val="32"/>
          <w:szCs w:val="32"/>
        </w:rPr>
        <w:t>二、机构设置</w:t>
      </w:r>
    </w:p>
    <w:p>
      <w:pPr>
        <w:widowControl/>
        <w:spacing w:after="160"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第二部分</w:t>
      </w:r>
      <w:r>
        <w:rPr>
          <w:rFonts w:ascii="Times New Roman" w:hAnsi="Times New Roman" w:eastAsia="黑体"/>
          <w:sz w:val="32"/>
          <w:szCs w:val="32"/>
        </w:rPr>
        <w:t xml:space="preserve">   2019</w:t>
      </w:r>
      <w:r>
        <w:rPr>
          <w:rFonts w:hint="eastAsia" w:ascii="Times New Roman" w:hAnsi="Times New Roman" w:eastAsia="黑体"/>
          <w:sz w:val="32"/>
          <w:szCs w:val="32"/>
        </w:rPr>
        <w:t>年部门决算情况说明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二、收入决算情况说明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三、支出决算情况说明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五、一般公共预算</w:t>
      </w:r>
      <w:r>
        <w:rPr>
          <w:rFonts w:ascii="Times New Roman" w:hAnsi="Times New Roman" w:eastAsia="仿宋_GB2312"/>
          <w:sz w:val="32"/>
          <w:szCs w:val="32"/>
        </w:rPr>
        <w:t>“</w:t>
      </w:r>
      <w:r>
        <w:rPr>
          <w:rFonts w:hint="eastAsia" w:ascii="Times New Roman" w:hAnsi="Times New Roman" w:eastAsia="仿宋_GB2312"/>
          <w:sz w:val="32"/>
          <w:szCs w:val="32"/>
        </w:rPr>
        <w:t>三公</w:t>
      </w:r>
      <w:r>
        <w:rPr>
          <w:rFonts w:ascii="Times New Roman" w:hAnsi="Times New Roman" w:eastAsia="仿宋_GB2312"/>
          <w:sz w:val="32"/>
          <w:szCs w:val="32"/>
        </w:rPr>
        <w:t>”</w:t>
      </w:r>
      <w:r>
        <w:rPr>
          <w:rFonts w:hint="eastAsia" w:ascii="Times New Roman" w:hAnsi="Times New Roman" w:eastAsia="仿宋_GB2312"/>
          <w:sz w:val="32"/>
          <w:szCs w:val="32"/>
        </w:rPr>
        <w:t>经费支出决算情况说明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六、预算绩效情况说明</w:t>
      </w:r>
    </w:p>
    <w:p>
      <w:pPr>
        <w:widowControl/>
        <w:spacing w:after="160" w:line="580" w:lineRule="exact"/>
        <w:ind w:left="640" w:firstLine="640" w:firstLineChars="200"/>
        <w:rPr>
          <w:rFonts w:ascii="Times New Roman" w:hAnsi="Times New Roman" w:eastAsia="仿宋_GB2312"/>
          <w:sz w:val="32"/>
          <w:szCs w:val="32"/>
        </w:rPr>
      </w:pPr>
      <w:r>
        <w:rPr>
          <w:rFonts w:hint="eastAsia" w:ascii="Times New Roman" w:hAnsi="Times New Roman" w:eastAsia="仿宋_GB2312"/>
          <w:sz w:val="32"/>
          <w:szCs w:val="32"/>
        </w:rPr>
        <w:t>七、其他重要事项的说明</w:t>
      </w:r>
    </w:p>
    <w:p>
      <w:pPr>
        <w:widowControl/>
        <w:spacing w:after="160"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第三部分</w:t>
      </w:r>
      <w:r>
        <w:rPr>
          <w:rFonts w:ascii="Times New Roman" w:hAnsi="Times New Roman" w:eastAsia="黑体"/>
          <w:sz w:val="32"/>
          <w:szCs w:val="32"/>
        </w:rPr>
        <w:t xml:space="preserve">  </w:t>
      </w:r>
      <w:r>
        <w:rPr>
          <w:rFonts w:hint="eastAsia" w:ascii="Times New Roman" w:hAnsi="Times New Roman" w:eastAsia="黑体"/>
          <w:sz w:val="32"/>
          <w:szCs w:val="32"/>
        </w:rPr>
        <w:t>名词解释</w:t>
      </w:r>
    </w:p>
    <w:p>
      <w:pPr>
        <w:widowControl/>
        <w:spacing w:after="160" w:line="580" w:lineRule="exact"/>
        <w:ind w:firstLine="640" w:firstLineChars="200"/>
        <w:rPr>
          <w:rFonts w:ascii="Times New Roman" w:hAnsi="Times New Roman" w:eastAsia="仿宋_GB2312"/>
          <w:sz w:val="20"/>
          <w:szCs w:val="32"/>
        </w:rPr>
      </w:pPr>
      <w:r>
        <w:rPr>
          <w:rFonts w:hint="eastAsia" w:ascii="Times New Roman" w:hAnsi="Times New Roman" w:eastAsia="黑体"/>
          <w:sz w:val="32"/>
          <w:szCs w:val="32"/>
        </w:rPr>
        <w:t>第四部分</w:t>
      </w:r>
      <w:r>
        <w:rPr>
          <w:rFonts w:ascii="Times New Roman" w:hAnsi="Times New Roman" w:eastAsia="黑体"/>
          <w:sz w:val="32"/>
          <w:szCs w:val="32"/>
        </w:rPr>
        <w:t xml:space="preserve">  2019</w:t>
      </w:r>
      <w:r>
        <w:rPr>
          <w:rFonts w:hint="eastAsia" w:ascii="Times New Roman" w:hAnsi="Times New Roman" w:eastAsia="黑体"/>
          <w:sz w:val="32"/>
          <w:szCs w:val="32"/>
        </w:rPr>
        <w:t>年度部门决算报表</w:t>
      </w:r>
    </w:p>
    <w:p>
      <w:pPr>
        <w:widowControl/>
        <w:spacing w:after="160" w:line="580" w:lineRule="exact"/>
        <w:rPr>
          <w:rFonts w:ascii="Times New Roman" w:hAnsi="Times New Roman" w:eastAsia="黑体"/>
          <w:sz w:val="32"/>
          <w:szCs w:val="32"/>
        </w:rPr>
        <w:sectPr>
          <w:headerReference r:id="rId8" w:type="first"/>
          <w:footerReference r:id="rId10" w:type="first"/>
          <w:headerReference r:id="rId7" w:type="default"/>
          <w:footerReference r:id="rId9"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rPr>
          <w:rFonts w:eastAsia="黑体"/>
          <w:sz w:val="32"/>
          <w:szCs w:val="32"/>
        </w:rPr>
      </w:pPr>
    </w:p>
    <w:p>
      <w:r>
        <w:pict>
          <v:shape id="_x0000_s1037" o:spid="_x0000_s1037" o:spt="202" type="#_x0000_t202" style="position:absolute;left:0pt;margin-left:-85.7pt;margin-top:80.7pt;height:263.1pt;width:613.65pt;z-index:251658240;v-text-anchor:middle;mso-width-relative:page;mso-height-relative:page;" fillcolor="#FFD966" filled="t" stroked="t" coordsize="21600,21600">
            <v:path/>
            <v:fill type="pattern" on="t" focussize="0,0"/>
            <v:stroke weight="1pt" color="#FFD966" joinstyle="round"/>
            <v:imagedata o:title=""/>
            <o:lock v:ext="edit"/>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w:t>
                  </w:r>
                  <w:r>
                    <w:rPr>
                      <w:rFonts w:ascii="黑体" w:hAnsi="黑体" w:eastAsia="黑体" w:cs="黑体"/>
                      <w:color w:val="000000"/>
                      <w:sz w:val="96"/>
                      <w:szCs w:val="96"/>
                    </w:rPr>
                    <w:t xml:space="preserve">  </w:t>
                  </w:r>
                  <w:r>
                    <w:rPr>
                      <w:rFonts w:hint="eastAsia" w:ascii="黑体" w:hAnsi="黑体" w:eastAsia="黑体" w:cs="黑体"/>
                      <w:color w:val="000000"/>
                      <w:sz w:val="96"/>
                      <w:szCs w:val="96"/>
                    </w:rPr>
                    <w:t>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360" w:lineRule="auto"/>
        <w:ind w:firstLine="960" w:firstLineChars="300"/>
        <w:jc w:val="left"/>
        <w:rPr>
          <w:rFonts w:ascii="宋体"/>
          <w:sz w:val="32"/>
          <w:szCs w:val="32"/>
        </w:rPr>
      </w:pPr>
      <w:r>
        <w:rPr>
          <w:rFonts w:hint="eastAsia" w:ascii="宋体" w:hAnsi="宋体"/>
          <w:sz w:val="32"/>
          <w:szCs w:val="32"/>
        </w:rPr>
        <w:t>一、主要职责</w:t>
      </w:r>
    </w:p>
    <w:p>
      <w:pPr>
        <w:pStyle w:val="14"/>
        <w:snapToGrid w:val="0"/>
        <w:ind w:firstLine="640"/>
        <w:rPr>
          <w:rFonts w:ascii="??" w:hAnsi="??"/>
        </w:rPr>
      </w:pPr>
      <w:r>
        <w:rPr>
          <w:rFonts w:ascii="??" w:hAnsi="??"/>
        </w:rPr>
        <w:t>1</w:t>
      </w:r>
      <w:r>
        <w:rPr>
          <w:rFonts w:hint="eastAsia" w:ascii="??" w:hAnsi="??"/>
        </w:rPr>
        <w:t>、</w:t>
      </w:r>
      <w:r>
        <w:rPr>
          <w:rFonts w:hint="eastAsia" w:ascii="????_GBK" w:hAnsi="????_GBK"/>
        </w:rPr>
        <w:t>开展救护培训活动</w:t>
      </w:r>
    </w:p>
    <w:p>
      <w:pPr>
        <w:pStyle w:val="14"/>
        <w:snapToGrid w:val="0"/>
        <w:ind w:firstLine="640"/>
        <w:rPr>
          <w:rFonts w:ascii="??_GB2312" w:hAnsi="??_GB2312"/>
          <w:color w:val="000000"/>
          <w:shd w:val="clear" w:color="auto" w:fill="FFFFFF"/>
        </w:rPr>
      </w:pPr>
      <w:r>
        <w:rPr>
          <w:rFonts w:ascii="??" w:hAnsi="??"/>
        </w:rPr>
        <w:t>2</w:t>
      </w:r>
      <w:r>
        <w:rPr>
          <w:rFonts w:hint="eastAsia" w:ascii="??" w:hAnsi="??"/>
        </w:rPr>
        <w:t>、</w:t>
      </w:r>
      <w:r>
        <w:rPr>
          <w:rFonts w:hint="eastAsia"/>
        </w:rPr>
        <w:t>救助特困大病</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w:t>
      </w:r>
      <w:r>
        <w:rPr>
          <w:rFonts w:ascii="仿宋_GB2312" w:hAnsi="Calibri" w:eastAsia="仿宋_GB2312" w:cs="ArialUnicodeMS"/>
          <w:kern w:val="0"/>
          <w:sz w:val="32"/>
          <w:szCs w:val="32"/>
        </w:rPr>
        <w:t xml:space="preserve">2019 </w:t>
      </w:r>
      <w:r>
        <w:rPr>
          <w:rFonts w:hint="eastAsia" w:ascii="仿宋_GB2312" w:hAnsi="Calibri" w:eastAsia="仿宋_GB2312" w:cs="ArialUnicodeMS"/>
          <w:kern w:val="0"/>
          <w:sz w:val="32"/>
          <w:szCs w:val="32"/>
        </w:rPr>
        <w:t>年度本部门决算汇编范围的独立核算单位（以下简称“单位”）共</w:t>
      </w:r>
      <w:r>
        <w:rPr>
          <w:rFonts w:ascii="仿宋_GB2312" w:hAnsi="Calibri" w:eastAsia="仿宋_GB2312" w:cs="ArialUnicodeMS"/>
          <w:kern w:val="0"/>
          <w:sz w:val="32"/>
          <w:szCs w:val="32"/>
        </w:rPr>
        <w:t xml:space="preserve"> 1 </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石家庄市藁城区红十字会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黑体"/>
          <w:sz w:val="32"/>
          <w:szCs w:val="32"/>
        </w:rPr>
      </w:pPr>
    </w:p>
    <w:p>
      <w:pPr>
        <w:widowControl/>
        <w:spacing w:after="160" w:line="580" w:lineRule="exact"/>
        <w:ind w:firstLine="640" w:firstLineChars="200"/>
        <w:rPr>
          <w:rFonts w:ascii="Times New Roman" w:hAnsi="Times New Roman" w:eastAsia="黑体"/>
          <w:sz w:val="32"/>
          <w:szCs w:val="32"/>
        </w:rPr>
        <w:sectPr>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sz w:val="32"/>
          <w:szCs w:val="32"/>
        </w:rPr>
        <w:sectPr>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420" w:firstLineChars="200"/>
        <w:rPr>
          <w:rFonts w:ascii="Times New Roman" w:hAnsi="Times New Roman" w:eastAsia="黑体"/>
          <w:sz w:val="32"/>
          <w:szCs w:val="32"/>
        </w:rPr>
        <w:sectPr>
          <w:pgSz w:w="11906" w:h="16838"/>
          <w:pgMar w:top="2041" w:right="1531" w:bottom="2041" w:left="1531" w:header="851" w:footer="992" w:gutter="0"/>
          <w:pgNumType w:fmt="numberInDash"/>
          <w:cols w:space="0" w:num="1"/>
          <w:titlePg/>
          <w:docGrid w:type="lines" w:linePitch="312" w:charSpace="0"/>
        </w:sectPr>
      </w:pPr>
      <w:r>
        <w:pict>
          <v:shape id="_x0000_s1038" o:spid="_x0000_s1038" o:spt="202" type="#_x0000_t202" style="position:absolute;left:0pt;margin-left:-85.7pt;margin-top:238.15pt;height:173.25pt;width:613.65pt;z-index:251659264;mso-width-relative:page;mso-height-relative:page;" filled="f" stroked="f" coordsize="21600,21600">
            <v:path/>
            <v:fill on="f" focussize="0,0"/>
            <v:stroke on="f" weight="0.5pt" joinstyle="miter"/>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pict>
          <v:shape id="_x0000_s1039" o:spid="_x0000_s1039" o:spt="202" type="#_x0000_t202" style="position:absolute;left:0pt;margin-left:-90.8pt;margin-top:4.35pt;height:263.1pt;width:613.65pt;z-index:251660288;v-text-anchor:middle;mso-width-relative:page;mso-height-relative:page;" fillcolor="#FFD966" filled="t" stroked="t" coordsize="21600,21600">
            <v:path/>
            <v:fill type="pattern" on="t" focussize="0,0"/>
            <v:stroke weight="0.5pt" color="#FFD96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第二部分</w:t>
                  </w:r>
                  <w:r>
                    <w:rPr>
                      <w:rFonts w:ascii="黑体" w:hAnsi="黑体" w:eastAsia="黑体" w:cs="黑体"/>
                      <w:color w:val="000000"/>
                      <w:sz w:val="90"/>
                      <w:szCs w:val="90"/>
                    </w:rPr>
                    <w:t xml:space="preserve"> </w:t>
                  </w:r>
                </w:p>
                <w:p>
                  <w:pPr>
                    <w:widowControl/>
                    <w:jc w:val="center"/>
                    <w:rPr>
                      <w:rFonts w:ascii="黑体" w:hAnsi="黑体" w:eastAsia="黑体" w:cs="黑体"/>
                      <w:color w:val="000000"/>
                      <w:sz w:val="90"/>
                      <w:szCs w:val="90"/>
                    </w:rPr>
                  </w:pPr>
                  <w:r>
                    <w:rPr>
                      <w:rFonts w:ascii="黑体" w:hAnsi="黑体" w:eastAsia="黑体" w:cs="黑体"/>
                      <w:color w:val="000000"/>
                      <w:sz w:val="90"/>
                      <w:szCs w:val="90"/>
                    </w:rPr>
                    <w:t>2019</w:t>
                  </w:r>
                  <w:r>
                    <w:rPr>
                      <w:rFonts w:hint="eastAsia" w:ascii="黑体" w:hAnsi="黑体" w:eastAsia="黑体" w:cs="黑体"/>
                      <w:color w:val="000000"/>
                      <w:sz w:val="90"/>
                      <w:szCs w:val="90"/>
                    </w:rPr>
                    <w:t>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一、收入</w:t>
      </w:r>
      <w:r>
        <w:rPr>
          <w:rFonts w:hint="eastAsia" w:ascii="黑体" w:hAnsi="Cambria" w:eastAsia="黑体" w:cs="黑体"/>
          <w:kern w:val="0"/>
          <w:sz w:val="32"/>
          <w:szCs w:val="32"/>
        </w:rPr>
        <w:t>支出</w:t>
      </w:r>
      <w:r>
        <w:rPr>
          <w:rFonts w:hint="eastAsia" w:ascii="黑体" w:hAnsi="Calibri" w:eastAsia="黑体"/>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年度收支总计（含结转和结余）</w:t>
      </w:r>
      <w:r>
        <w:rPr>
          <w:rFonts w:ascii="仿宋_GB2312" w:hAnsi="Times New Roman" w:eastAsia="仿宋_GB2312" w:cs="DengXian-Regular"/>
          <w:sz w:val="32"/>
          <w:szCs w:val="32"/>
        </w:rPr>
        <w:t>62.35</w:t>
      </w:r>
      <w:r>
        <w:rPr>
          <w:rFonts w:hint="eastAsia" w:ascii="仿宋_GB2312" w:hAnsi="Times New Roman" w:eastAsia="仿宋_GB2312" w:cs="DengXian-Regular"/>
          <w:sz w:val="32"/>
          <w:szCs w:val="32"/>
        </w:rPr>
        <w:t>万元。与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年度决算相比，收支各增加</w:t>
      </w:r>
      <w:r>
        <w:rPr>
          <w:rFonts w:ascii="仿宋_GB2312" w:hAnsi="Times New Roman" w:eastAsia="仿宋_GB2312" w:cs="DengXian-Regular"/>
          <w:sz w:val="32"/>
          <w:szCs w:val="32"/>
        </w:rPr>
        <w:t>16.22</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26%</w:t>
      </w:r>
      <w:r>
        <w:rPr>
          <w:rFonts w:hint="eastAsia" w:ascii="仿宋_GB2312" w:hAnsi="Times New Roman" w:eastAsia="仿宋_GB2312" w:cs="DengXian-Regular"/>
          <w:sz w:val="32"/>
          <w:szCs w:val="32"/>
        </w:rPr>
        <w:t>，主要原因是增加一名工作人员，人员经费和日常公用经费增加。</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年度本年收入合计</w:t>
      </w:r>
      <w:r>
        <w:rPr>
          <w:rFonts w:ascii="仿宋_GB2312" w:hAnsi="Times New Roman" w:eastAsia="仿宋_GB2312" w:cs="DengXian-Regular"/>
          <w:sz w:val="32"/>
          <w:szCs w:val="32"/>
        </w:rPr>
        <w:t>62.35</w:t>
      </w:r>
      <w:r>
        <w:rPr>
          <w:rFonts w:hint="eastAsia" w:ascii="仿宋_GB2312" w:hAnsi="Times New Roman" w:eastAsia="仿宋_GB2312" w:cs="DengXian-Regular"/>
          <w:sz w:val="32"/>
          <w:szCs w:val="32"/>
        </w:rPr>
        <w:t>万元，其中：财政拨款收入</w:t>
      </w:r>
      <w:r>
        <w:rPr>
          <w:rFonts w:ascii="仿宋_GB2312" w:hAnsi="Times New Roman" w:eastAsia="仿宋_GB2312" w:cs="DengXian-Regular"/>
          <w:sz w:val="32"/>
          <w:szCs w:val="32"/>
        </w:rPr>
        <w:t>62.35</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；事业收入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；经营收入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；其他收入</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。如图所示</w:t>
      </w:r>
    </w:p>
    <w:p>
      <w:pPr>
        <w:pStyle w:val="14"/>
      </w:pPr>
      <w:r>
        <w:rPr>
          <w:rFonts w:hint="eastAsia"/>
        </w:rPr>
        <w:t>图</w:t>
      </w:r>
      <w:r>
        <w:t>1</w:t>
      </w:r>
      <w:r>
        <w:rPr>
          <w:rFonts w:hint="eastAsia"/>
        </w:rPr>
        <w:t>：收入决算结构饼状图</w:t>
      </w:r>
    </w:p>
    <w:p>
      <w:pPr>
        <w:pStyle w:val="14"/>
      </w:pPr>
      <w:r>
        <w:pict>
          <v:shape id="_x0000_i1025" o:spt="75" alt="未标题-1" type="#_x0000_t75" style="height:177pt;width:234pt;" filled="f" o:preferrelative="t" stroked="f" coordsize="21600,21600">
            <v:path/>
            <v:fill on="f" focussize="0,0"/>
            <v:stroke on="f" joinstyle="miter"/>
            <v:imagedata r:id="rId14" o:title=""/>
            <o:lock v:ext="edit" aspectratio="t"/>
            <w10:wrap type="none"/>
            <w10:anchorlock/>
          </v:shape>
        </w:pict>
      </w:r>
      <w:r>
        <w:pict>
          <v:group id="_x0000_s1040" o:spid="_x0000_s1040" o:spt="203" style="position:absolute;left:0pt;margin-left:73.8pt;margin-top:8.3pt;height:247.35pt;width:303.05pt;z-index:251664384;mso-width-relative:page;mso-height-relative:page;" coordorigin="68,1800" coordsize="51,32442">
            <o:lock v:ext="edit"/>
            <v:shape id="_x0000_s1041" o:spid="_x0000_s1041" o:spt="75" type="#_x0000_t75" style="position:absolute;left:68;top:1800;height:29;width:51;" filled="f" o:preferrelative="t" stroked="f" coordsize="21600,21600">
              <v:path/>
              <v:fill on="f" focussize="0,0"/>
              <v:stroke on="f" joinstyle="miter"/>
              <v:imagedata r:id="rId15" cropleft="2131f" croptop="1490f" cropright="1218f" cropbottom="5217f" o:title=""/>
              <o:lock v:ext="edit" aspectratio="t"/>
            </v:shape>
            <v:shape id="_x0000_s1042" o:spid="_x0000_s1042" o:spt="202" type="#_x0000_t202" style="position:absolute;left:76;top:1829;height:4;width:33;" stroked="f" coordsize="21600,2160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1</w:t>
                    </w:r>
                    <w:r>
                      <w:rPr>
                        <w:rFonts w:hint="eastAsia" w:ascii="仿宋_GB2312" w:eastAsia="仿宋_GB2312" w:cs="DengXian-Regular"/>
                        <w:sz w:val="28"/>
                        <w:szCs w:val="28"/>
                      </w:rPr>
                      <w:t>：收入构成情况</w:t>
                    </w:r>
                  </w:p>
                  <w:p>
                    <w:pPr>
                      <w:rPr>
                        <w:sz w:val="20"/>
                      </w:rPr>
                    </w:pPr>
                  </w:p>
                </w:txbxContent>
              </v:textbox>
            </v:shape>
          </v:group>
        </w:pic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年度本年支出合计</w:t>
      </w:r>
      <w:r>
        <w:rPr>
          <w:rFonts w:ascii="仿宋_GB2312" w:hAnsi="Times New Roman" w:eastAsia="仿宋_GB2312" w:cs="DengXian-Regular"/>
          <w:sz w:val="32"/>
          <w:szCs w:val="32"/>
        </w:rPr>
        <w:t>62.35</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62.35</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；项目支出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；经营支出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四、</w:t>
      </w:r>
      <w:r>
        <w:rPr>
          <w:rFonts w:hint="eastAsia" w:ascii="黑体" w:hAnsi="Cambria" w:eastAsia="黑体" w:cs="黑体"/>
          <w:kern w:val="0"/>
          <w:sz w:val="32"/>
          <w:szCs w:val="32"/>
        </w:rPr>
        <w:t>财政</w:t>
      </w:r>
      <w:r>
        <w:rPr>
          <w:rFonts w:hint="eastAsia" w:ascii="黑体" w:hAnsi="Calibri" w:eastAsia="黑体"/>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w:t>
      </w:r>
      <w:r>
        <w:rPr>
          <w:rFonts w:ascii="楷体_GB2312" w:hAnsi="Times New Roman" w:eastAsia="楷体_GB2312" w:cs="DengXian-Bold"/>
          <w:b/>
          <w:bCs/>
          <w:sz w:val="32"/>
          <w:szCs w:val="32"/>
        </w:rPr>
        <w:t xml:space="preserve">2018 </w:t>
      </w:r>
      <w:r>
        <w:rPr>
          <w:rFonts w:hint="eastAsia" w:ascii="楷体_GB2312" w:hAnsi="Times New Roman" w:eastAsia="楷体_GB2312" w:cs="DengXian-Bold"/>
          <w:b/>
          <w:bCs/>
          <w:sz w:val="32"/>
          <w:szCs w:val="32"/>
        </w:rPr>
        <w:t>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年度形成的财政拨款收支均为一般公共预算财政拨款，其中本年收入</w:t>
      </w:r>
      <w:r>
        <w:rPr>
          <w:rFonts w:ascii="仿宋_GB2312" w:hAnsi="Times New Roman" w:eastAsia="仿宋_GB2312" w:cs="DengXian-Regular"/>
          <w:sz w:val="32"/>
          <w:szCs w:val="32"/>
        </w:rPr>
        <w:t>62.35</w:t>
      </w:r>
      <w:r>
        <w:rPr>
          <w:rFonts w:hint="eastAsia" w:ascii="仿宋_GB2312" w:hAnsi="Times New Roman" w:eastAsia="仿宋_GB2312" w:cs="DengXian-Regular"/>
          <w:sz w:val="32"/>
          <w:szCs w:val="32"/>
        </w:rPr>
        <w:t>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年度增加</w:t>
      </w:r>
      <w:r>
        <w:rPr>
          <w:rFonts w:ascii="仿宋_GB2312" w:hAnsi="Times New Roman" w:eastAsia="仿宋_GB2312" w:cs="DengXian-Regular"/>
          <w:sz w:val="32"/>
          <w:szCs w:val="32"/>
        </w:rPr>
        <w:t>16.22</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26%</w:t>
      </w:r>
      <w:r>
        <w:rPr>
          <w:rFonts w:hint="eastAsia" w:ascii="仿宋_GB2312" w:hAnsi="Times New Roman" w:eastAsia="仿宋_GB2312" w:cs="DengXian-Regular"/>
          <w:sz w:val="32"/>
          <w:szCs w:val="32"/>
        </w:rPr>
        <w:t>，主要是增加一名工作人员，人员经费和日常公用经费增加；本年支出</w:t>
      </w:r>
      <w:r>
        <w:rPr>
          <w:rFonts w:ascii="仿宋_GB2312" w:hAnsi="Times New Roman" w:eastAsia="仿宋_GB2312" w:cs="DengXian-Regular"/>
          <w:sz w:val="32"/>
          <w:szCs w:val="32"/>
        </w:rPr>
        <w:t>62.3</w:t>
      </w:r>
      <w:r>
        <w:rPr>
          <w:rFonts w:hint="eastAsia" w:ascii="仿宋_GB2312" w:hAnsi="Times New Roman" w:eastAsia="仿宋_GB2312" w:cs="DengXian-Regular"/>
          <w:sz w:val="32"/>
          <w:szCs w:val="32"/>
        </w:rPr>
        <w:t>万元，增加</w:t>
      </w:r>
      <w:r>
        <w:rPr>
          <w:rFonts w:ascii="仿宋_GB2312" w:hAnsi="Times New Roman" w:eastAsia="仿宋_GB2312" w:cs="DengXian-Regular"/>
          <w:sz w:val="32"/>
          <w:szCs w:val="32"/>
        </w:rPr>
        <w:t>16.22</w:t>
      </w:r>
      <w:r>
        <w:rPr>
          <w:rFonts w:hint="eastAsia" w:ascii="仿宋_GB2312" w:hAnsi="Times New Roman" w:eastAsia="仿宋_GB2312" w:cs="DengXian-Regular"/>
          <w:sz w:val="32"/>
          <w:szCs w:val="32"/>
        </w:rPr>
        <w:t>万元，增长</w:t>
      </w:r>
      <w:bookmarkStart w:id="0" w:name="_GoBack"/>
      <w:bookmarkEnd w:id="0"/>
      <w:r>
        <w:rPr>
          <w:rFonts w:ascii="仿宋_GB2312" w:hAnsi="Times New Roman" w:eastAsia="仿宋_GB2312" w:cs="DengXian-Regular"/>
          <w:sz w:val="32"/>
          <w:szCs w:val="32"/>
        </w:rPr>
        <w:t>26%</w:t>
      </w:r>
      <w:r>
        <w:rPr>
          <w:rFonts w:hint="eastAsia" w:ascii="仿宋_GB2312" w:hAnsi="Times New Roman" w:eastAsia="仿宋_GB2312" w:cs="DengXian-Regular"/>
          <w:sz w:val="32"/>
          <w:szCs w:val="32"/>
        </w:rPr>
        <w:t>，主要是增加一名工作人员，人员经费和日常公用经费增加。</w:t>
      </w:r>
    </w:p>
    <w:tbl>
      <w:tblPr>
        <w:tblStyle w:val="6"/>
        <w:tblW w:w="7845" w:type="dxa"/>
        <w:tblInd w:w="0" w:type="dxa"/>
        <w:tblLayout w:type="fixed"/>
        <w:tblCellMar>
          <w:top w:w="15" w:type="dxa"/>
          <w:left w:w="15" w:type="dxa"/>
          <w:bottom w:w="15" w:type="dxa"/>
          <w:right w:w="15" w:type="dxa"/>
        </w:tblCellMar>
      </w:tblPr>
      <w:tblGrid>
        <w:gridCol w:w="7845"/>
      </w:tblGrid>
      <w:tr>
        <w:tblPrEx>
          <w:tblLayout w:type="fixed"/>
          <w:tblCellMar>
            <w:top w:w="15" w:type="dxa"/>
            <w:left w:w="15" w:type="dxa"/>
            <w:bottom w:w="15" w:type="dxa"/>
            <w:right w:w="15" w:type="dxa"/>
          </w:tblCellMar>
        </w:tblPrEx>
        <w:trPr>
          <w:trHeight w:val="285" w:hRule="atLeast"/>
        </w:trPr>
        <w:tc>
          <w:tcPr>
            <w:tcW w:w="7845" w:type="dxa"/>
            <w:vAlign w:val="center"/>
          </w:tcPr>
          <w:p>
            <w:pPr>
              <w:widowControl/>
              <w:jc w:val="left"/>
              <w:rPr>
                <w:rFonts w:ascii="宋体" w:hAnsi="宋体" w:eastAsia="宋体" w:cs="宋体"/>
                <w:color w:val="000000"/>
                <w:kern w:val="0"/>
                <w:sz w:val="24"/>
                <w:szCs w:val="24"/>
              </w:rPr>
            </w:pPr>
            <w:r>
              <w:rPr>
                <w:rFonts w:ascii="宋体" w:hAnsi="宋体" w:eastAsia="宋体" w:cs="宋体"/>
                <w:color w:val="000000"/>
                <w:kern w:val="0"/>
                <w:sz w:val="24"/>
                <w:szCs w:val="24"/>
              </w:rPr>
              <w:pict>
                <v:shape id="_x0000_i1026" o:spt="75" type="#_x0000_t75" style="height:180.75pt;width:390.75pt;" filled="f" o:preferrelative="t" stroked="f" coordsize="21600,21600">
                  <v:path/>
                  <v:fill on="f" focussize="0,0"/>
                  <v:stroke on="f" joinstyle="miter"/>
                  <v:imagedata r:id="rId16" r:href="rId17" o:title=""/>
                  <o:lock v:ext="edit" aspectratio="t"/>
                  <w10:wrap type="none"/>
                  <w10:anchorlock/>
                </v:shape>
              </w:pict>
            </w:r>
          </w:p>
        </w:tc>
      </w:tr>
    </w:tbl>
    <w:p>
      <w:pPr>
        <w:snapToGrid w:val="0"/>
        <w:spacing w:line="580" w:lineRule="exact"/>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年度一般公共预算财政拨款收入</w:t>
      </w:r>
      <w:r>
        <w:rPr>
          <w:rFonts w:ascii="仿宋_GB2312" w:hAnsi="Times New Roman" w:eastAsia="仿宋_GB2312" w:cs="DengXian-Regular"/>
          <w:sz w:val="32"/>
          <w:szCs w:val="32"/>
        </w:rPr>
        <w:t>62.35</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110%</w:t>
      </w:r>
      <w:r>
        <w:rPr>
          <w:rFonts w:hint="eastAsia" w:ascii="仿宋_GB2312" w:hAnsi="Times New Roman" w:eastAsia="仿宋_GB2312" w:cs="DengXian-Regular"/>
          <w:sz w:val="32"/>
          <w:szCs w:val="32"/>
        </w:rPr>
        <w:t>（如图</w:t>
      </w:r>
      <w:r>
        <w:rPr>
          <w:rFonts w:ascii="仿宋_GB2312" w:hAnsi="Times New Roman" w:eastAsia="仿宋_GB2312" w:cs="DengXian-Regular"/>
          <w:sz w:val="32"/>
          <w:szCs w:val="32"/>
        </w:rPr>
        <w:t>4</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6.14</w:t>
      </w:r>
      <w:r>
        <w:rPr>
          <w:rFonts w:hint="eastAsia" w:ascii="仿宋_GB2312" w:hAnsi="Times New Roman" w:eastAsia="仿宋_GB2312" w:cs="DengXian-Regular"/>
          <w:sz w:val="32"/>
          <w:szCs w:val="32"/>
        </w:rPr>
        <w:t>万元，决算数大于预算数主要原因是主要是增加一名工作人员，人员经费增加；本年支出</w:t>
      </w:r>
      <w:r>
        <w:rPr>
          <w:rFonts w:ascii="仿宋_GB2312" w:hAnsi="Times New Roman" w:eastAsia="仿宋_GB2312" w:cs="DengXian-Regular"/>
          <w:sz w:val="32"/>
          <w:szCs w:val="32"/>
        </w:rPr>
        <w:t>62.35</w:t>
      </w:r>
      <w:r>
        <w:rPr>
          <w:rFonts w:hint="eastAsia" w:ascii="仿宋_GB2312" w:hAnsi="Times New Roman" w:eastAsia="仿宋_GB2312" w:cs="DengXian-Regular"/>
          <w:sz w:val="32"/>
          <w:szCs w:val="32"/>
        </w:rPr>
        <w:t>万元，完成年初预算的</w:t>
      </w:r>
      <w:r>
        <w:rPr>
          <w:rFonts w:ascii="仿宋_GB2312" w:hAnsi="Times New Roman" w:eastAsia="仿宋_GB2312" w:cs="DengXian-Regular"/>
          <w:sz w:val="32"/>
          <w:szCs w:val="32"/>
        </w:rPr>
        <w:t>110%,</w:t>
      </w:r>
      <w:r>
        <w:rPr>
          <w:rFonts w:hint="eastAsia" w:ascii="仿宋_GB2312" w:hAnsi="Times New Roman" w:eastAsia="仿宋_GB2312" w:cs="DengXian-Regular"/>
          <w:sz w:val="32"/>
          <w:szCs w:val="32"/>
        </w:rPr>
        <w:t>比年初预算增加</w:t>
      </w:r>
      <w:r>
        <w:rPr>
          <w:rFonts w:ascii="仿宋_GB2312" w:hAnsi="Times New Roman" w:eastAsia="仿宋_GB2312" w:cs="DengXian-Regular"/>
          <w:sz w:val="32"/>
          <w:szCs w:val="32"/>
        </w:rPr>
        <w:t>6.14</w:t>
      </w:r>
      <w:r>
        <w:rPr>
          <w:rFonts w:hint="eastAsia" w:ascii="仿宋_GB2312" w:hAnsi="Times New Roman" w:eastAsia="仿宋_GB2312" w:cs="DengXian-Regular"/>
          <w:sz w:val="32"/>
          <w:szCs w:val="32"/>
        </w:rPr>
        <w:t>万元，决算数大于预算数主要原因是主要是主要是增加一名工作人员，人员经费增加。</w:t>
      </w:r>
    </w:p>
    <w:p>
      <w:pPr>
        <w:adjustRightInd w:val="0"/>
        <w:snapToGrid w:val="0"/>
        <w:spacing w:line="580" w:lineRule="exact"/>
        <w:rPr>
          <w:rFonts w:ascii="仿宋_GB2312" w:hAnsi="Times New Roman" w:eastAsia="仿宋_GB2312" w:cs="DengXian-Regular"/>
          <w:sz w:val="32"/>
          <w:szCs w:val="32"/>
          <w:highlight w:val="yellow"/>
        </w:rPr>
      </w:pPr>
    </w:p>
    <w:tbl>
      <w:tblPr>
        <w:tblStyle w:val="6"/>
        <w:tblW w:w="7834" w:type="dxa"/>
        <w:tblInd w:w="0" w:type="dxa"/>
        <w:tblLayout w:type="fixed"/>
        <w:tblCellMar>
          <w:top w:w="15" w:type="dxa"/>
          <w:left w:w="15" w:type="dxa"/>
          <w:bottom w:w="15" w:type="dxa"/>
          <w:right w:w="15" w:type="dxa"/>
        </w:tblCellMar>
      </w:tblPr>
      <w:tblGrid>
        <w:gridCol w:w="7834"/>
      </w:tblGrid>
      <w:tr>
        <w:tblPrEx>
          <w:tblLayout w:type="fixed"/>
          <w:tblCellMar>
            <w:top w:w="15" w:type="dxa"/>
            <w:left w:w="15" w:type="dxa"/>
            <w:bottom w:w="15" w:type="dxa"/>
            <w:right w:w="15" w:type="dxa"/>
          </w:tblCellMar>
        </w:tblPrEx>
        <w:trPr>
          <w:trHeight w:val="285" w:hRule="atLeast"/>
        </w:trPr>
        <w:tc>
          <w:tcPr>
            <w:tcW w:w="7834" w:type="dxa"/>
            <w:vAlign w:val="center"/>
          </w:tcPr>
          <w:p>
            <w:pPr>
              <w:widowControl/>
              <w:jc w:val="left"/>
              <w:rPr>
                <w:rFonts w:ascii="宋体" w:hAnsi="宋体" w:eastAsia="宋体" w:cs="宋体"/>
                <w:color w:val="000000"/>
                <w:kern w:val="0"/>
                <w:sz w:val="24"/>
                <w:szCs w:val="24"/>
              </w:rPr>
            </w:pPr>
            <w:r>
              <w:rPr>
                <w:rFonts w:ascii="宋体" w:hAnsi="宋体" w:eastAsia="宋体" w:cs="宋体"/>
                <w:color w:val="000000"/>
                <w:kern w:val="0"/>
                <w:sz w:val="24"/>
                <w:szCs w:val="24"/>
              </w:rPr>
              <w:pict>
                <v:shape id="_x0000_i1027" o:spt="75" type="#_x0000_t75" style="height:171pt;width:386.25pt;" filled="f" o:preferrelative="t" stroked="f" coordsize="21600,21600">
                  <v:path/>
                  <v:fill on="f" focussize="0,0"/>
                  <v:stroke on="f" joinstyle="miter"/>
                  <v:imagedata r:id="rId18" r:href="rId19" o:title=""/>
                  <o:lock v:ext="edit" aspectratio="t"/>
                  <w10:wrap type="none"/>
                  <w10:anchorlock/>
                </v:shape>
              </w:pict>
            </w:r>
          </w:p>
        </w:tc>
      </w:tr>
    </w:tbl>
    <w:p>
      <w:pPr>
        <w:adjustRightInd w:val="0"/>
        <w:snapToGrid w:val="0"/>
        <w:spacing w:line="580" w:lineRule="exact"/>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2019 </w:t>
      </w:r>
      <w:r>
        <w:rPr>
          <w:rFonts w:hint="eastAsia" w:ascii="仿宋_GB2312" w:hAnsi="Times New Roman" w:eastAsia="仿宋_GB2312" w:cs="DengXian-Regular"/>
          <w:sz w:val="32"/>
          <w:szCs w:val="32"/>
        </w:rPr>
        <w:t>年度财政拨款支出</w:t>
      </w:r>
      <w:r>
        <w:rPr>
          <w:rFonts w:ascii="仿宋_GB2312" w:hAnsi="Times New Roman" w:eastAsia="仿宋_GB2312" w:cs="DengXian-Regular"/>
          <w:sz w:val="32"/>
          <w:szCs w:val="32"/>
        </w:rPr>
        <w:t>62.35</w:t>
      </w:r>
      <w:r>
        <w:rPr>
          <w:rFonts w:hint="eastAsia" w:ascii="仿宋_GB2312" w:hAnsi="Times New Roman" w:eastAsia="仿宋_GB2312" w:cs="DengXian-Regular"/>
          <w:sz w:val="32"/>
          <w:szCs w:val="32"/>
        </w:rPr>
        <w:t>万元，主要用于以下方面：一般公共服务（类）支出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，；公共安全类（类）支出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；教育（类）支出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；科学技术（类）支出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 xml:space="preserve"> 0%</w:t>
      </w:r>
      <w:r>
        <w:rPr>
          <w:rFonts w:hint="eastAsia" w:ascii="仿宋_GB2312" w:hAnsi="Times New Roman" w:eastAsia="仿宋_GB2312" w:cs="DengXian-Regular"/>
          <w:sz w:val="32"/>
          <w:szCs w:val="32"/>
        </w:rPr>
        <w:t>；社会保障和就业（类）支出</w:t>
      </w:r>
      <w:r>
        <w:rPr>
          <w:rFonts w:ascii="仿宋_GB2312" w:hAnsi="Times New Roman" w:eastAsia="仿宋_GB2312" w:cs="DengXian-Regular"/>
          <w:sz w:val="32"/>
          <w:szCs w:val="32"/>
        </w:rPr>
        <w:t xml:space="preserve"> 62.35</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；住房保障（类）支出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 xml:space="preserve"> 0%</w:t>
      </w:r>
      <w:r>
        <w:rPr>
          <w:rFonts w:hint="eastAsia" w:ascii="仿宋_GB2312" w:hAnsi="Times New Roman" w:eastAsia="仿宋_GB2312" w:cs="DengXian-Regular"/>
          <w:sz w:val="32"/>
          <w:szCs w:val="32"/>
        </w:rPr>
        <w:t>。</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2019 </w:t>
      </w:r>
      <w:r>
        <w:rPr>
          <w:rFonts w:hint="eastAsia" w:ascii="仿宋_GB2312" w:hAnsi="Times New Roman" w:eastAsia="仿宋_GB2312" w:cs="DengXian-Regular"/>
          <w:sz w:val="32"/>
          <w:szCs w:val="32"/>
        </w:rPr>
        <w:t>年度财政拨款基本支出</w:t>
      </w:r>
      <w:r>
        <w:rPr>
          <w:rFonts w:ascii="仿宋_GB2312" w:hAnsi="Times New Roman" w:eastAsia="仿宋_GB2312" w:cs="DengXian-Regular"/>
          <w:sz w:val="32"/>
          <w:szCs w:val="32"/>
        </w:rPr>
        <w:t>62.35</w:t>
      </w:r>
      <w:r>
        <w:rPr>
          <w:rFonts w:hint="eastAsia" w:ascii="仿宋_GB2312" w:hAnsi="Times New Roman" w:eastAsia="仿宋_GB2312" w:cs="DengXian-Regular"/>
          <w:sz w:val="32"/>
          <w:szCs w:val="32"/>
        </w:rPr>
        <w:t>万元，其中：人员经费</w:t>
      </w:r>
      <w:r>
        <w:rPr>
          <w:rFonts w:ascii="仿宋_GB2312" w:hAnsi="Times New Roman" w:eastAsia="仿宋_GB2312" w:cs="DengXian-Regular"/>
          <w:sz w:val="32"/>
          <w:szCs w:val="32"/>
        </w:rPr>
        <w:t xml:space="preserve"> 55.86</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hAnsi="Times New Roman" w:eastAsia="仿宋_GB2312" w:cs="DengXian-Regular"/>
          <w:sz w:val="32"/>
          <w:szCs w:val="32"/>
        </w:rPr>
        <w:t xml:space="preserve"> 6.49</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五、一般公共预算“三公”</w:t>
      </w:r>
      <w:r>
        <w:rPr>
          <w:rFonts w:ascii="黑体" w:hAnsi="Calibri" w:eastAsia="黑体"/>
          <w:sz w:val="32"/>
          <w:szCs w:val="32"/>
        </w:rPr>
        <w:t xml:space="preserve"> </w:t>
      </w:r>
      <w:r>
        <w:rPr>
          <w:rFonts w:hint="eastAsia" w:ascii="黑体" w:hAnsi="Calibri" w:eastAsia="黑体"/>
          <w:sz w:val="32"/>
          <w:szCs w:val="32"/>
        </w:rPr>
        <w:t>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年度“三公”经费支出共计</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万元，与年初预算持平，主要是</w:t>
      </w:r>
      <w:r>
        <w:rPr>
          <w:rFonts w:hint="eastAsia" w:ascii="??" w:hAnsi="??"/>
          <w:sz w:val="28"/>
          <w:szCs w:val="28"/>
        </w:rPr>
        <w:t>单位无公车</w:t>
      </w:r>
      <w:r>
        <w:rPr>
          <w:rFonts w:hint="eastAsia" w:ascii="仿宋_GB2312" w:hAnsi="Times New Roman" w:eastAsia="仿宋_GB2312" w:cs="DengXian-Regular"/>
          <w:sz w:val="32"/>
          <w:szCs w:val="32"/>
        </w:rPr>
        <w:t>；与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年度决算支出持平，主要是</w:t>
      </w:r>
      <w:r>
        <w:rPr>
          <w:rFonts w:hint="eastAsia" w:ascii="??" w:hAnsi="??"/>
          <w:sz w:val="28"/>
          <w:szCs w:val="28"/>
        </w:rPr>
        <w:t>单位无公车</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年度因公出国（境）团组</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个、共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参加其他单位组织的因公出国（境）团组</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个、共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无本单位组织的出国（境）团组。</w:t>
      </w:r>
      <w:r>
        <w:rPr>
          <w:rFonts w:hint="eastAsia" w:ascii="仿宋_GB2312" w:eastAsia="仿宋_GB2312" w:cs="DengXian-Regular"/>
          <w:sz w:val="32"/>
          <w:szCs w:val="32"/>
        </w:rPr>
        <w:t>因公出国（境）费支出较年初预算持平</w:t>
      </w:r>
      <w:r>
        <w:rPr>
          <w:rFonts w:ascii="仿宋_GB2312" w:eastAsia="仿宋_GB2312" w:cs="DengXian-Regular"/>
          <w:sz w:val="32"/>
          <w:szCs w:val="32"/>
        </w:rPr>
        <w:t>,</w:t>
      </w:r>
      <w:r>
        <w:rPr>
          <w:rFonts w:hint="eastAsia" w:ascii="仿宋_GB2312" w:eastAsia="仿宋_GB2312" w:cs="DengXian-Regular"/>
          <w:sz w:val="32"/>
          <w:szCs w:val="32"/>
        </w:rPr>
        <w:t>主要是本单位无出国（境）支出</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年度公务用车购置及运行维护费与年初预算持平</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主要是</w:t>
      </w:r>
      <w:r>
        <w:rPr>
          <w:rFonts w:hint="eastAsia" w:ascii="??" w:hAnsi="??"/>
          <w:sz w:val="28"/>
          <w:szCs w:val="28"/>
        </w:rPr>
        <w:t>单位无公车</w:t>
      </w:r>
      <w:r>
        <w:rPr>
          <w:rFonts w:hint="eastAsia" w:ascii="仿宋_GB2312" w:hAnsi="Times New Roman" w:eastAsia="仿宋_GB2312" w:cs="DengXian-Regular"/>
          <w:sz w:val="32"/>
          <w:szCs w:val="32"/>
        </w:rPr>
        <w:t>；与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年度决算支出持平</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主要是</w:t>
      </w:r>
      <w:r>
        <w:rPr>
          <w:rFonts w:hint="eastAsia" w:ascii="??" w:hAnsi="??"/>
          <w:sz w:val="28"/>
          <w:szCs w:val="28"/>
        </w:rPr>
        <w:t>单位无公车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年度公务用车购置量</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辆，发生“公务用车购置”经费支出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万元。公务用车购置费支出与年初预算持平</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主要是</w:t>
      </w:r>
      <w:r>
        <w:rPr>
          <w:rFonts w:hint="eastAsia" w:ascii="??" w:hAnsi="??"/>
          <w:sz w:val="28"/>
          <w:szCs w:val="28"/>
        </w:rPr>
        <w:t>单位无公车</w:t>
      </w:r>
      <w:r>
        <w:rPr>
          <w:rFonts w:hint="eastAsia" w:ascii="仿宋_GB2312" w:hAnsi="Times New Roman" w:eastAsia="仿宋_GB2312" w:cs="DengXian-Regular"/>
          <w:sz w:val="32"/>
          <w:szCs w:val="32"/>
        </w:rPr>
        <w:t>；与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年度决算支出持平</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主要是</w:t>
      </w:r>
      <w:r>
        <w:rPr>
          <w:rFonts w:hint="eastAsia" w:ascii="??" w:hAnsi="??"/>
          <w:sz w:val="28"/>
          <w:szCs w:val="28"/>
        </w:rPr>
        <w:t>单位无公车</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年度单位公务用车保有量</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辆。公车运行维护费支出与年初预算持平</w:t>
      </w:r>
      <w:r>
        <w:rPr>
          <w:rFonts w:ascii="仿宋_GB2312" w:hAnsi="Times New Roman" w:eastAsia="仿宋_GB2312" w:cs="DengXian-Regular"/>
          <w:sz w:val="32"/>
          <w:szCs w:val="32"/>
        </w:rPr>
        <w:t xml:space="preserve">, </w:t>
      </w:r>
      <w:r>
        <w:rPr>
          <w:rFonts w:hint="eastAsia" w:ascii="仿宋_GB2312" w:hAnsi="Times New Roman" w:eastAsia="仿宋_GB2312" w:cs="DengXian-Regular"/>
          <w:sz w:val="32"/>
          <w:szCs w:val="32"/>
        </w:rPr>
        <w:t>主要是</w:t>
      </w:r>
      <w:r>
        <w:rPr>
          <w:rFonts w:hint="eastAsia" w:ascii="??" w:hAnsi="??"/>
          <w:sz w:val="28"/>
          <w:szCs w:val="28"/>
        </w:rPr>
        <w:t>单位无公车</w:t>
      </w:r>
      <w:r>
        <w:rPr>
          <w:rFonts w:hint="eastAsia" w:ascii="仿宋_GB2312" w:hAnsi="Times New Roman" w:eastAsia="仿宋_GB2312" w:cs="DengXian-Regular"/>
          <w:sz w:val="32"/>
          <w:szCs w:val="32"/>
        </w:rPr>
        <w:t>；与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年度决算支出持平</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主要是</w:t>
      </w:r>
      <w:r>
        <w:rPr>
          <w:rFonts w:hint="eastAsia" w:ascii="??" w:hAnsi="??"/>
          <w:sz w:val="28"/>
          <w:szCs w:val="28"/>
        </w:rPr>
        <w:t>单位无公车</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年度公务接待共</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批次、</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人次。公务接待费支出与年初预算持平</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无</w:t>
      </w:r>
      <w:r>
        <w:rPr>
          <w:rFonts w:hint="eastAsia" w:ascii="仿宋_GB2312" w:hAnsi="Times New Roman" w:eastAsia="仿宋_GB2312" w:cs="DengXian-Regular"/>
          <w:sz w:val="32"/>
          <w:szCs w:val="32"/>
        </w:rPr>
        <w:t>接待活动；与</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年度决算支出持平</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无</w:t>
      </w:r>
      <w:r>
        <w:rPr>
          <w:rFonts w:hint="eastAsia" w:ascii="仿宋_GB2312" w:hAnsi="Times New Roman" w:eastAsia="仿宋_GB2312" w:cs="DengXian-Regular"/>
          <w:sz w:val="32"/>
          <w:szCs w:val="32"/>
        </w:rPr>
        <w:t>接待活动。</w:t>
      </w:r>
    </w:p>
    <w:p>
      <w:pPr>
        <w:widowControl/>
        <w:snapToGrid w:val="0"/>
        <w:spacing w:line="580" w:lineRule="atLeast"/>
        <w:ind w:firstLine="640"/>
        <w:rPr>
          <w:rFonts w:ascii="黑体" w:hAnsi="黑体" w:eastAsia="黑体" w:cs="宋体"/>
          <w:kern w:val="0"/>
          <w:sz w:val="32"/>
          <w:szCs w:val="32"/>
        </w:rPr>
      </w:pPr>
      <w:r>
        <w:rPr>
          <w:rFonts w:hint="eastAsia" w:ascii="黑体" w:hAnsi="黑体" w:eastAsia="黑体" w:cs="宋体"/>
          <w:kern w:val="0"/>
          <w:sz w:val="32"/>
          <w:szCs w:val="32"/>
        </w:rPr>
        <w:t>六、预算绩效情况说明</w:t>
      </w:r>
    </w:p>
    <w:p>
      <w:pPr>
        <w:widowControl/>
        <w:snapToGrid w:val="0"/>
        <w:spacing w:line="580" w:lineRule="atLeast"/>
        <w:ind w:firstLine="640"/>
        <w:rPr>
          <w:rFonts w:ascii="仿宋_GB2312" w:hAnsi="宋体" w:eastAsia="仿宋_GB2312" w:cs="宋体"/>
          <w:kern w:val="0"/>
          <w:sz w:val="32"/>
          <w:szCs w:val="32"/>
        </w:rPr>
      </w:pPr>
      <w:r>
        <w:rPr>
          <w:rFonts w:ascii="仿宋_GB2312" w:hAnsi="宋体" w:eastAsia="仿宋_GB2312" w:cs="宋体"/>
          <w:kern w:val="0"/>
          <w:sz w:val="32"/>
          <w:szCs w:val="32"/>
        </w:rPr>
        <w:t xml:space="preserve">1. </w:t>
      </w:r>
      <w:r>
        <w:rPr>
          <w:rFonts w:hint="eastAsia" w:ascii="仿宋_GB2312" w:hAnsi="宋体" w:eastAsia="仿宋_GB2312" w:cs="宋体"/>
          <w:kern w:val="0"/>
          <w:sz w:val="32"/>
          <w:szCs w:val="32"/>
        </w:rPr>
        <w:t>预算绩效管理工作开展情况。</w:t>
      </w:r>
    </w:p>
    <w:p>
      <w:pPr>
        <w:widowControl/>
        <w:snapToGrid w:val="0"/>
        <w:spacing w:line="580" w:lineRule="atLeast"/>
        <w:ind w:firstLine="640"/>
        <w:rPr>
          <w:rFonts w:ascii="仿宋_GB2312" w:hAnsi="宋体" w:eastAsia="仿宋_GB2312" w:cs="宋体"/>
          <w:kern w:val="0"/>
          <w:sz w:val="32"/>
          <w:szCs w:val="32"/>
          <w:highlight w:val="yellow"/>
        </w:rPr>
      </w:pPr>
      <w:r>
        <w:rPr>
          <w:rFonts w:hint="eastAsia" w:ascii="仿宋_GB2312" w:hAnsi="宋体" w:eastAsia="仿宋_GB2312" w:cs="宋体"/>
          <w:kern w:val="0"/>
          <w:sz w:val="32"/>
          <w:szCs w:val="32"/>
        </w:rPr>
        <w:t>根据预算绩效管理要求，本部门组织对</w:t>
      </w:r>
      <w:r>
        <w:rPr>
          <w:rFonts w:ascii="仿宋_GB2312" w:hAnsi="宋体" w:eastAsia="仿宋_GB2312" w:cs="宋体"/>
          <w:kern w:val="0"/>
          <w:sz w:val="32"/>
          <w:szCs w:val="32"/>
        </w:rPr>
        <w:t>2019</w:t>
      </w:r>
      <w:r>
        <w:rPr>
          <w:rFonts w:hint="eastAsia" w:ascii="仿宋_GB2312" w:hAnsi="宋体" w:eastAsia="仿宋_GB2312" w:cs="宋体"/>
          <w:kern w:val="0"/>
          <w:sz w:val="32"/>
          <w:szCs w:val="32"/>
        </w:rPr>
        <w:t>年度一般公共预算项目支出全面开展绩效自评，其中，一级项目</w:t>
      </w:r>
      <w:r>
        <w:rPr>
          <w:rFonts w:ascii="仿宋_GB2312" w:hAnsi="宋体" w:eastAsia="仿宋_GB2312" w:cs="宋体"/>
          <w:kern w:val="0"/>
          <w:sz w:val="32"/>
          <w:szCs w:val="32"/>
        </w:rPr>
        <w:t>0</w:t>
      </w:r>
      <w:r>
        <w:rPr>
          <w:rFonts w:hint="eastAsia" w:ascii="仿宋_GB2312" w:hAnsi="宋体" w:eastAsia="仿宋_GB2312" w:cs="宋体"/>
          <w:kern w:val="0"/>
          <w:sz w:val="32"/>
          <w:szCs w:val="32"/>
        </w:rPr>
        <w:t>个，二级项目</w:t>
      </w:r>
      <w:r>
        <w:rPr>
          <w:rFonts w:ascii="仿宋_GB2312" w:hAnsi="宋体" w:eastAsia="仿宋_GB2312" w:cs="宋体"/>
          <w:kern w:val="0"/>
          <w:sz w:val="32"/>
          <w:szCs w:val="32"/>
        </w:rPr>
        <w:t>0</w:t>
      </w:r>
      <w:r>
        <w:rPr>
          <w:rFonts w:hint="eastAsia" w:ascii="仿宋_GB2312" w:hAnsi="宋体" w:eastAsia="仿宋_GB2312" w:cs="宋体"/>
          <w:kern w:val="0"/>
          <w:sz w:val="32"/>
          <w:szCs w:val="32"/>
        </w:rPr>
        <w:t>个，共涉及资金</w:t>
      </w:r>
      <w:r>
        <w:rPr>
          <w:rFonts w:ascii="仿宋_GB2312" w:hAnsi="宋体" w:eastAsia="仿宋_GB2312" w:cs="宋体"/>
          <w:kern w:val="0"/>
          <w:sz w:val="32"/>
          <w:szCs w:val="32"/>
        </w:rPr>
        <w:t>0</w:t>
      </w:r>
      <w:r>
        <w:rPr>
          <w:rFonts w:hint="eastAsia" w:ascii="仿宋_GB2312" w:hAnsi="宋体" w:eastAsia="仿宋_GB2312" w:cs="宋体"/>
          <w:kern w:val="0"/>
          <w:sz w:val="32"/>
          <w:szCs w:val="32"/>
        </w:rPr>
        <w:t>万元，占一般公共预算项目支出总额的</w:t>
      </w:r>
      <w:r>
        <w:rPr>
          <w:rFonts w:ascii="仿宋_GB2312" w:hAnsi="宋体" w:eastAsia="仿宋_GB2312" w:cs="宋体"/>
          <w:kern w:val="0"/>
          <w:sz w:val="32"/>
          <w:szCs w:val="32"/>
        </w:rPr>
        <w:t>0%</w:t>
      </w:r>
      <w:r>
        <w:rPr>
          <w:rFonts w:hint="eastAsia" w:ascii="仿宋_GB2312" w:hAnsi="宋体" w:eastAsia="仿宋_GB2312" w:cs="宋体"/>
          <w:kern w:val="0"/>
          <w:sz w:val="32"/>
          <w:szCs w:val="32"/>
        </w:rPr>
        <w:t>。</w:t>
      </w:r>
      <w:r>
        <w:rPr>
          <w:rFonts w:ascii="仿宋_GB2312" w:hAnsi="宋体" w:eastAsia="仿宋_GB2312" w:cs="宋体"/>
          <w:kern w:val="0"/>
          <w:sz w:val="32"/>
          <w:szCs w:val="32"/>
        </w:rPr>
        <w:t>2019</w:t>
      </w:r>
      <w:r>
        <w:rPr>
          <w:rFonts w:hint="eastAsia" w:ascii="仿宋_GB2312" w:hAnsi="宋体" w:eastAsia="仿宋_GB2312" w:cs="宋体"/>
          <w:kern w:val="0"/>
          <w:sz w:val="32"/>
          <w:szCs w:val="32"/>
        </w:rPr>
        <w:t>年度本单位无项目。</w:t>
      </w:r>
    </w:p>
    <w:p>
      <w:pPr>
        <w:widowControl/>
        <w:snapToGrid w:val="0"/>
        <w:spacing w:line="580" w:lineRule="atLeast"/>
        <w:ind w:left="420"/>
        <w:jc w:val="left"/>
        <w:rPr>
          <w:rFonts w:ascii="仿宋_GB2312" w:hAnsi="宋体" w:eastAsia="仿宋_GB2312" w:cs="宋体"/>
          <w:b/>
          <w:bCs/>
          <w:kern w:val="0"/>
          <w:sz w:val="32"/>
          <w:szCs w:val="32"/>
        </w:rPr>
      </w:pPr>
      <w:r>
        <w:rPr>
          <w:rFonts w:ascii="仿宋_GB2312" w:hAnsi="宋体" w:eastAsia="仿宋_GB2312" w:cs="宋体"/>
          <w:b/>
          <w:bCs/>
          <w:kern w:val="0"/>
          <w:sz w:val="32"/>
          <w:szCs w:val="32"/>
        </w:rPr>
        <w:t>2.</w:t>
      </w:r>
      <w:r>
        <w:rPr>
          <w:rFonts w:hint="eastAsia" w:ascii="仿宋_GB2312" w:hAnsi="宋体" w:eastAsia="仿宋_GB2312" w:cs="宋体"/>
          <w:b/>
          <w:bCs/>
          <w:kern w:val="0"/>
          <w:sz w:val="32"/>
          <w:szCs w:val="32"/>
        </w:rPr>
        <w:t>部门决算中项目绩效自评结果。</w:t>
      </w:r>
    </w:p>
    <w:p>
      <w:pPr>
        <w:widowControl/>
        <w:snapToGrid w:val="0"/>
        <w:spacing w:line="580" w:lineRule="atLeast"/>
        <w:ind w:left="420"/>
        <w:jc w:val="left"/>
        <w:rPr>
          <w:rFonts w:ascii="仿宋_GB2312" w:hAnsi="宋体" w:eastAsia="仿宋_GB2312" w:cs="宋体"/>
          <w:b/>
          <w:bCs/>
          <w:kern w:val="0"/>
          <w:sz w:val="32"/>
          <w:szCs w:val="32"/>
          <w:highlight w:val="yellow"/>
        </w:rPr>
      </w:pPr>
      <w:r>
        <w:rPr>
          <w:rFonts w:hint="eastAsia" w:ascii="仿宋_GB2312" w:hAnsi="宋体" w:eastAsia="仿宋_GB2312" w:cs="宋体"/>
          <w:kern w:val="0"/>
          <w:sz w:val="32"/>
          <w:szCs w:val="32"/>
        </w:rPr>
        <w:t>本部门决算中无项目。</w:t>
      </w:r>
    </w:p>
    <w:p>
      <w:pPr>
        <w:widowControl/>
        <w:spacing w:line="580" w:lineRule="atLeast"/>
        <w:jc w:val="left"/>
        <w:rPr>
          <w:rFonts w:ascii="仿宋_GB2312" w:hAnsi="宋体" w:eastAsia="仿宋_GB2312" w:cs="宋体"/>
          <w:b/>
          <w:bCs/>
          <w:kern w:val="0"/>
          <w:sz w:val="32"/>
          <w:szCs w:val="32"/>
        </w:rPr>
      </w:pPr>
      <w:r>
        <w:rPr>
          <w:rFonts w:ascii="仿宋_GB2312" w:hAnsi="宋体" w:eastAsia="仿宋_GB2312" w:cs="宋体"/>
          <w:b/>
          <w:bCs/>
          <w:kern w:val="0"/>
          <w:sz w:val="32"/>
          <w:szCs w:val="32"/>
        </w:rPr>
        <w:t xml:space="preserve">   3.</w:t>
      </w:r>
      <w:r>
        <w:rPr>
          <w:rFonts w:hint="eastAsia" w:ascii="仿宋_GB2312" w:hAnsi="宋体" w:eastAsia="仿宋_GB2312" w:cs="宋体"/>
          <w:b/>
          <w:bCs/>
          <w:kern w:val="0"/>
          <w:sz w:val="32"/>
          <w:szCs w:val="32"/>
        </w:rPr>
        <w:t>财政评价项目绩效评价结果</w:t>
      </w:r>
    </w:p>
    <w:p>
      <w:pPr>
        <w:widowControl/>
        <w:spacing w:line="580" w:lineRule="atLeast"/>
        <w:jc w:val="left"/>
        <w:rPr>
          <w:rFonts w:ascii="仿宋_GB2312" w:hAnsi="宋体" w:eastAsia="仿宋_GB2312" w:cs="宋体"/>
          <w:kern w:val="0"/>
          <w:sz w:val="32"/>
          <w:szCs w:val="32"/>
        </w:rPr>
      </w:pPr>
      <w:r>
        <w:rPr>
          <w:rFonts w:ascii="仿宋_GB2312" w:hAnsi="宋体" w:eastAsia="仿宋_GB2312" w:cs="宋体"/>
          <w:b/>
          <w:bCs/>
          <w:kern w:val="0"/>
          <w:sz w:val="32"/>
          <w:szCs w:val="32"/>
        </w:rPr>
        <w:t xml:space="preserve">   </w:t>
      </w:r>
      <w:r>
        <w:rPr>
          <w:rFonts w:hint="eastAsia" w:ascii="仿宋_GB2312" w:hAnsi="宋体" w:eastAsia="仿宋_GB2312" w:cs="宋体"/>
          <w:kern w:val="0"/>
          <w:sz w:val="32"/>
          <w:szCs w:val="32"/>
        </w:rPr>
        <w:t>本部门无财政评价项目</w:t>
      </w:r>
    </w:p>
    <w:p>
      <w:pPr>
        <w:widowControl/>
        <w:spacing w:line="580" w:lineRule="atLeast"/>
        <w:ind w:firstLine="640"/>
        <w:jc w:val="left"/>
        <w:rPr>
          <w:rFonts w:ascii="黑体" w:hAnsi="黑体" w:eastAsia="黑体" w:cs="宋体"/>
          <w:kern w:val="0"/>
          <w:sz w:val="32"/>
          <w:szCs w:val="32"/>
        </w:rPr>
      </w:pPr>
      <w:r>
        <w:rPr>
          <w:rFonts w:hint="eastAsia" w:ascii="黑体" w:hAnsi="黑体" w:eastAsia="黑体" w:cs="宋体"/>
          <w:kern w:val="0"/>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年度机关运行经费支出</w:t>
      </w:r>
      <w:r>
        <w:rPr>
          <w:rFonts w:ascii="仿宋_GB2312" w:hAnsi="Times New Roman" w:eastAsia="仿宋_GB2312" w:cs="DengXian-Regular"/>
          <w:sz w:val="32"/>
          <w:szCs w:val="32"/>
        </w:rPr>
        <w:t>6.49</w:t>
      </w:r>
      <w:r>
        <w:rPr>
          <w:rFonts w:hint="eastAsia" w:ascii="仿宋_GB2312" w:hAnsi="Times New Roman" w:eastAsia="仿宋_GB2312" w:cs="DengXian-Regular"/>
          <w:sz w:val="32"/>
          <w:szCs w:val="32"/>
        </w:rPr>
        <w:t>万元，比</w:t>
      </w:r>
      <w:r>
        <w:rPr>
          <w:rFonts w:ascii="仿宋_GB2312" w:hAnsi="Times New Roman" w:eastAsia="仿宋_GB2312" w:cs="DengXian-Regular"/>
          <w:sz w:val="32"/>
          <w:szCs w:val="32"/>
        </w:rPr>
        <w:t>2018</w:t>
      </w:r>
      <w:r>
        <w:rPr>
          <w:rFonts w:hint="eastAsia" w:ascii="仿宋_GB2312" w:hAnsi="Times New Roman" w:eastAsia="仿宋_GB2312" w:cs="DengXian-Regular"/>
          <w:sz w:val="32"/>
          <w:szCs w:val="32"/>
        </w:rPr>
        <w:t>年度增加</w:t>
      </w:r>
      <w:r>
        <w:rPr>
          <w:rFonts w:ascii="仿宋_GB2312" w:hAnsi="Times New Roman" w:eastAsia="仿宋_GB2312" w:cs="DengXian-Regular"/>
          <w:sz w:val="32"/>
          <w:szCs w:val="32"/>
        </w:rPr>
        <w:t>0.78</w:t>
      </w:r>
      <w:r>
        <w:rPr>
          <w:rFonts w:hint="eastAsia" w:ascii="仿宋_GB2312" w:hAnsi="Times New Roman" w:eastAsia="仿宋_GB2312" w:cs="DengXian-Regular"/>
          <w:sz w:val="32"/>
          <w:szCs w:val="32"/>
        </w:rPr>
        <w:t>万元，增长</w:t>
      </w:r>
      <w:r>
        <w:rPr>
          <w:rFonts w:ascii="仿宋_GB2312" w:hAnsi="Times New Roman" w:eastAsia="仿宋_GB2312" w:cs="DengXian-Regular"/>
          <w:sz w:val="32"/>
          <w:szCs w:val="32"/>
        </w:rPr>
        <w:t>12%</w:t>
      </w:r>
      <w:r>
        <w:rPr>
          <w:rFonts w:hint="eastAsia" w:ascii="仿宋_GB2312" w:hAnsi="Times New Roman" w:eastAsia="仿宋_GB2312" w:cs="DengXian-Regular"/>
          <w:sz w:val="32"/>
          <w:szCs w:val="32"/>
        </w:rPr>
        <w:t>。主要原因是通讯补和交通补。</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年度政府采购支出总额</w:t>
      </w:r>
      <w:r>
        <w:rPr>
          <w:rFonts w:ascii="仿宋_GB2312" w:hAnsi="Times New Roman" w:eastAsia="仿宋_GB2312" w:cs="DengXian-Regular"/>
          <w:sz w:val="32"/>
          <w:szCs w:val="32"/>
        </w:rPr>
        <w:t>0.69</w:t>
      </w:r>
      <w:r>
        <w:rPr>
          <w:rFonts w:hint="eastAsia" w:ascii="仿宋_GB2312" w:hAnsi="Times New Roman" w:eastAsia="仿宋_GB2312" w:cs="DengXian-Regular"/>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ascii="仿宋_GB2312" w:hAnsi="仿宋_GB2312" w:eastAsia="仿宋_GB2312" w:cs="仿宋_GB2312"/>
          <w:color w:val="000000"/>
          <w:kern w:val="0"/>
          <w:sz w:val="32"/>
          <w:szCs w:val="32"/>
        </w:rPr>
        <w:t xml:space="preserve">0.34 </w:t>
      </w:r>
      <w:r>
        <w:rPr>
          <w:rFonts w:hint="eastAsia" w:ascii="仿宋_GB2312" w:hAnsi="仿宋_GB2312" w:eastAsia="仿宋_GB2312" w:cs="仿宋_GB2312"/>
          <w:color w:val="000000"/>
          <w:kern w:val="0"/>
          <w:sz w:val="32"/>
          <w:szCs w:val="32"/>
        </w:rPr>
        <w:t>万元、政府采购工程支出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0.35</w:t>
      </w:r>
      <w:r>
        <w:rPr>
          <w:rFonts w:hint="eastAsia" w:ascii="仿宋_GB2312" w:hAnsi="仿宋_GB2312" w:eastAsia="仿宋_GB2312" w:cs="仿宋_GB2312"/>
          <w:color w:val="000000"/>
          <w:kern w:val="0"/>
          <w:sz w:val="32"/>
          <w:szCs w:val="32"/>
        </w:rPr>
        <w:t>万元。授予中小企业合同金</w:t>
      </w:r>
      <w:r>
        <w:rPr>
          <w:rFonts w:ascii="仿宋_GB2312" w:hAnsi="仿宋_GB2312" w:eastAsia="仿宋_GB2312" w:cs="仿宋_GB2312"/>
          <w:color w:val="000000"/>
          <w:kern w:val="0"/>
          <w:sz w:val="32"/>
          <w:szCs w:val="32"/>
        </w:rPr>
        <w:t>0.69</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100%</w:t>
      </w:r>
      <w:r>
        <w:rPr>
          <w:rFonts w:hint="eastAsia" w:ascii="仿宋_GB2312" w:hAnsi="仿宋_GB2312" w:eastAsia="仿宋_GB2312" w:cs="仿宋_GB2312"/>
          <w:color w:val="000000"/>
          <w:kern w:val="0"/>
          <w:sz w:val="32"/>
          <w:szCs w:val="32"/>
        </w:rPr>
        <w:t>，其中授予小微企业合同金额</w:t>
      </w:r>
      <w:r>
        <w:rPr>
          <w:rFonts w:ascii="仿宋_GB2312" w:hAnsi="仿宋_GB2312" w:eastAsia="仿宋_GB2312" w:cs="仿宋_GB2312"/>
          <w:color w:val="000000"/>
          <w:kern w:val="0"/>
          <w:sz w:val="32"/>
          <w:szCs w:val="32"/>
        </w:rPr>
        <w:t>0.69</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100%</w:t>
      </w:r>
      <w:r>
        <w:rPr>
          <w:rFonts w:hint="eastAsia"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w:t>
      </w:r>
      <w:r>
        <w:rPr>
          <w:rFonts w:ascii="仿宋_GB2312" w:hAnsi="Times New Roman" w:eastAsia="仿宋_GB2312" w:cs="DengXian-Regular"/>
          <w:sz w:val="32"/>
          <w:szCs w:val="32"/>
        </w:rPr>
        <w:t>12</w:t>
      </w:r>
      <w:r>
        <w:rPr>
          <w:rFonts w:hint="eastAsia" w:ascii="仿宋_GB2312" w:hAnsi="Times New Roman" w:eastAsia="仿宋_GB2312" w:cs="DengXian-Regular"/>
          <w:sz w:val="32"/>
          <w:szCs w:val="32"/>
        </w:rPr>
        <w:t>月</w:t>
      </w:r>
      <w:r>
        <w:rPr>
          <w:rFonts w:ascii="仿宋_GB2312" w:hAnsi="Times New Roman" w:eastAsia="仿宋_GB2312" w:cs="DengXian-Regular"/>
          <w:sz w:val="32"/>
          <w:szCs w:val="32"/>
        </w:rPr>
        <w:t>31</w:t>
      </w:r>
      <w:r>
        <w:rPr>
          <w:rFonts w:hint="eastAsia" w:ascii="仿宋_GB2312" w:hAnsi="Times New Roman" w:eastAsia="仿宋_GB2312" w:cs="DengXian-Regular"/>
          <w:sz w:val="32"/>
          <w:szCs w:val="32"/>
        </w:rPr>
        <w:t>日，本部门共有车辆</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w:t>
      </w:r>
      <w:r>
        <w:rPr>
          <w:rFonts w:hint="eastAsia" w:ascii="仿宋_GB2312" w:eastAsia="仿宋_GB2312" w:cs="DengXian-Regular"/>
          <w:sz w:val="32"/>
          <w:szCs w:val="32"/>
        </w:rPr>
        <w:t>与上年持平</w:t>
      </w:r>
      <w:r>
        <w:rPr>
          <w:rFonts w:hint="eastAsia" w:ascii="仿宋_GB2312" w:hAnsi="Times New Roman" w:eastAsia="仿宋_GB2312" w:cs="DengXian-Regular"/>
          <w:sz w:val="32"/>
          <w:szCs w:val="32"/>
        </w:rPr>
        <w:t>，主要是单位无公车。</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台（套），</w:t>
      </w:r>
      <w:r>
        <w:rPr>
          <w:rFonts w:hint="eastAsia" w:ascii="仿宋_GB2312" w:eastAsia="仿宋_GB2312" w:cs="DengXian-Regular"/>
          <w:sz w:val="32"/>
          <w:szCs w:val="32"/>
        </w:rPr>
        <w:t>与上年持平</w:t>
      </w:r>
      <w:r>
        <w:rPr>
          <w:rFonts w:hint="eastAsia" w:ascii="仿宋_GB2312" w:hAnsi="Times New Roman" w:eastAsia="仿宋_GB2312" w:cs="DengXian-Regular"/>
          <w:sz w:val="32"/>
          <w:szCs w:val="32"/>
        </w:rPr>
        <w:t>，单位价值</w:t>
      </w:r>
      <w:r>
        <w:rPr>
          <w:rFonts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台（套）</w:t>
      </w:r>
      <w:r>
        <w:rPr>
          <w:rFonts w:hint="eastAsia" w:ascii="仿宋_GB2312" w:eastAsia="仿宋_GB2312" w:cs="DengXian-Regular"/>
          <w:sz w:val="32"/>
          <w:szCs w:val="32"/>
        </w:rPr>
        <w:t>与上年持平</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1. </w:t>
      </w:r>
      <w:r>
        <w:rPr>
          <w:rFonts w:hint="eastAsia" w:ascii="仿宋_GB2312" w:eastAsia="仿宋_GB2312" w:cs="DengXian-Regular"/>
          <w:sz w:val="32"/>
          <w:szCs w:val="32"/>
        </w:rPr>
        <w:t>本部门</w:t>
      </w:r>
      <w:r>
        <w:rPr>
          <w:rFonts w:ascii="仿宋_GB2312" w:eastAsia="仿宋_GB2312" w:cs="DengXian-Regular"/>
          <w:sz w:val="32"/>
          <w:szCs w:val="32"/>
        </w:rPr>
        <w:t>2019</w:t>
      </w:r>
      <w:r>
        <w:rPr>
          <w:rFonts w:hint="eastAsia" w:ascii="仿宋_GB2312" w:eastAsia="仿宋_GB2312" w:cs="DengXian-Regular"/>
          <w:sz w:val="32"/>
          <w:szCs w:val="32"/>
        </w:rPr>
        <w:t>年度一般公共预算财政拨款“三公”经费无收支及结转结余情况，故一般公共预算财政拨款“三公”经费支出决算表以空表列示。本部门</w:t>
      </w:r>
      <w:r>
        <w:rPr>
          <w:rFonts w:ascii="仿宋_GB2312" w:eastAsia="仿宋_GB2312" w:cs="DengXian-Regular"/>
          <w:sz w:val="32"/>
          <w:szCs w:val="32"/>
        </w:rPr>
        <w:t>2019</w:t>
      </w:r>
      <w:r>
        <w:rPr>
          <w:rFonts w:hint="eastAsia" w:ascii="仿宋_GB2312" w:eastAsia="仿宋_GB2312" w:cs="DengXian-Regular"/>
          <w:sz w:val="32"/>
          <w:szCs w:val="32"/>
        </w:rPr>
        <w:t>年度政府性基金预算财政拨款收入支出无收支及结转结余情况，故政府性基金预算财政拨款收入支出决算表以空表列示。本部门</w:t>
      </w:r>
      <w:r>
        <w:rPr>
          <w:rFonts w:ascii="仿宋_GB2312" w:eastAsia="仿宋_GB2312" w:cs="DengXian-Regular"/>
          <w:sz w:val="32"/>
          <w:szCs w:val="32"/>
        </w:rPr>
        <w:t>2019</w:t>
      </w:r>
      <w:r>
        <w:rPr>
          <w:rFonts w:hint="eastAsia" w:ascii="仿宋_GB2312" w:eastAsia="仿宋_GB2312" w:cs="DengXian-Regular"/>
          <w:sz w:val="32"/>
          <w:szCs w:val="32"/>
        </w:rPr>
        <w:t>年度国有资本经营预算财政拨款支出无收支及结转结余情况，故国有资本经营预算财政拨款支出决算表以空表列示。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仿宋_GB2312" w:hAnsi="Times New Roman" w:eastAsia="仿宋_GB2312" w:cs="DengXian-Regular"/>
          <w:sz w:val="32"/>
          <w:szCs w:val="32"/>
        </w:rPr>
        <w:t xml:space="preserve">2. </w:t>
      </w:r>
      <w:r>
        <w:rPr>
          <w:rFonts w:hint="eastAsia" w:ascii="仿宋_GB2312" w:hAnsi="Times New Roman" w:eastAsia="仿宋_GB2312" w:cs="DengXian-Regular"/>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pict>
          <v:shape id="_x0000_s1043" o:spid="_x0000_s1043" o:spt="202" type="#_x0000_t202" style="position:absolute;left:0pt;margin-left:-80.45pt;margin-top:34.8pt;height:263.1pt;width:613.65pt;z-index:251661312;v-text-anchor:middle;mso-width-relative:page;mso-height-relative:page;" fillcolor="#FFD966" filled="t" stroked="t" coordsize="21600,21600">
            <v:path/>
            <v:fill type="pattern" on="t" focussize="0,0"/>
            <v:stroke weight="0.5pt" color="#FFD966" joinstyle="round"/>
            <v:imagedata o:title=""/>
            <o:lock v:ext="edit"/>
            <v:textbox>
              <w:txbxContent>
                <w:p>
                  <w:pPr>
                    <w:widowControl/>
                    <w:jc w:val="center"/>
                  </w:pPr>
                  <w:r>
                    <w:rPr>
                      <w:rFonts w:hint="eastAsia" w:ascii="黑体" w:hAnsi="黑体" w:eastAsia="黑体" w:cs="黑体"/>
                      <w:color w:val="000000"/>
                      <w:sz w:val="90"/>
                      <w:szCs w:val="90"/>
                    </w:rPr>
                    <w:t>第三部分</w:t>
                  </w:r>
                  <w:r>
                    <w:rPr>
                      <w:rFonts w:ascii="黑体" w:hAnsi="黑体" w:eastAsia="黑体" w:cs="黑体"/>
                      <w:color w:val="000000"/>
                      <w:sz w:val="90"/>
                      <w:szCs w:val="90"/>
                    </w:rPr>
                    <w:t xml:space="preserve"> </w:t>
                  </w:r>
                  <w:r>
                    <w:rPr>
                      <w:rFonts w:hint="eastAsia" w:ascii="黑体" w:hAnsi="黑体" w:eastAsia="黑体" w:cs="黑体"/>
                      <w:color w:val="000000"/>
                      <w:sz w:val="90"/>
                      <w:szCs w:val="90"/>
                    </w:rPr>
                    <w:t>相关名词解释</w:t>
                  </w:r>
                </w:p>
              </w:txbxContent>
            </v:textbox>
          </v:shape>
        </w:pict>
      </w:r>
    </w:p>
    <w:p/>
    <w:p/>
    <w:p/>
    <w:p/>
    <w:p/>
    <w:p/>
    <w:p/>
    <w:p/>
    <w:p/>
    <w:p/>
    <w:p/>
    <w:p>
      <w:pPr>
        <w:tabs>
          <w:tab w:val="left" w:pos="886"/>
        </w:tabs>
        <w:jc w:val="left"/>
        <w:sectPr>
          <w:headerReference r:id="rId1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（十）基本建设支出：</w:t>
      </w:r>
      <w:r>
        <w:rPr>
          <w:rFonts w:hint="eastAsia" w:ascii="仿宋_GB2312" w:hAnsi="宋体" w:eastAsia="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（十一）其他资本性支出：</w:t>
      </w:r>
      <w:r>
        <w:rPr>
          <w:rFonts w:hint="eastAsia" w:ascii="仿宋_GB2312" w:hAnsi="宋体" w:eastAsia="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b/>
          <w:bCs/>
          <w:color w:val="000000"/>
          <w:kern w:val="0"/>
          <w:sz w:val="32"/>
          <w:szCs w:val="32"/>
        </w:rPr>
        <w:t>（十七）经费形式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12" w:type="default"/>
          <w:pgSz w:w="11906" w:h="16838"/>
          <w:pgMar w:top="2098" w:right="1474" w:bottom="1985" w:left="1588" w:header="851" w:footer="992" w:gutter="0"/>
          <w:pgNumType w:fmt="numberInDash"/>
          <w:cols w:space="425" w:num="1"/>
          <w:docGrid w:type="lines" w:linePitch="312" w:charSpace="0"/>
        </w:sectPr>
      </w:pPr>
      <w:r>
        <w:pict>
          <v:shape id="_x0000_s1044" o:spid="_x0000_s1044" o:spt="202" type="#_x0000_t202" style="position:absolute;left:0pt;margin-left:-82.05pt;margin-top:111.85pt;height:263.1pt;width:613.65pt;z-index:251662336;v-text-anchor:middle;mso-width-relative:page;mso-height-relative:page;" fillcolor="#FFD966" filled="t" stroked="t" coordsize="21600,21600">
            <v:path/>
            <v:fill type="pattern" on="t" focussize="0,0"/>
            <v:stroke weight="0.5pt" color="#FFD966" joinstyle="round"/>
            <v:imagedata o:title=""/>
            <o:lock v:ext="edit"/>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第四部分</w:t>
                  </w:r>
                  <w:r>
                    <w:rPr>
                      <w:rFonts w:ascii="黑体" w:hAnsi="黑体" w:eastAsia="黑体" w:cs="黑体"/>
                      <w:color w:val="000000"/>
                      <w:sz w:val="90"/>
                      <w:szCs w:val="90"/>
                    </w:rPr>
                    <w:t xml:space="preserve"> </w:t>
                  </w:r>
                </w:p>
                <w:p>
                  <w:pPr>
                    <w:widowControl/>
                    <w:jc w:val="center"/>
                  </w:pPr>
                  <w:r>
                    <w:rPr>
                      <w:rFonts w:ascii="黑体" w:hAnsi="黑体" w:eastAsia="黑体" w:cs="黑体"/>
                      <w:color w:val="000000"/>
                      <w:sz w:val="90"/>
                      <w:szCs w:val="90"/>
                    </w:rPr>
                    <w:t>2019</w:t>
                  </w:r>
                  <w:r>
                    <w:rPr>
                      <w:rFonts w:hint="eastAsia" w:ascii="黑体" w:hAnsi="黑体" w:eastAsia="黑体" w:cs="黑体"/>
                      <w:color w:val="000000"/>
                      <w:sz w:val="90"/>
                      <w:szCs w:val="90"/>
                    </w:rPr>
                    <w:t>年度部门决算报表</w:t>
                  </w:r>
                </w:p>
              </w:txbxContent>
            </v:textbox>
          </v:shape>
        </w:pict>
      </w:r>
    </w:p>
    <w:p>
      <w:pPr>
        <w:jc w:val="left"/>
      </w:pP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01</w:t>
            </w:r>
            <w:r>
              <w:rPr>
                <w:rFonts w:hint="eastAsia" w:ascii="宋体" w:hAnsi="宋体" w:eastAsia="宋体" w:cs="宋体"/>
                <w:color w:val="000000"/>
                <w:kern w:val="0"/>
                <w:sz w:val="20"/>
                <w:szCs w:val="20"/>
              </w:rPr>
              <w:t>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Arial" w:hAnsi="Arial" w:cs="Arial"/>
                <w:color w:val="000000"/>
                <w:sz w:val="20"/>
                <w:szCs w:val="20"/>
              </w:rPr>
              <w:t>石家庄市藁城区红十字会</w:t>
            </w:r>
          </w:p>
        </w:tc>
        <w:tc>
          <w:tcPr>
            <w:tcW w:w="73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22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22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347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6"/>
        <w:tblW w:w="9862" w:type="dxa"/>
        <w:jc w:val="center"/>
        <w:tblInd w:w="0" w:type="dxa"/>
        <w:tblLayout w:type="fixed"/>
        <w:tblCellMar>
          <w:top w:w="0" w:type="dxa"/>
          <w:left w:w="0" w:type="dxa"/>
          <w:bottom w:w="0" w:type="dxa"/>
          <w:right w:w="0" w:type="dxa"/>
        </w:tblCellMar>
      </w:tblPr>
      <w:tblGrid>
        <w:gridCol w:w="872"/>
        <w:gridCol w:w="69"/>
        <w:gridCol w:w="69"/>
        <w:gridCol w:w="2230"/>
        <w:gridCol w:w="1047"/>
        <w:gridCol w:w="1047"/>
        <w:gridCol w:w="905"/>
        <w:gridCol w:w="905"/>
        <w:gridCol w:w="905"/>
        <w:gridCol w:w="905"/>
        <w:gridCol w:w="908"/>
      </w:tblGrid>
      <w:tr>
        <w:tblPrEx>
          <w:tblLayout w:type="fixed"/>
          <w:tblCellMar>
            <w:top w:w="0" w:type="dxa"/>
            <w:left w:w="0" w:type="dxa"/>
            <w:bottom w:w="0" w:type="dxa"/>
            <w:right w:w="0" w:type="dxa"/>
          </w:tblCellMar>
        </w:tblPrEx>
        <w:trPr>
          <w:trHeight w:val="670" w:hRule="atLeast"/>
          <w:jc w:val="center"/>
        </w:trPr>
        <w:tc>
          <w:tcPr>
            <w:tcW w:w="9862" w:type="dxa"/>
            <w:gridSpan w:val="11"/>
            <w:tcBorders>
              <w:top w:val="nil"/>
              <w:left w:val="nil"/>
              <w:bottom w:val="nil"/>
              <w:right w:val="nil"/>
            </w:tcBorders>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Layout w:type="fixed"/>
          <w:tblCellMar>
            <w:top w:w="0" w:type="dxa"/>
            <w:left w:w="0" w:type="dxa"/>
            <w:bottom w:w="0" w:type="dxa"/>
            <w:right w:w="0" w:type="dxa"/>
          </w:tblCellMar>
        </w:tblPrEx>
        <w:trPr>
          <w:trHeight w:val="357" w:hRule="atLeast"/>
          <w:jc w:val="center"/>
        </w:trPr>
        <w:tc>
          <w:tcPr>
            <w:tcW w:w="87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23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4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4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81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02</w:t>
            </w:r>
            <w:r>
              <w:rPr>
                <w:rFonts w:hint="eastAsia" w:ascii="宋体" w:hAnsi="宋体" w:eastAsia="宋体" w:cs="宋体"/>
                <w:color w:val="000000"/>
                <w:kern w:val="0"/>
                <w:sz w:val="20"/>
                <w:szCs w:val="20"/>
              </w:rPr>
              <w:t>表</w:t>
            </w:r>
          </w:p>
        </w:tc>
      </w:tr>
      <w:tr>
        <w:tblPrEx>
          <w:tblLayout w:type="fixed"/>
          <w:tblCellMar>
            <w:top w:w="0" w:type="dxa"/>
            <w:left w:w="0" w:type="dxa"/>
            <w:bottom w:w="0" w:type="dxa"/>
            <w:right w:w="0" w:type="dxa"/>
          </w:tblCellMar>
        </w:tblPrEx>
        <w:trPr>
          <w:trHeight w:val="357" w:hRule="atLeast"/>
          <w:jc w:val="center"/>
        </w:trPr>
        <w:tc>
          <w:tcPr>
            <w:tcW w:w="872"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23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石家庄市藁城区红十字会</w:t>
            </w:r>
          </w:p>
        </w:tc>
        <w:tc>
          <w:tcPr>
            <w:tcW w:w="104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4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0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718"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85" w:hRule="atLeast"/>
          <w:jc w:val="center"/>
        </w:trPr>
        <w:tc>
          <w:tcPr>
            <w:tcW w:w="324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4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4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90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90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90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90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90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Layout w:type="fixed"/>
          <w:tblCellMar>
            <w:top w:w="0" w:type="dxa"/>
            <w:left w:w="0" w:type="dxa"/>
            <w:bottom w:w="0" w:type="dxa"/>
            <w:right w:w="0" w:type="dxa"/>
          </w:tblCellMar>
        </w:tblPrEx>
        <w:trPr>
          <w:trHeight w:val="380" w:hRule="atLeast"/>
          <w:jc w:val="center"/>
        </w:trPr>
        <w:tc>
          <w:tcPr>
            <w:tcW w:w="1010"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230"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4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010"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23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010"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23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4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240"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4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104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9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9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9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90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c>
          <w:tcPr>
            <w:tcW w:w="90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w:t>
            </w:r>
          </w:p>
        </w:tc>
      </w:tr>
      <w:tr>
        <w:tblPrEx>
          <w:tblLayout w:type="fixed"/>
          <w:tblCellMar>
            <w:top w:w="0" w:type="dxa"/>
            <w:left w:w="0" w:type="dxa"/>
            <w:bottom w:w="0" w:type="dxa"/>
            <w:right w:w="0" w:type="dxa"/>
          </w:tblCellMar>
        </w:tblPrEx>
        <w:trPr>
          <w:trHeight w:val="385" w:hRule="atLeast"/>
          <w:jc w:val="center"/>
        </w:trPr>
        <w:tc>
          <w:tcPr>
            <w:tcW w:w="3240"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b/>
                <w:bCs/>
                <w:color w:val="000000"/>
                <w:sz w:val="22"/>
              </w:rPr>
            </w:pPr>
            <w:r>
              <w:rPr>
                <w:rFonts w:cs="Arial"/>
                <w:b/>
                <w:bCs/>
                <w:color w:val="000000"/>
                <w:sz w:val="22"/>
              </w:rPr>
              <w:t>62.35</w:t>
            </w: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b/>
                <w:bCs/>
                <w:color w:val="000000"/>
                <w:sz w:val="22"/>
              </w:rPr>
            </w:pPr>
            <w:r>
              <w:rPr>
                <w:rFonts w:cs="Arial"/>
                <w:b/>
                <w:bCs/>
                <w:color w:val="000000"/>
                <w:sz w:val="22"/>
              </w:rPr>
              <w:t>62.35</w:t>
            </w: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b/>
                <w:bCs/>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b/>
                <w:bCs/>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b/>
                <w:bCs/>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b/>
                <w:bCs/>
                <w:color w:val="000000"/>
                <w:sz w:val="22"/>
              </w:rPr>
            </w:pPr>
          </w:p>
        </w:tc>
        <w:tc>
          <w:tcPr>
            <w:tcW w:w="90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b/>
                <w:bCs/>
                <w:color w:val="000000"/>
                <w:sz w:val="22"/>
              </w:rPr>
            </w:pPr>
          </w:p>
        </w:tc>
      </w:tr>
      <w:tr>
        <w:tblPrEx>
          <w:tblLayout w:type="fixed"/>
          <w:tblCellMar>
            <w:top w:w="0" w:type="dxa"/>
            <w:left w:w="0" w:type="dxa"/>
            <w:bottom w:w="0" w:type="dxa"/>
            <w:right w:w="0" w:type="dxa"/>
          </w:tblCellMar>
        </w:tblPrEx>
        <w:trPr>
          <w:trHeight w:val="385" w:hRule="atLeast"/>
          <w:jc w:val="center"/>
        </w:trPr>
        <w:tc>
          <w:tcPr>
            <w:tcW w:w="101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208</w:t>
            </w: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hint="eastAsia" w:cs="Arial"/>
                <w:color w:val="000000"/>
                <w:sz w:val="22"/>
              </w:rPr>
              <w:t>社会保障和就业支出</w:t>
            </w: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101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20816</w:t>
            </w: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hint="eastAsia" w:cs="Arial"/>
                <w:color w:val="000000"/>
                <w:sz w:val="22"/>
              </w:rPr>
              <w:t>红十字事业</w:t>
            </w: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101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2081602</w:t>
            </w: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 xml:space="preserve">  </w:t>
            </w:r>
            <w:r>
              <w:rPr>
                <w:rFonts w:hint="eastAsia" w:cs="Arial"/>
                <w:color w:val="000000"/>
                <w:sz w:val="22"/>
              </w:rPr>
              <w:t>一般行政管理事务</w:t>
            </w: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90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385" w:hRule="atLeast"/>
          <w:jc w:val="center"/>
        </w:trPr>
        <w:tc>
          <w:tcPr>
            <w:tcW w:w="101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01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01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862" w:type="dxa"/>
            <w:gridSpan w:val="11"/>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6"/>
        <w:tblW w:w="9680" w:type="dxa"/>
        <w:jc w:val="center"/>
        <w:tblInd w:w="0" w:type="dxa"/>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03</w:t>
            </w:r>
            <w:r>
              <w:rPr>
                <w:rFonts w:hint="eastAsia" w:ascii="宋体" w:hAnsi="宋体" w:eastAsia="宋体" w:cs="宋体"/>
                <w:color w:val="000000"/>
                <w:kern w:val="0"/>
                <w:sz w:val="20"/>
                <w:szCs w:val="20"/>
              </w:rPr>
              <w:t>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石家庄市藁城区红十字会</w:t>
            </w:r>
          </w:p>
        </w:tc>
        <w:tc>
          <w:tcPr>
            <w:tcW w:w="11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208</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hint="eastAsia" w:cs="Arial"/>
                <w:color w:val="000000"/>
                <w:sz w:val="22"/>
              </w:rPr>
              <w:t>社会保障和就业支出</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20816</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hint="eastAsia" w:cs="Arial"/>
                <w:color w:val="000000"/>
                <w:sz w:val="22"/>
              </w:rPr>
              <w:t>红十字事业</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2081602</w:t>
            </w: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 xml:space="preserve">  </w:t>
            </w:r>
            <w:r>
              <w:rPr>
                <w:rFonts w:hint="eastAsia" w:cs="Arial"/>
                <w:color w:val="000000"/>
                <w:sz w:val="22"/>
              </w:rPr>
              <w:t>一般行政管理事务</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6"/>
        <w:tblW w:w="9788" w:type="dxa"/>
        <w:jc w:val="center"/>
        <w:tblInd w:w="0" w:type="dxa"/>
        <w:tblLayout w:type="fixed"/>
        <w:tblCellMar>
          <w:top w:w="0" w:type="dxa"/>
          <w:left w:w="0" w:type="dxa"/>
          <w:bottom w:w="0" w:type="dxa"/>
          <w:right w:w="0" w:type="dxa"/>
        </w:tblCellMar>
      </w:tblPr>
      <w:tblGrid>
        <w:gridCol w:w="2564"/>
        <w:gridCol w:w="720"/>
        <w:gridCol w:w="725"/>
        <w:gridCol w:w="2695"/>
        <w:gridCol w:w="758"/>
        <w:gridCol w:w="682"/>
        <w:gridCol w:w="855"/>
        <w:gridCol w:w="789"/>
      </w:tblGrid>
      <w:tr>
        <w:tblPrEx>
          <w:tblLayout w:type="fixed"/>
          <w:tblCellMar>
            <w:top w:w="0" w:type="dxa"/>
            <w:left w:w="0" w:type="dxa"/>
            <w:bottom w:w="0" w:type="dxa"/>
            <w:right w:w="0" w:type="dxa"/>
          </w:tblCellMar>
        </w:tblPrEx>
        <w:trPr>
          <w:trHeight w:val="461" w:hRule="atLeast"/>
          <w:jc w:val="center"/>
        </w:trPr>
        <w:tc>
          <w:tcPr>
            <w:tcW w:w="9788" w:type="dxa"/>
            <w:gridSpan w:val="8"/>
            <w:tcBorders>
              <w:top w:val="nil"/>
              <w:left w:val="nil"/>
              <w:bottom w:val="nil"/>
              <w:right w:val="nil"/>
            </w:tcBorders>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2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9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5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326"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04</w:t>
            </w:r>
            <w:r>
              <w:rPr>
                <w:rFonts w:hint="eastAsia" w:ascii="宋体" w:hAnsi="宋体" w:eastAsia="宋体" w:cs="宋体"/>
                <w:color w:val="000000"/>
                <w:kern w:val="0"/>
                <w:sz w:val="20"/>
                <w:szCs w:val="20"/>
              </w:rPr>
              <w:t>表</w:t>
            </w: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Arial" w:hAnsi="Arial" w:cs="Arial"/>
                <w:color w:val="000000"/>
                <w:sz w:val="18"/>
                <w:szCs w:val="18"/>
              </w:rPr>
              <w:t>石家庄市藁城区红十字会</w:t>
            </w:r>
          </w:p>
        </w:tc>
        <w:tc>
          <w:tcPr>
            <w:tcW w:w="72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2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9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5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326"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w:t>
            </w:r>
            <w:r>
              <w:rPr>
                <w:rFonts w:ascii="宋体" w:hAnsi="宋体" w:eastAsia="宋体" w:cs="宋体"/>
                <w:color w:val="000000"/>
                <w:kern w:val="0"/>
                <w:sz w:val="22"/>
              </w:rPr>
              <w:t xml:space="preserve">     </w:t>
            </w:r>
            <w:r>
              <w:rPr>
                <w:rFonts w:hint="eastAsia" w:ascii="宋体" w:hAnsi="宋体" w:eastAsia="宋体" w:cs="宋体"/>
                <w:color w:val="000000"/>
                <w:kern w:val="0"/>
                <w:sz w:val="22"/>
              </w:rPr>
              <w:t>入</w:t>
            </w:r>
          </w:p>
        </w:tc>
        <w:tc>
          <w:tcPr>
            <w:tcW w:w="5779" w:type="dxa"/>
            <w:gridSpan w:val="5"/>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w:t>
            </w:r>
            <w:r>
              <w:rPr>
                <w:rFonts w:ascii="宋体" w:hAnsi="宋体" w:eastAsia="宋体" w:cs="宋体"/>
                <w:color w:val="000000"/>
                <w:kern w:val="0"/>
                <w:sz w:val="22"/>
              </w:rPr>
              <w:t xml:space="preserve">     </w:t>
            </w:r>
            <w:r>
              <w:rPr>
                <w:rFonts w:hint="eastAsia" w:ascii="宋体" w:hAnsi="宋体" w:eastAsia="宋体" w:cs="宋体"/>
                <w:color w:val="000000"/>
                <w:kern w:val="0"/>
                <w:sz w:val="22"/>
              </w:rPr>
              <w:t>出</w:t>
            </w:r>
          </w:p>
        </w:tc>
      </w:tr>
      <w:tr>
        <w:tblPrEx>
          <w:tblLayout w:type="fixed"/>
          <w:tblCellMar>
            <w:top w:w="0" w:type="dxa"/>
            <w:left w:w="0" w:type="dxa"/>
            <w:bottom w:w="0" w:type="dxa"/>
            <w:right w:w="0" w:type="dxa"/>
          </w:tblCellMar>
        </w:tblPrEx>
        <w:trPr>
          <w:trHeight w:val="624" w:hRule="atLeast"/>
          <w:jc w:val="center"/>
        </w:trPr>
        <w:tc>
          <w:tcPr>
            <w:tcW w:w="2564"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7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72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金额</w:t>
            </w:r>
          </w:p>
        </w:tc>
        <w:tc>
          <w:tcPr>
            <w:tcW w:w="269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75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682"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合计</w:t>
            </w:r>
          </w:p>
        </w:tc>
        <w:tc>
          <w:tcPr>
            <w:tcW w:w="85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Layout w:type="fixed"/>
          <w:tblCellMar>
            <w:top w:w="0" w:type="dxa"/>
            <w:left w:w="0" w:type="dxa"/>
            <w:bottom w:w="0" w:type="dxa"/>
            <w:right w:w="0" w:type="dxa"/>
          </w:tblCellMar>
        </w:tblPrEx>
        <w:trPr>
          <w:trHeight w:val="376" w:hRule="atLeast"/>
          <w:jc w:val="center"/>
        </w:trPr>
        <w:tc>
          <w:tcPr>
            <w:tcW w:w="2564"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18"/>
                <w:szCs w:val="18"/>
              </w:rPr>
            </w:pPr>
          </w:p>
        </w:tc>
        <w:tc>
          <w:tcPr>
            <w:tcW w:w="72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18"/>
                <w:szCs w:val="18"/>
              </w:rPr>
            </w:pPr>
          </w:p>
        </w:tc>
        <w:tc>
          <w:tcPr>
            <w:tcW w:w="72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18"/>
                <w:szCs w:val="18"/>
              </w:rPr>
            </w:pPr>
          </w:p>
        </w:tc>
        <w:tc>
          <w:tcPr>
            <w:tcW w:w="269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18"/>
                <w:szCs w:val="18"/>
              </w:rPr>
            </w:pPr>
          </w:p>
        </w:tc>
        <w:tc>
          <w:tcPr>
            <w:tcW w:w="75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18"/>
                <w:szCs w:val="18"/>
              </w:rPr>
            </w:pPr>
          </w:p>
        </w:tc>
        <w:tc>
          <w:tcPr>
            <w:tcW w:w="682"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18"/>
                <w:szCs w:val="18"/>
              </w:rPr>
            </w:pPr>
          </w:p>
        </w:tc>
        <w:tc>
          <w:tcPr>
            <w:tcW w:w="85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18"/>
                <w:szCs w:val="18"/>
              </w:rPr>
            </w:pPr>
          </w:p>
        </w:tc>
        <w:tc>
          <w:tcPr>
            <w:tcW w:w="78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18"/>
                <w:szCs w:val="18"/>
              </w:rPr>
            </w:pP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w:t>
            </w: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18"/>
                <w:szCs w:val="18"/>
              </w:rPr>
            </w:pP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w:t>
            </w: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62.35</w:t>
            </w: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一、一般公共服务支出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30</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二、外交支出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31</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18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三、国防支出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32</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四、公共安全支出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33</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5</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五、教育支出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34</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6</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六、科学技术支出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35</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7</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七、文化旅游体育与传媒支出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36</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8</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八、社会保障和就业支出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37</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62.35</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62.35</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9</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九、卫生健康支出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38</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10</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十、节能环保支出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39</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11</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十一、城乡社区支出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40</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12</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十二、农林水支出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41</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13</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十三、交通运输支出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42</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14</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十四、资源勘探信息等支出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43</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15</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十五、商业服务业等支出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44</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16</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十六、金融支出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45</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17</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十七、援助其他地区支出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46</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18</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十八、自然资源海洋气象等支出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47</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19</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十九、住房保障支出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48</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20</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二十、粮油物资储备支出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49</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21</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二十一、灾害防治及应急管理支出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50</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22</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二十二、其他支出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51</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23</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二十四、债务付息支出</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52</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53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本年收入合计</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24</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62.35</w:t>
            </w: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本年支出合计</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53</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62.35</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62.35</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年初财政拨款结转和结余</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25</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年末财政拨款结转和结余</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54</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26</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55</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27</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56</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28</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18"/>
                <w:szCs w:val="18"/>
              </w:rPr>
            </w:pP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57</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457" w:hRule="atLeast"/>
          <w:jc w:val="center"/>
        </w:trPr>
        <w:tc>
          <w:tcPr>
            <w:tcW w:w="256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29</w:t>
            </w:r>
          </w:p>
        </w:tc>
        <w:tc>
          <w:tcPr>
            <w:tcW w:w="72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62.35</w:t>
            </w:r>
          </w:p>
        </w:tc>
        <w:tc>
          <w:tcPr>
            <w:tcW w:w="26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75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ascii="宋体" w:hAnsi="宋体" w:eastAsia="宋体" w:cs="宋体"/>
                <w:color w:val="000000"/>
                <w:kern w:val="0"/>
                <w:sz w:val="18"/>
                <w:szCs w:val="18"/>
              </w:rPr>
              <w:t>58</w:t>
            </w:r>
          </w:p>
        </w:tc>
        <w:tc>
          <w:tcPr>
            <w:tcW w:w="68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62.35</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62.35</w:t>
            </w:r>
          </w:p>
        </w:tc>
        <w:tc>
          <w:tcPr>
            <w:tcW w:w="789" w:type="dxa"/>
            <w:tcBorders>
              <w:top w:val="nil"/>
              <w:left w:val="nil"/>
              <w:bottom w:val="single" w:color="000000" w:sz="4" w:space="0"/>
              <w:right w:val="single" w:color="000000" w:sz="4" w:space="0"/>
            </w:tcBorders>
            <w:noWrap/>
            <w:tcMar>
              <w:top w:w="15" w:type="dxa"/>
              <w:left w:w="15" w:type="dxa"/>
              <w:right w:w="15" w:type="dxa"/>
            </w:tcMar>
            <w:vAlign w:val="center"/>
          </w:tcPr>
          <w:p>
            <w:pPr>
              <w:ind w:right="90"/>
              <w:jc w:val="right"/>
              <w:rPr>
                <w:rFonts w:ascii="宋体" w:eastAsia="宋体" w:cs="Arial"/>
                <w:color w:val="000000"/>
                <w:sz w:val="18"/>
                <w:szCs w:val="18"/>
              </w:rPr>
            </w:pPr>
          </w:p>
        </w:tc>
      </w:tr>
      <w:tr>
        <w:tblPrEx>
          <w:tblLayout w:type="fixed"/>
          <w:tblCellMar>
            <w:top w:w="0" w:type="dxa"/>
            <w:left w:w="0" w:type="dxa"/>
            <w:bottom w:w="0" w:type="dxa"/>
            <w:right w:w="0" w:type="dxa"/>
          </w:tblCellMar>
        </w:tblPrEx>
        <w:trPr>
          <w:trHeight w:val="90" w:hRule="atLeast"/>
          <w:jc w:val="center"/>
        </w:trPr>
        <w:tc>
          <w:tcPr>
            <w:tcW w:w="9788" w:type="dxa"/>
            <w:gridSpan w:val="8"/>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注：本表反映部门本年度一般公共预算财政拨款和政府性基金预算财政拨款的总收支和年末结转结余情况。</w:t>
            </w:r>
          </w:p>
        </w:tc>
      </w:tr>
    </w:tbl>
    <w:p>
      <w:r>
        <w:br w:type="page"/>
      </w:r>
    </w:p>
    <w:tbl>
      <w:tblPr>
        <w:tblStyle w:val="6"/>
        <w:tblW w:w="9992" w:type="dxa"/>
        <w:jc w:val="center"/>
        <w:tblInd w:w="0" w:type="dxa"/>
        <w:tblLayout w:type="fixed"/>
        <w:tblCellMar>
          <w:top w:w="0" w:type="dxa"/>
          <w:left w:w="0" w:type="dxa"/>
          <w:bottom w:w="0" w:type="dxa"/>
          <w:right w:w="0" w:type="dxa"/>
        </w:tblCellMar>
      </w:tblPr>
      <w:tblGrid>
        <w:gridCol w:w="1042"/>
        <w:gridCol w:w="83"/>
        <w:gridCol w:w="83"/>
        <w:gridCol w:w="3688"/>
        <w:gridCol w:w="1873"/>
        <w:gridCol w:w="1873"/>
        <w:gridCol w:w="1350"/>
      </w:tblGrid>
      <w:tr>
        <w:tblPrEx>
          <w:tblLayout w:type="fixed"/>
          <w:tblCellMar>
            <w:top w:w="0" w:type="dxa"/>
            <w:left w:w="0" w:type="dxa"/>
            <w:bottom w:w="0" w:type="dxa"/>
            <w:right w:w="0" w:type="dxa"/>
          </w:tblCellMar>
        </w:tblPrEx>
        <w:trPr>
          <w:trHeight w:val="600" w:hRule="atLeast"/>
          <w:jc w:val="center"/>
        </w:trPr>
        <w:tc>
          <w:tcPr>
            <w:tcW w:w="9992"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04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68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87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2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05</w:t>
            </w:r>
            <w:r>
              <w:rPr>
                <w:rFonts w:hint="eastAsia" w:ascii="宋体" w:hAnsi="宋体" w:eastAsia="宋体" w:cs="宋体"/>
                <w:color w:val="000000"/>
                <w:kern w:val="0"/>
                <w:sz w:val="20"/>
                <w:szCs w:val="20"/>
              </w:rPr>
              <w:t>表</w:t>
            </w:r>
          </w:p>
        </w:tc>
      </w:tr>
      <w:tr>
        <w:tblPrEx>
          <w:tblLayout w:type="fixed"/>
          <w:tblCellMar>
            <w:top w:w="0" w:type="dxa"/>
            <w:left w:w="0" w:type="dxa"/>
            <w:bottom w:w="0" w:type="dxa"/>
            <w:right w:w="0" w:type="dxa"/>
          </w:tblCellMar>
        </w:tblPrEx>
        <w:trPr>
          <w:trHeight w:val="255" w:hRule="atLeast"/>
          <w:jc w:val="center"/>
        </w:trPr>
        <w:tc>
          <w:tcPr>
            <w:tcW w:w="1042"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8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68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石家庄市藁城区红十字会</w:t>
            </w:r>
          </w:p>
        </w:tc>
        <w:tc>
          <w:tcPr>
            <w:tcW w:w="187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2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08" w:hRule="atLeast"/>
          <w:jc w:val="center"/>
        </w:trPr>
        <w:tc>
          <w:tcPr>
            <w:tcW w:w="4896"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96"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Layout w:type="fixed"/>
          <w:tblCellMar>
            <w:top w:w="0" w:type="dxa"/>
            <w:left w:w="0" w:type="dxa"/>
            <w:bottom w:w="0" w:type="dxa"/>
            <w:right w:w="0" w:type="dxa"/>
          </w:tblCellMar>
        </w:tblPrEx>
        <w:trPr>
          <w:trHeight w:val="312" w:hRule="atLeast"/>
          <w:jc w:val="center"/>
        </w:trPr>
        <w:tc>
          <w:tcPr>
            <w:tcW w:w="1208"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688"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87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7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3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Layout w:type="fixed"/>
          <w:tblCellMar>
            <w:top w:w="0" w:type="dxa"/>
            <w:left w:w="0" w:type="dxa"/>
            <w:bottom w:w="0" w:type="dxa"/>
            <w:right w:w="0" w:type="dxa"/>
          </w:tblCellMar>
        </w:tblPrEx>
        <w:trPr>
          <w:trHeight w:val="312" w:hRule="atLeast"/>
          <w:jc w:val="center"/>
        </w:trPr>
        <w:tc>
          <w:tcPr>
            <w:tcW w:w="120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688"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87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7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208"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688"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87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7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896"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r>
      <w:tr>
        <w:tblPrEx>
          <w:tblLayout w:type="fixed"/>
          <w:tblCellMar>
            <w:top w:w="0" w:type="dxa"/>
            <w:left w:w="0" w:type="dxa"/>
            <w:bottom w:w="0" w:type="dxa"/>
            <w:right w:w="0" w:type="dxa"/>
          </w:tblCellMar>
        </w:tblPrEx>
        <w:trPr>
          <w:trHeight w:val="308" w:hRule="atLeast"/>
          <w:jc w:val="center"/>
        </w:trPr>
        <w:tc>
          <w:tcPr>
            <w:tcW w:w="4896"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308" w:hRule="atLeast"/>
          <w:jc w:val="center"/>
        </w:trPr>
        <w:tc>
          <w:tcPr>
            <w:tcW w:w="120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208</w:t>
            </w:r>
          </w:p>
        </w:tc>
        <w:tc>
          <w:tcPr>
            <w:tcW w:w="3688"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hint="eastAsia" w:cs="Arial"/>
                <w:color w:val="000000"/>
                <w:sz w:val="22"/>
              </w:rPr>
              <w:t>社会保障和就业支出</w:t>
            </w: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308" w:hRule="atLeast"/>
          <w:jc w:val="center"/>
        </w:trPr>
        <w:tc>
          <w:tcPr>
            <w:tcW w:w="120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20816</w:t>
            </w:r>
          </w:p>
        </w:tc>
        <w:tc>
          <w:tcPr>
            <w:tcW w:w="3688"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hint="eastAsia" w:cs="Arial"/>
                <w:color w:val="000000"/>
                <w:sz w:val="22"/>
              </w:rPr>
              <w:t>红十字事业</w:t>
            </w: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308" w:hRule="atLeast"/>
          <w:jc w:val="center"/>
        </w:trPr>
        <w:tc>
          <w:tcPr>
            <w:tcW w:w="120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2081602</w:t>
            </w:r>
          </w:p>
        </w:tc>
        <w:tc>
          <w:tcPr>
            <w:tcW w:w="3688" w:type="dxa"/>
            <w:tcBorders>
              <w:top w:val="nil"/>
              <w:left w:val="nil"/>
              <w:bottom w:val="single" w:color="000000" w:sz="4" w:space="0"/>
              <w:right w:val="single" w:color="000000" w:sz="4" w:space="0"/>
            </w:tcBorders>
            <w:noWrap/>
            <w:tcMar>
              <w:top w:w="15" w:type="dxa"/>
              <w:left w:w="15" w:type="dxa"/>
              <w:right w:w="15" w:type="dxa"/>
            </w:tcMar>
            <w:vAlign w:val="center"/>
          </w:tcPr>
          <w:p>
            <w:pPr>
              <w:rPr>
                <w:rFonts w:ascii="宋体" w:eastAsia="宋体" w:cs="Arial"/>
                <w:color w:val="000000"/>
                <w:sz w:val="22"/>
              </w:rPr>
            </w:pPr>
            <w:r>
              <w:rPr>
                <w:rFonts w:cs="Arial"/>
                <w:color w:val="000000"/>
                <w:sz w:val="22"/>
              </w:rPr>
              <w:t xml:space="preserve">  </w:t>
            </w:r>
            <w:r>
              <w:rPr>
                <w:rFonts w:hint="eastAsia" w:cs="Arial"/>
                <w:color w:val="000000"/>
                <w:sz w:val="22"/>
              </w:rPr>
              <w:t>一般行政管理事务</w:t>
            </w: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22"/>
              </w:rPr>
            </w:pPr>
            <w:r>
              <w:rPr>
                <w:rFonts w:cs="Arial"/>
                <w:color w:val="000000"/>
                <w:sz w:val="22"/>
              </w:rPr>
              <w:t>62.35</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22"/>
              </w:rPr>
            </w:pPr>
          </w:p>
        </w:tc>
      </w:tr>
      <w:tr>
        <w:tblPrEx>
          <w:tblLayout w:type="fixed"/>
          <w:tblCellMar>
            <w:top w:w="0" w:type="dxa"/>
            <w:left w:w="0" w:type="dxa"/>
            <w:bottom w:w="0" w:type="dxa"/>
            <w:right w:w="0" w:type="dxa"/>
          </w:tblCellMar>
        </w:tblPrEx>
        <w:trPr>
          <w:trHeight w:val="308" w:hRule="atLeast"/>
          <w:jc w:val="center"/>
        </w:trPr>
        <w:tc>
          <w:tcPr>
            <w:tcW w:w="120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88"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20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88"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208"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688"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8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注：本表反映部门本年度一般公共预算财政拨款支出情况。</w:t>
      </w:r>
      <w:r>
        <w:br w:type="page"/>
      </w:r>
    </w:p>
    <w:tbl>
      <w:tblPr>
        <w:tblStyle w:val="6"/>
        <w:tblW w:w="100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w:t>
            </w:r>
            <w:r>
              <w:rPr>
                <w:rFonts w:ascii="宋体" w:hAnsi="宋体" w:eastAsia="宋体" w:cs="宋体"/>
                <w:color w:val="000000"/>
                <w:kern w:val="0"/>
                <w:sz w:val="18"/>
                <w:szCs w:val="18"/>
              </w:rPr>
              <w:t>06</w:t>
            </w:r>
            <w:r>
              <w:rPr>
                <w:rFonts w:hint="eastAsia" w:ascii="宋体" w:hAnsi="宋体" w:eastAsia="宋体" w:cs="宋体"/>
                <w:color w:val="000000"/>
                <w:kern w:val="0"/>
                <w:sz w:val="18"/>
                <w:szCs w:val="18"/>
              </w:rPr>
              <w:t>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tcMar>
              <w:top w:w="15" w:type="dxa"/>
              <w:left w:w="15" w:type="dxa"/>
              <w:right w:w="15" w:type="dxa"/>
            </w:tcMar>
            <w:vAlign w:val="bottom"/>
          </w:tcPr>
          <w:p>
            <w:pPr>
              <w:rPr>
                <w:rFonts w:ascii="Arial" w:hAnsi="Arial" w:cs="Arial"/>
                <w:color w:val="000000"/>
                <w:sz w:val="16"/>
                <w:szCs w:val="16"/>
              </w:rPr>
            </w:pPr>
            <w:r>
              <w:rPr>
                <w:rFonts w:hint="eastAsia" w:ascii="Arial" w:hAnsi="Arial" w:cs="Arial"/>
                <w:color w:val="000000"/>
                <w:sz w:val="16"/>
                <w:szCs w:val="16"/>
              </w:rPr>
              <w:t>石家庄市藁城区红十字会</w:t>
            </w:r>
          </w:p>
        </w:tc>
        <w:tc>
          <w:tcPr>
            <w:tcW w:w="78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Layout w:type="fixed"/>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工资福利支出</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16.94</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hint="eastAsia" w:ascii="宋体" w:hAnsi="宋体" w:eastAsia="宋体" w:cs="宋体"/>
                <w:color w:val="000000"/>
                <w:kern w:val="0"/>
                <w:szCs w:val="21"/>
              </w:rPr>
              <w:t>商品和服务支出</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Cs w:val="21"/>
              </w:rPr>
            </w:pPr>
            <w:r>
              <w:rPr>
                <w:rFonts w:cs="Arial"/>
                <w:color w:val="000000"/>
                <w:szCs w:val="21"/>
              </w:rPr>
              <w:t>6.49</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债务利息及费用支出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基本工资</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13.42</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30201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办公费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Cs w:val="21"/>
              </w:rPr>
            </w:pPr>
            <w:r>
              <w:rPr>
                <w:rFonts w:cs="Arial"/>
                <w:color w:val="000000"/>
                <w:szCs w:val="21"/>
              </w:rPr>
              <w:t>0.94</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30701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国内债务付息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津贴补贴</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1.26</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印刷费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30702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国外债务付息</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奖金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30203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咨询费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伙食补助费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30204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手续费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房屋建筑物购建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绩效工资</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4.51</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30205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水费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办公设备购置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机关事业单位基本养老保险缴费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30206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电费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31003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专用设备购置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职业年金缴费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30207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邮电费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Cs w:val="21"/>
              </w:rPr>
            </w:pPr>
            <w:r>
              <w:rPr>
                <w:rFonts w:cs="Arial"/>
                <w:color w:val="000000"/>
                <w:szCs w:val="21"/>
              </w:rPr>
              <w:t>2.19</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31005</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基础设施建设</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职工基本医疗保险缴费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30208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取暖费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大型修缮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30111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公务员医疗补助缴费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4.46</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30209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物业管理费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信息网络及软件购置更新</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30112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其他社会保障缴费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4.05</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30211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差旅费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物资储备</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30113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住房公积金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30212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因公出国（境）费用</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31009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土地补偿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30114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医疗费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 w:val="18"/>
                <w:szCs w:val="18"/>
              </w:rPr>
            </w:pPr>
            <w:r>
              <w:rPr>
                <w:rFonts w:cs="Arial"/>
                <w:color w:val="000000"/>
                <w:sz w:val="18"/>
                <w:szCs w:val="18"/>
              </w:rPr>
              <w:t>11.22</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30213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维修（护）费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安置补助</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30199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其他工资福利支出</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30214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租赁费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31011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地上附着物和青苗补偿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对个人和家庭的补助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30215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会议费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31012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拆迁补偿</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离休费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30216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培训费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31013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公务用车购置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退休费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Cs w:val="21"/>
              </w:rPr>
            </w:pP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公务接待费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31019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其他交通工具购置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退职（役）费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30218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专用材料费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31021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文物和陈列品购置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30304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抚恤金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30224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被装购置费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31022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无形资产购置</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30305</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生活补助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30225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专用燃料费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31099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其他资本性支出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救济费</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30226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劳务费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医疗费补助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30227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委托业务费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39906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赠与</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助学金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30228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工会经费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Cs w:val="21"/>
              </w:rPr>
            </w:pPr>
            <w:r>
              <w:rPr>
                <w:rFonts w:cs="Arial"/>
                <w:color w:val="000000"/>
                <w:szCs w:val="21"/>
              </w:rPr>
              <w:t>0.31</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39907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国家赔偿费用支出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奖励金</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30229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福利费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Cs w:val="21"/>
              </w:rPr>
            </w:pPr>
            <w:r>
              <w:rPr>
                <w:rFonts w:cs="Arial"/>
                <w:color w:val="000000"/>
                <w:szCs w:val="21"/>
              </w:rPr>
              <w:t>0.31</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39908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对民间非营利组织和群众性自治组织补贴</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个人农业生产补贴</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 w:val="18"/>
                <w:szCs w:val="18"/>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30231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公务用车运行维护费</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ind w:right="110"/>
              <w:jc w:val="right"/>
              <w:rPr>
                <w:rFonts w:ascii="宋体" w:eastAsia="宋体" w:cs="Arial"/>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39999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其他支出</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 w:val="18"/>
                <w:szCs w:val="18"/>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30399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5"/>
                <w:szCs w:val="15"/>
              </w:rPr>
            </w:pPr>
            <w:r>
              <w:rPr>
                <w:rFonts w:ascii="宋体" w:hAnsi="宋体" w:eastAsia="宋体" w:cs="宋体"/>
                <w:color w:val="000000"/>
                <w:kern w:val="0"/>
                <w:sz w:val="15"/>
                <w:szCs w:val="15"/>
              </w:rPr>
              <w:t xml:space="preserve">  </w:t>
            </w:r>
            <w:r>
              <w:rPr>
                <w:rFonts w:hint="eastAsia" w:ascii="宋体" w:hAnsi="宋体" w:eastAsia="宋体" w:cs="宋体"/>
                <w:color w:val="000000"/>
                <w:kern w:val="0"/>
                <w:sz w:val="15"/>
                <w:szCs w:val="15"/>
              </w:rPr>
              <w:t>其他对个人和家庭的补助</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Cs w:val="21"/>
              </w:rPr>
            </w:pPr>
            <w:r>
              <w:rPr>
                <w:rFonts w:cs="Arial"/>
                <w:color w:val="000000"/>
                <w:szCs w:val="21"/>
              </w:rPr>
              <w:t>16.94</w:t>
            </w: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30239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 xml:space="preserve">  </w:t>
            </w:r>
            <w:r>
              <w:rPr>
                <w:rFonts w:hint="eastAsia" w:ascii="宋体" w:hAnsi="宋体" w:eastAsia="宋体" w:cs="宋体"/>
                <w:color w:val="000000"/>
                <w:kern w:val="0"/>
                <w:szCs w:val="21"/>
              </w:rPr>
              <w:t>其他交通费用</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eastAsia="宋体" w:cs="Arial"/>
                <w:color w:val="000000"/>
                <w:szCs w:val="21"/>
              </w:rPr>
            </w:pPr>
            <w:r>
              <w:rPr>
                <w:rFonts w:cs="Arial"/>
                <w:color w:val="000000"/>
                <w:szCs w:val="21"/>
              </w:rPr>
              <w:t>2.75</w:t>
            </w: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Cs w:val="21"/>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Cs w:val="21"/>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Cs w:val="21"/>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Cs w:val="21"/>
              </w:rPr>
            </w:pP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Cs w:val="21"/>
              </w:rPr>
            </w:pP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Cs w:val="21"/>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30240</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税金及附加费用</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Cs w:val="21"/>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Cs w:val="21"/>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Cs w:val="21"/>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Cs w:val="21"/>
              </w:rPr>
            </w:pP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Cs w:val="21"/>
              </w:rPr>
            </w:pP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Cs w:val="21"/>
              </w:rPr>
            </w:pPr>
          </w:p>
        </w:tc>
        <w:tc>
          <w:tcPr>
            <w:tcW w:w="6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Cs w:val="21"/>
              </w:rPr>
            </w:pPr>
            <w:r>
              <w:rPr>
                <w:rFonts w:ascii="宋体" w:hAnsi="宋体" w:eastAsia="宋体" w:cs="宋体"/>
                <w:color w:val="000000"/>
                <w:kern w:val="0"/>
                <w:szCs w:val="21"/>
              </w:rPr>
              <w:t>30299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8"/>
                <w:szCs w:val="18"/>
              </w:rPr>
            </w:pPr>
            <w:r>
              <w:rPr>
                <w:rFonts w:ascii="宋体" w:hAnsi="宋体" w:eastAsia="宋体" w:cs="宋体"/>
                <w:color w:val="000000"/>
                <w:kern w:val="0"/>
                <w:sz w:val="18"/>
                <w:szCs w:val="18"/>
              </w:rPr>
              <w:t xml:space="preserve">  </w:t>
            </w:r>
            <w:r>
              <w:rPr>
                <w:rFonts w:hint="eastAsia" w:ascii="宋体" w:hAnsi="宋体" w:eastAsia="宋体" w:cs="宋体"/>
                <w:color w:val="000000"/>
                <w:kern w:val="0"/>
                <w:sz w:val="18"/>
                <w:szCs w:val="18"/>
              </w:rPr>
              <w:t>其他商品和服务支出</w:t>
            </w:r>
          </w:p>
        </w:tc>
        <w:tc>
          <w:tcPr>
            <w:tcW w:w="768"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Cs w:val="21"/>
              </w:rPr>
            </w:pPr>
          </w:p>
        </w:tc>
        <w:tc>
          <w:tcPr>
            <w:tcW w:w="744"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left"/>
              <w:rPr>
                <w:rFonts w:ascii="宋体" w:hAnsi="宋体" w:eastAsia="宋体" w:cs="宋体"/>
                <w:color w:val="000000"/>
                <w:szCs w:val="21"/>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Cs w:val="21"/>
              </w:rPr>
            </w:pP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Cs w:val="21"/>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人员经费合计</w:t>
            </w:r>
          </w:p>
        </w:tc>
        <w:tc>
          <w:tcPr>
            <w:tcW w:w="783" w:type="dxa"/>
            <w:tcBorders>
              <w:top w:val="nil"/>
              <w:left w:val="nil"/>
              <w:bottom w:val="single" w:color="000000" w:sz="4" w:space="0"/>
              <w:right w:val="single" w:color="000000" w:sz="4" w:space="0"/>
            </w:tcBorders>
            <w:noWrap/>
            <w:tcMar>
              <w:top w:w="15" w:type="dxa"/>
              <w:left w:w="15" w:type="dxa"/>
              <w:right w:w="15" w:type="dxa"/>
            </w:tcMar>
            <w:vAlign w:val="center"/>
          </w:tcPr>
          <w:p>
            <w:pPr>
              <w:spacing w:line="220" w:lineRule="exact"/>
              <w:jc w:val="right"/>
              <w:rPr>
                <w:rFonts w:ascii="宋体" w:hAnsi="宋体" w:eastAsia="宋体" w:cs="宋体"/>
                <w:color w:val="000000"/>
                <w:szCs w:val="21"/>
              </w:rPr>
            </w:pPr>
            <w:r>
              <w:rPr>
                <w:rFonts w:ascii="宋体" w:hAnsi="宋体" w:eastAsia="宋体" w:cs="宋体"/>
                <w:color w:val="000000"/>
                <w:szCs w:val="21"/>
              </w:rPr>
              <w:t>55.86</w:t>
            </w:r>
          </w:p>
        </w:tc>
        <w:tc>
          <w:tcPr>
            <w:tcW w:w="5657"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公用经费合计</w:t>
            </w:r>
          </w:p>
        </w:tc>
        <w:tc>
          <w:tcPr>
            <w:tcW w:w="732" w:type="dxa"/>
            <w:tcBorders>
              <w:top w:val="nil"/>
              <w:left w:val="nil"/>
              <w:bottom w:val="single" w:color="000000" w:sz="4" w:space="0"/>
              <w:right w:val="single" w:color="000000" w:sz="4" w:space="0"/>
            </w:tcBorders>
            <w:noWrap/>
            <w:tcMar>
              <w:top w:w="15" w:type="dxa"/>
              <w:left w:w="15" w:type="dxa"/>
              <w:right w:w="15" w:type="dxa"/>
            </w:tcMar>
            <w:vAlign w:val="center"/>
          </w:tcPr>
          <w:p>
            <w:pPr>
              <w:spacing w:line="180" w:lineRule="exact"/>
              <w:jc w:val="right"/>
              <w:rPr>
                <w:rFonts w:ascii="宋体" w:hAnsi="宋体" w:eastAsia="宋体" w:cs="宋体"/>
                <w:color w:val="000000"/>
                <w:szCs w:val="21"/>
              </w:rPr>
            </w:pPr>
            <w:r>
              <w:rPr>
                <w:rFonts w:ascii="宋体" w:hAnsi="宋体" w:eastAsia="宋体" w:cs="宋体"/>
                <w:color w:val="000000"/>
                <w:szCs w:val="21"/>
              </w:rPr>
              <w:t>6.49</w:t>
            </w:r>
          </w:p>
        </w:tc>
      </w:tr>
    </w:tbl>
    <w:p>
      <w:r>
        <w:rPr>
          <w:rFonts w:hint="eastAsia"/>
          <w:szCs w:val="21"/>
        </w:rPr>
        <w:t>注：本表反映部门本年度一般公共预算财政拨款基本支出明细情况。</w:t>
      </w:r>
      <w:r>
        <w:br w:type="page"/>
      </w:r>
    </w:p>
    <w:tbl>
      <w:tblPr>
        <w:tblStyle w:val="6"/>
        <w:tblW w:w="9222" w:type="dxa"/>
        <w:jc w:val="center"/>
        <w:tblInd w:w="0" w:type="dxa"/>
        <w:tblLayout w:type="fixed"/>
        <w:tblCellMar>
          <w:top w:w="0" w:type="dxa"/>
          <w:left w:w="0" w:type="dxa"/>
          <w:bottom w:w="0" w:type="dxa"/>
          <w:right w:w="0" w:type="dxa"/>
        </w:tblCellMar>
      </w:tblPr>
      <w:tblGrid>
        <w:gridCol w:w="1194"/>
        <w:gridCol w:w="2230"/>
        <w:gridCol w:w="1414"/>
        <w:gridCol w:w="1414"/>
        <w:gridCol w:w="1414"/>
        <w:gridCol w:w="1556"/>
      </w:tblGrid>
      <w:tr>
        <w:tblPrEx>
          <w:tblLayout w:type="fixed"/>
          <w:tblCellMar>
            <w:top w:w="0" w:type="dxa"/>
            <w:left w:w="0" w:type="dxa"/>
            <w:bottom w:w="0" w:type="dxa"/>
            <w:right w:w="0" w:type="dxa"/>
          </w:tblCellMar>
        </w:tblPrEx>
        <w:trPr>
          <w:trHeight w:val="638" w:hRule="atLeast"/>
          <w:jc w:val="center"/>
        </w:trPr>
        <w:tc>
          <w:tcPr>
            <w:tcW w:w="9222" w:type="dxa"/>
            <w:gridSpan w:val="6"/>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19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23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1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1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1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56"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07</w:t>
            </w:r>
            <w:r>
              <w:rPr>
                <w:rFonts w:hint="eastAsia" w:ascii="宋体" w:hAnsi="宋体" w:eastAsia="宋体" w:cs="宋体"/>
                <w:color w:val="000000"/>
                <w:kern w:val="0"/>
                <w:sz w:val="20"/>
                <w:szCs w:val="20"/>
              </w:rPr>
              <w:t>表</w:t>
            </w:r>
          </w:p>
        </w:tc>
      </w:tr>
      <w:tr>
        <w:tblPrEx>
          <w:tblLayout w:type="fixed"/>
          <w:tblCellMar>
            <w:top w:w="0" w:type="dxa"/>
            <w:left w:w="0" w:type="dxa"/>
            <w:bottom w:w="0" w:type="dxa"/>
            <w:right w:w="0" w:type="dxa"/>
          </w:tblCellMar>
        </w:tblPrEx>
        <w:trPr>
          <w:trHeight w:val="360" w:hRule="atLeast"/>
          <w:jc w:val="center"/>
        </w:trPr>
        <w:tc>
          <w:tcPr>
            <w:tcW w:w="1194"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23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石家庄市藁城区红十字会</w:t>
            </w:r>
          </w:p>
        </w:tc>
        <w:tc>
          <w:tcPr>
            <w:tcW w:w="141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1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41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556"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417" w:hRule="atLeast"/>
          <w:jc w:val="center"/>
        </w:trPr>
        <w:tc>
          <w:tcPr>
            <w:tcW w:w="9222"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Layout w:type="fixed"/>
          <w:tblCellMar>
            <w:top w:w="0" w:type="dxa"/>
            <w:left w:w="0" w:type="dxa"/>
            <w:bottom w:w="0" w:type="dxa"/>
            <w:right w:w="0" w:type="dxa"/>
          </w:tblCellMar>
        </w:tblPrEx>
        <w:trPr>
          <w:trHeight w:val="417" w:hRule="atLeast"/>
          <w:jc w:val="center"/>
        </w:trPr>
        <w:tc>
          <w:tcPr>
            <w:tcW w:w="1194"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230"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242"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56"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Layout w:type="fixed"/>
          <w:tblCellMar>
            <w:top w:w="0" w:type="dxa"/>
            <w:left w:w="0" w:type="dxa"/>
            <w:bottom w:w="0" w:type="dxa"/>
            <w:right w:w="0" w:type="dxa"/>
          </w:tblCellMar>
        </w:tblPrEx>
        <w:trPr>
          <w:trHeight w:val="417" w:hRule="atLeast"/>
          <w:jc w:val="center"/>
        </w:trPr>
        <w:tc>
          <w:tcPr>
            <w:tcW w:w="1194"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2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56"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194"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2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1556"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r>
      <w:tr>
        <w:tblPrEx>
          <w:tblLayout w:type="fixed"/>
          <w:tblCellMar>
            <w:top w:w="0" w:type="dxa"/>
            <w:left w:w="0" w:type="dxa"/>
            <w:bottom w:w="0" w:type="dxa"/>
            <w:right w:w="0" w:type="dxa"/>
          </w:tblCellMar>
        </w:tblPrEx>
        <w:trPr>
          <w:trHeight w:val="417" w:hRule="atLeast"/>
          <w:jc w:val="center"/>
        </w:trPr>
        <w:tc>
          <w:tcPr>
            <w:tcW w:w="1194" w:type="dxa"/>
            <w:tcBorders>
              <w:top w:val="nil"/>
              <w:left w:val="single" w:color="auto" w:sz="4" w:space="0"/>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414"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414"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414"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556" w:type="dxa"/>
            <w:tcBorders>
              <w:top w:val="nil"/>
              <w:left w:val="nil"/>
              <w:bottom w:val="single" w:color="000000" w:sz="4" w:space="0"/>
              <w:right w:val="single" w:color="auto" w:sz="4" w:space="0"/>
            </w:tcBorders>
            <w:noWrap/>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9222"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Layout w:type="fixed"/>
          <w:tblCellMar>
            <w:top w:w="0" w:type="dxa"/>
            <w:left w:w="0" w:type="dxa"/>
            <w:bottom w:w="0" w:type="dxa"/>
            <w:right w:w="0" w:type="dxa"/>
          </w:tblCellMar>
        </w:tblPrEx>
        <w:trPr>
          <w:trHeight w:val="417" w:hRule="atLeast"/>
          <w:jc w:val="center"/>
        </w:trPr>
        <w:tc>
          <w:tcPr>
            <w:tcW w:w="1194"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230"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242"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56"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Layout w:type="fixed"/>
          <w:tblCellMar>
            <w:top w:w="0" w:type="dxa"/>
            <w:left w:w="0" w:type="dxa"/>
            <w:bottom w:w="0" w:type="dxa"/>
            <w:right w:w="0" w:type="dxa"/>
          </w:tblCellMar>
        </w:tblPrEx>
        <w:trPr>
          <w:trHeight w:val="417" w:hRule="atLeast"/>
          <w:jc w:val="center"/>
        </w:trPr>
        <w:tc>
          <w:tcPr>
            <w:tcW w:w="1194"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2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56"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194"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7</w:t>
            </w:r>
          </w:p>
        </w:tc>
        <w:tc>
          <w:tcPr>
            <w:tcW w:w="223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8</w:t>
            </w: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9</w:t>
            </w: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10</w:t>
            </w:r>
          </w:p>
        </w:tc>
        <w:tc>
          <w:tcPr>
            <w:tcW w:w="141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11</w:t>
            </w:r>
          </w:p>
        </w:tc>
        <w:tc>
          <w:tcPr>
            <w:tcW w:w="1556"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12</w:t>
            </w:r>
          </w:p>
        </w:tc>
      </w:tr>
      <w:tr>
        <w:tblPrEx>
          <w:tblLayout w:type="fixed"/>
          <w:tblCellMar>
            <w:top w:w="0" w:type="dxa"/>
            <w:left w:w="0" w:type="dxa"/>
            <w:bottom w:w="0" w:type="dxa"/>
            <w:right w:w="0" w:type="dxa"/>
          </w:tblCellMar>
        </w:tblPrEx>
        <w:trPr>
          <w:trHeight w:val="447" w:hRule="atLeast"/>
          <w:jc w:val="center"/>
        </w:trPr>
        <w:tc>
          <w:tcPr>
            <w:tcW w:w="1194" w:type="dxa"/>
            <w:tcBorders>
              <w:top w:val="nil"/>
              <w:left w:val="single" w:color="auto" w:sz="4" w:space="0"/>
              <w:bottom w:val="single" w:color="auto"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2230" w:type="dxa"/>
            <w:tcBorders>
              <w:top w:val="nil"/>
              <w:left w:val="nil"/>
              <w:bottom w:val="single" w:color="auto"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414" w:type="dxa"/>
            <w:tcBorders>
              <w:top w:val="nil"/>
              <w:left w:val="nil"/>
              <w:bottom w:val="single" w:color="auto"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414" w:type="dxa"/>
            <w:tcBorders>
              <w:top w:val="nil"/>
              <w:left w:val="nil"/>
              <w:bottom w:val="single" w:color="auto"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414" w:type="dxa"/>
            <w:tcBorders>
              <w:top w:val="nil"/>
              <w:left w:val="nil"/>
              <w:bottom w:val="single" w:color="auto"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556" w:type="dxa"/>
            <w:tcBorders>
              <w:top w:val="nil"/>
              <w:left w:val="nil"/>
              <w:bottom w:val="single" w:color="auto" w:sz="4" w:space="0"/>
              <w:right w:val="single" w:color="auto" w:sz="4" w:space="0"/>
            </w:tcBorders>
            <w:noWrap/>
            <w:tcMar>
              <w:top w:w="15" w:type="dxa"/>
              <w:left w:w="15" w:type="dxa"/>
              <w:right w:w="15" w:type="dxa"/>
            </w:tcMar>
            <w:vAlign w:val="center"/>
          </w:tcPr>
          <w:p>
            <w:pPr>
              <w:jc w:val="center"/>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本部门本年度无“三公”经费支出预决算情况，按要求以空表列示。</w:t>
      </w:r>
      <w:r>
        <w:rPr>
          <w:rFonts w:ascii="仿宋_GB2312" w:hAnsi="仿宋_GB2312" w:eastAsia="仿宋_GB2312" w:cs="仿宋_GB2312"/>
        </w:rPr>
        <w:tab/>
      </w:r>
      <w:r>
        <w:tab/>
      </w:r>
      <w:r>
        <w:tab/>
      </w:r>
      <w:r>
        <w:tab/>
      </w:r>
      <w:r>
        <w:tab/>
      </w:r>
      <w:r>
        <w:tab/>
      </w:r>
      <w:r>
        <w:tab/>
      </w:r>
      <w:r>
        <w:tab/>
      </w:r>
      <w:r>
        <w:tab/>
      </w:r>
      <w:r>
        <w:tab/>
      </w:r>
      <w:r>
        <w:tab/>
      </w:r>
      <w:r>
        <w:br w:type="page"/>
      </w:r>
    </w:p>
    <w:tbl>
      <w:tblPr>
        <w:tblStyle w:val="6"/>
        <w:tblW w:w="9512" w:type="dxa"/>
        <w:jc w:val="center"/>
        <w:tblInd w:w="0" w:type="dxa"/>
        <w:tblLayout w:type="fixed"/>
        <w:tblCellMar>
          <w:top w:w="0" w:type="dxa"/>
          <w:left w:w="0" w:type="dxa"/>
          <w:bottom w:w="0" w:type="dxa"/>
          <w:right w:w="0" w:type="dxa"/>
        </w:tblCellMar>
      </w:tblPr>
      <w:tblGrid>
        <w:gridCol w:w="630"/>
        <w:gridCol w:w="50"/>
        <w:gridCol w:w="50"/>
        <w:gridCol w:w="2230"/>
        <w:gridCol w:w="1092"/>
        <w:gridCol w:w="1092"/>
        <w:gridCol w:w="1092"/>
        <w:gridCol w:w="1092"/>
        <w:gridCol w:w="1092"/>
        <w:gridCol w:w="1092"/>
      </w:tblGrid>
      <w:tr>
        <w:tblPrEx>
          <w:tblLayout w:type="fixed"/>
          <w:tblCellMar>
            <w:top w:w="0" w:type="dxa"/>
            <w:left w:w="0" w:type="dxa"/>
            <w:bottom w:w="0" w:type="dxa"/>
            <w:right w:w="0" w:type="dxa"/>
          </w:tblCellMar>
        </w:tblPrEx>
        <w:trPr>
          <w:trHeight w:val="780" w:hRule="atLeast"/>
          <w:jc w:val="center"/>
        </w:trPr>
        <w:tc>
          <w:tcPr>
            <w:tcW w:w="9512"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63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23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184"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08</w:t>
            </w:r>
            <w:r>
              <w:rPr>
                <w:rFonts w:hint="eastAsia" w:ascii="宋体" w:hAnsi="宋体" w:eastAsia="宋体" w:cs="宋体"/>
                <w:color w:val="000000"/>
                <w:kern w:val="0"/>
                <w:sz w:val="20"/>
                <w:szCs w:val="20"/>
              </w:rPr>
              <w:t>表</w:t>
            </w:r>
          </w:p>
        </w:tc>
      </w:tr>
      <w:tr>
        <w:tblPrEx>
          <w:tblLayout w:type="fixed"/>
          <w:tblCellMar>
            <w:top w:w="0" w:type="dxa"/>
            <w:left w:w="0" w:type="dxa"/>
            <w:bottom w:w="0" w:type="dxa"/>
            <w:right w:w="0" w:type="dxa"/>
          </w:tblCellMar>
        </w:tblPrEx>
        <w:trPr>
          <w:trHeight w:val="255" w:hRule="atLeast"/>
          <w:jc w:val="center"/>
        </w:trPr>
        <w:tc>
          <w:tcPr>
            <w:tcW w:w="630"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23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石家庄市藁城区红十字会</w:t>
            </w:r>
          </w:p>
        </w:tc>
        <w:tc>
          <w:tcPr>
            <w:tcW w:w="10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9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184"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08" w:hRule="atLeast"/>
          <w:jc w:val="center"/>
        </w:trPr>
        <w:tc>
          <w:tcPr>
            <w:tcW w:w="296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9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09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276"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09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Layout w:type="fixed"/>
          <w:tblCellMar>
            <w:top w:w="0" w:type="dxa"/>
            <w:left w:w="0" w:type="dxa"/>
            <w:bottom w:w="0" w:type="dxa"/>
            <w:right w:w="0" w:type="dxa"/>
          </w:tblCellMar>
        </w:tblPrEx>
        <w:trPr>
          <w:trHeight w:val="312" w:hRule="atLeast"/>
          <w:jc w:val="center"/>
        </w:trPr>
        <w:tc>
          <w:tcPr>
            <w:tcW w:w="730"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230"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9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0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09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730"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23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730"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23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960"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4</w:t>
            </w: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5</w:t>
            </w: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6</w:t>
            </w:r>
          </w:p>
        </w:tc>
      </w:tr>
      <w:tr>
        <w:tblPrEx>
          <w:tblLayout w:type="fixed"/>
          <w:tblCellMar>
            <w:top w:w="0" w:type="dxa"/>
            <w:left w:w="0" w:type="dxa"/>
            <w:bottom w:w="0" w:type="dxa"/>
            <w:right w:w="0" w:type="dxa"/>
          </w:tblCellMar>
        </w:tblPrEx>
        <w:trPr>
          <w:trHeight w:val="308" w:hRule="atLeast"/>
          <w:jc w:val="center"/>
        </w:trPr>
        <w:tc>
          <w:tcPr>
            <w:tcW w:w="2960"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73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73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73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73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730"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23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注：本表反映部门本年度政府性基金预算财政拨款收入、支出及结转和结余情况。本部门本年度无收支及结转结余情况，按要求以空表列示。</w:t>
      </w:r>
      <w:r>
        <w:br w:type="page"/>
      </w:r>
    </w:p>
    <w:tbl>
      <w:tblPr>
        <w:tblStyle w:val="6"/>
        <w:tblW w:w="9917" w:type="dxa"/>
        <w:jc w:val="center"/>
        <w:tblInd w:w="0" w:type="dxa"/>
        <w:tblLayout w:type="fixed"/>
        <w:tblCellMar>
          <w:top w:w="0" w:type="dxa"/>
          <w:left w:w="0" w:type="dxa"/>
          <w:bottom w:w="0" w:type="dxa"/>
          <w:right w:w="0" w:type="dxa"/>
        </w:tblCellMar>
      </w:tblPr>
      <w:tblGrid>
        <w:gridCol w:w="1184"/>
        <w:gridCol w:w="94"/>
        <w:gridCol w:w="94"/>
        <w:gridCol w:w="4242"/>
        <w:gridCol w:w="883"/>
        <w:gridCol w:w="1710"/>
        <w:gridCol w:w="1710"/>
      </w:tblGrid>
      <w:tr>
        <w:tblPrEx>
          <w:tblLayout w:type="fixed"/>
          <w:tblCellMar>
            <w:top w:w="0" w:type="dxa"/>
            <w:left w:w="0" w:type="dxa"/>
            <w:bottom w:w="0" w:type="dxa"/>
            <w:right w:w="0" w:type="dxa"/>
          </w:tblCellMar>
        </w:tblPrEx>
        <w:trPr>
          <w:trHeight w:val="840" w:hRule="atLeast"/>
          <w:jc w:val="center"/>
        </w:trPr>
        <w:tc>
          <w:tcPr>
            <w:tcW w:w="9917"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18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24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8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420"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w:t>
            </w:r>
            <w:r>
              <w:rPr>
                <w:rFonts w:ascii="宋体" w:hAnsi="宋体" w:eastAsia="宋体" w:cs="宋体"/>
                <w:color w:val="000000"/>
                <w:kern w:val="0"/>
                <w:sz w:val="20"/>
                <w:szCs w:val="20"/>
              </w:rPr>
              <w:t>09</w:t>
            </w:r>
            <w:r>
              <w:rPr>
                <w:rFonts w:hint="eastAsia" w:ascii="宋体" w:hAnsi="宋体" w:eastAsia="宋体" w:cs="宋体"/>
                <w:color w:val="000000"/>
                <w:kern w:val="0"/>
                <w:sz w:val="20"/>
                <w:szCs w:val="20"/>
              </w:rPr>
              <w:t>表</w:t>
            </w:r>
          </w:p>
        </w:tc>
      </w:tr>
      <w:tr>
        <w:tblPrEx>
          <w:tblLayout w:type="fixed"/>
          <w:tblCellMar>
            <w:top w:w="0" w:type="dxa"/>
            <w:left w:w="0" w:type="dxa"/>
            <w:bottom w:w="0" w:type="dxa"/>
            <w:right w:w="0" w:type="dxa"/>
          </w:tblCellMar>
        </w:tblPrEx>
        <w:trPr>
          <w:trHeight w:val="255" w:hRule="atLeast"/>
          <w:jc w:val="center"/>
        </w:trPr>
        <w:tc>
          <w:tcPr>
            <w:tcW w:w="1184"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9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242"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88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420"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08" w:hRule="atLeast"/>
          <w:jc w:val="center"/>
        </w:trPr>
        <w:tc>
          <w:tcPr>
            <w:tcW w:w="5614"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303"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Layout w:type="fixed"/>
          <w:tblCellMar>
            <w:top w:w="0" w:type="dxa"/>
            <w:left w:w="0" w:type="dxa"/>
            <w:bottom w:w="0" w:type="dxa"/>
            <w:right w:w="0" w:type="dxa"/>
          </w:tblCellMar>
        </w:tblPrEx>
        <w:trPr>
          <w:trHeight w:val="615" w:hRule="atLeast"/>
          <w:jc w:val="center"/>
        </w:trPr>
        <w:tc>
          <w:tcPr>
            <w:tcW w:w="137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24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8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Layout w:type="fixed"/>
          <w:tblCellMar>
            <w:top w:w="0" w:type="dxa"/>
            <w:left w:w="0" w:type="dxa"/>
            <w:bottom w:w="0" w:type="dxa"/>
            <w:right w:w="0" w:type="dxa"/>
          </w:tblCellMar>
        </w:tblPrEx>
        <w:trPr>
          <w:trHeight w:val="308" w:hRule="atLeast"/>
          <w:jc w:val="center"/>
        </w:trPr>
        <w:tc>
          <w:tcPr>
            <w:tcW w:w="5614"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88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1</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2</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ascii="宋体" w:hAnsi="宋体" w:eastAsia="宋体" w:cs="宋体"/>
                <w:color w:val="000000"/>
                <w:kern w:val="0"/>
                <w:sz w:val="22"/>
              </w:rPr>
              <w:t>3</w:t>
            </w:r>
          </w:p>
        </w:tc>
      </w:tr>
      <w:tr>
        <w:tblPrEx>
          <w:tblLayout w:type="fixed"/>
          <w:tblCellMar>
            <w:top w:w="0" w:type="dxa"/>
            <w:left w:w="0" w:type="dxa"/>
            <w:bottom w:w="0" w:type="dxa"/>
            <w:right w:w="0" w:type="dxa"/>
          </w:tblCellMar>
        </w:tblPrEx>
        <w:trPr>
          <w:trHeight w:val="308" w:hRule="atLeast"/>
          <w:jc w:val="center"/>
        </w:trPr>
        <w:tc>
          <w:tcPr>
            <w:tcW w:w="5614" w:type="dxa"/>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372"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42"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72"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42"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72"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42"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72"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42"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72"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42"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注：本部门本年度无相关支出情况，按要求空表列示。</w:t>
      </w:r>
      <w:r>
        <w:br w:type="page"/>
      </w:r>
    </w:p>
    <w:p>
      <w:r>
        <w:pict>
          <v:rect id="_x0000_s1045" o:spid="_x0000_s1045" o:spt="1" style="position:absolute;left:0pt;margin-left:-70.5pt;margin-top:-85.25pt;height:841.15pt;width:595.1pt;z-index:251663360;v-text-anchor:middle;mso-width-relative:page;mso-height-relative:page;" fillcolor="#FFC000" filled="t" stroked="f" coordsize="21600,21600">
            <v:path/>
            <v:fill on="t" focussize="0,0"/>
            <v:stroke on="f" weight="1pt"/>
            <v:imagedata o:title=""/>
            <o:lock v:ext="edit"/>
          </v:rect>
        </w:pict>
      </w:r>
    </w:p>
    <w:sectPr>
      <w:pgSz w:w="11906" w:h="16838"/>
      <w:pgMar w:top="1091" w:right="1417" w:bottom="109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思源黑体 HW Bold">
    <w:altName w:val="黑体"/>
    <w:panose1 w:val="00000000000000000000"/>
    <w:charset w:val="86"/>
    <w:family w:val="swiss"/>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Yu Gothic UI Semibold">
    <w:panose1 w:val="020B0700000000000000"/>
    <w:charset w:val="80"/>
    <w:family w:val="swiss"/>
    <w:pitch w:val="default"/>
    <w:sig w:usb0="E00002FF" w:usb1="2AC7FDFF" w:usb2="00000016" w:usb3="00000000" w:csb0="2002009F" w:csb1="00000000"/>
  </w:font>
  <w:font w:name="??">
    <w:altName w:val="Times New Roman"/>
    <w:panose1 w:val="00000000000000000000"/>
    <w:charset w:val="00"/>
    <w:family w:val="auto"/>
    <w:pitch w:val="default"/>
    <w:sig w:usb0="00000000" w:usb1="00000000" w:usb2="00000000" w:usb3="00000000" w:csb0="00000001" w:csb1="00000000"/>
  </w:font>
  <w:font w:name="????_GBK">
    <w:altName w:val="Segoe Print"/>
    <w:panose1 w:val="00000000000000000000"/>
    <w:charset w:val="00"/>
    <w:family w:val="auto"/>
    <w:pitch w:val="default"/>
    <w:sig w:usb0="00000000" w:usb1="00000000" w:usb2="00000000" w:usb3="00000000" w:csb0="00000001" w:csb1="00000000"/>
  </w:font>
  <w:font w:name="??_GB2312">
    <w:altName w:val="Times New Roman"/>
    <w:panose1 w:val="00000000000000000000"/>
    <w:charset w:val="00"/>
    <w:family w:val="auto"/>
    <w:pitch w:val="default"/>
    <w:sig w:usb0="00000000" w:usb1="00000000" w:usb2="00000000" w:usb3="00000000" w:csb0="00000001" w:csb1="00000000"/>
  </w:font>
  <w:font w:name="ArialUnicodeMS">
    <w:altName w:val="Malgun Gothic"/>
    <w:panose1 w:val="00000000000000000000"/>
    <w:charset w:val="81"/>
    <w:family w:val="auto"/>
    <w:pitch w:val="default"/>
    <w:sig w:usb0="00000000" w:usb1="00000000" w:usb2="00000010" w:usb3="00000000" w:csb0="00080000"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6AAF1C96"/>
    <w:rsid w:val="00004C9E"/>
    <w:rsid w:val="000272DC"/>
    <w:rsid w:val="0007063E"/>
    <w:rsid w:val="0007258F"/>
    <w:rsid w:val="00073392"/>
    <w:rsid w:val="00073F4E"/>
    <w:rsid w:val="00086C89"/>
    <w:rsid w:val="000A2B95"/>
    <w:rsid w:val="000A39FB"/>
    <w:rsid w:val="000A6F33"/>
    <w:rsid w:val="000B0134"/>
    <w:rsid w:val="000E7C02"/>
    <w:rsid w:val="0010730D"/>
    <w:rsid w:val="00117746"/>
    <w:rsid w:val="00134380"/>
    <w:rsid w:val="00143BC1"/>
    <w:rsid w:val="00163F95"/>
    <w:rsid w:val="00180A9A"/>
    <w:rsid w:val="001829C0"/>
    <w:rsid w:val="00184809"/>
    <w:rsid w:val="00192112"/>
    <w:rsid w:val="001979A1"/>
    <w:rsid w:val="001B0127"/>
    <w:rsid w:val="001B184A"/>
    <w:rsid w:val="001C12D5"/>
    <w:rsid w:val="001C69F7"/>
    <w:rsid w:val="001D6F97"/>
    <w:rsid w:val="001E6E9C"/>
    <w:rsid w:val="00210AA3"/>
    <w:rsid w:val="002220E5"/>
    <w:rsid w:val="0022761F"/>
    <w:rsid w:val="002462FC"/>
    <w:rsid w:val="0024790A"/>
    <w:rsid w:val="002650EC"/>
    <w:rsid w:val="002655B9"/>
    <w:rsid w:val="002836D3"/>
    <w:rsid w:val="0029548A"/>
    <w:rsid w:val="002A368B"/>
    <w:rsid w:val="002A6C46"/>
    <w:rsid w:val="002B0B79"/>
    <w:rsid w:val="002B1775"/>
    <w:rsid w:val="002C19B5"/>
    <w:rsid w:val="002E3FFC"/>
    <w:rsid w:val="002F051B"/>
    <w:rsid w:val="00333572"/>
    <w:rsid w:val="003426F9"/>
    <w:rsid w:val="003A4EE8"/>
    <w:rsid w:val="003B5564"/>
    <w:rsid w:val="0044287E"/>
    <w:rsid w:val="00442CC2"/>
    <w:rsid w:val="00446244"/>
    <w:rsid w:val="0045687B"/>
    <w:rsid w:val="00473C20"/>
    <w:rsid w:val="004D61CB"/>
    <w:rsid w:val="004D6500"/>
    <w:rsid w:val="005011D6"/>
    <w:rsid w:val="00503F2E"/>
    <w:rsid w:val="00520782"/>
    <w:rsid w:val="0053170D"/>
    <w:rsid w:val="00552226"/>
    <w:rsid w:val="00566120"/>
    <w:rsid w:val="00582E6D"/>
    <w:rsid w:val="005954D5"/>
    <w:rsid w:val="005A53FA"/>
    <w:rsid w:val="005D1293"/>
    <w:rsid w:val="006261F9"/>
    <w:rsid w:val="00634F53"/>
    <w:rsid w:val="00644D5F"/>
    <w:rsid w:val="00657F86"/>
    <w:rsid w:val="0066425F"/>
    <w:rsid w:val="006727AD"/>
    <w:rsid w:val="00691425"/>
    <w:rsid w:val="006A516E"/>
    <w:rsid w:val="006B0830"/>
    <w:rsid w:val="00702C35"/>
    <w:rsid w:val="00716E2B"/>
    <w:rsid w:val="00743913"/>
    <w:rsid w:val="007560BB"/>
    <w:rsid w:val="00770F18"/>
    <w:rsid w:val="00773B74"/>
    <w:rsid w:val="0078290C"/>
    <w:rsid w:val="00784D53"/>
    <w:rsid w:val="00794C50"/>
    <w:rsid w:val="007C06CA"/>
    <w:rsid w:val="007E7D60"/>
    <w:rsid w:val="0081225C"/>
    <w:rsid w:val="008163FB"/>
    <w:rsid w:val="0082605B"/>
    <w:rsid w:val="00850E4F"/>
    <w:rsid w:val="00855C36"/>
    <w:rsid w:val="00857DBE"/>
    <w:rsid w:val="008701BC"/>
    <w:rsid w:val="00875184"/>
    <w:rsid w:val="00881FF8"/>
    <w:rsid w:val="00883D92"/>
    <w:rsid w:val="008A5362"/>
    <w:rsid w:val="008F21F1"/>
    <w:rsid w:val="008F221B"/>
    <w:rsid w:val="008F5A2D"/>
    <w:rsid w:val="00921602"/>
    <w:rsid w:val="00957EA1"/>
    <w:rsid w:val="00966E5B"/>
    <w:rsid w:val="009829BC"/>
    <w:rsid w:val="009B4EF0"/>
    <w:rsid w:val="009B54F8"/>
    <w:rsid w:val="009B5D85"/>
    <w:rsid w:val="009C6136"/>
    <w:rsid w:val="009D271F"/>
    <w:rsid w:val="00A14F15"/>
    <w:rsid w:val="00A15442"/>
    <w:rsid w:val="00A51323"/>
    <w:rsid w:val="00A83E2D"/>
    <w:rsid w:val="00A929C2"/>
    <w:rsid w:val="00AD097F"/>
    <w:rsid w:val="00B40A1A"/>
    <w:rsid w:val="00B42D72"/>
    <w:rsid w:val="00B844F4"/>
    <w:rsid w:val="00B84F55"/>
    <w:rsid w:val="00B90A62"/>
    <w:rsid w:val="00BA06A1"/>
    <w:rsid w:val="00BA770A"/>
    <w:rsid w:val="00BB2C16"/>
    <w:rsid w:val="00BC1624"/>
    <w:rsid w:val="00BC592B"/>
    <w:rsid w:val="00BD2517"/>
    <w:rsid w:val="00C054DE"/>
    <w:rsid w:val="00C43731"/>
    <w:rsid w:val="00C679A9"/>
    <w:rsid w:val="00C7541C"/>
    <w:rsid w:val="00C86061"/>
    <w:rsid w:val="00C96A53"/>
    <w:rsid w:val="00CC0FAA"/>
    <w:rsid w:val="00CD0736"/>
    <w:rsid w:val="00CE2517"/>
    <w:rsid w:val="00D1570F"/>
    <w:rsid w:val="00D25B7A"/>
    <w:rsid w:val="00D32830"/>
    <w:rsid w:val="00D65437"/>
    <w:rsid w:val="00DB7153"/>
    <w:rsid w:val="00DB7F05"/>
    <w:rsid w:val="00DC42F6"/>
    <w:rsid w:val="00DD2AF2"/>
    <w:rsid w:val="00DE2332"/>
    <w:rsid w:val="00DF42D3"/>
    <w:rsid w:val="00E028C3"/>
    <w:rsid w:val="00E14F77"/>
    <w:rsid w:val="00E3076B"/>
    <w:rsid w:val="00E36978"/>
    <w:rsid w:val="00E82A1E"/>
    <w:rsid w:val="00EA05EC"/>
    <w:rsid w:val="00EC06F4"/>
    <w:rsid w:val="00ED5556"/>
    <w:rsid w:val="00EE4E36"/>
    <w:rsid w:val="00F1650D"/>
    <w:rsid w:val="00F665F4"/>
    <w:rsid w:val="00FB28CB"/>
    <w:rsid w:val="00FC6A39"/>
    <w:rsid w:val="00FD225F"/>
    <w:rsid w:val="00FD5AA6"/>
    <w:rsid w:val="05B00A30"/>
    <w:rsid w:val="0B011416"/>
    <w:rsid w:val="2E686F09"/>
    <w:rsid w:val="31C2036A"/>
    <w:rsid w:val="320D02A5"/>
    <w:rsid w:val="348E566F"/>
    <w:rsid w:val="3A226944"/>
    <w:rsid w:val="3AEE6A48"/>
    <w:rsid w:val="3C1620AA"/>
    <w:rsid w:val="3D8F080F"/>
    <w:rsid w:val="44CE1FA4"/>
    <w:rsid w:val="487F73ED"/>
    <w:rsid w:val="4A347EAE"/>
    <w:rsid w:val="52600405"/>
    <w:rsid w:val="529B4319"/>
    <w:rsid w:val="57773DD6"/>
    <w:rsid w:val="578B79AB"/>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2"/>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qFormat/>
    <w:uiPriority w:val="99"/>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link w:val="10"/>
    <w:qFormat/>
    <w:uiPriority w:val="99"/>
    <w:rPr>
      <w:rFonts w:ascii="仿宋_GB2312" w:hAnsi="仿宋_GB2312" w:eastAsia="仿宋_GB2312" w:cs="仿宋_GB2312"/>
      <w:sz w:val="32"/>
      <w:szCs w:val="32"/>
      <w:lang w:val="zh-CN"/>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Heading 1 Char"/>
    <w:basedOn w:val="8"/>
    <w:link w:val="2"/>
    <w:qFormat/>
    <w:locked/>
    <w:uiPriority w:val="99"/>
    <w:rPr>
      <w:rFonts w:ascii="等线" w:hAnsi="等线" w:eastAsia="等线" w:cs="Times New Roman"/>
      <w:b/>
      <w:bCs/>
      <w:kern w:val="44"/>
      <w:sz w:val="44"/>
      <w:szCs w:val="44"/>
    </w:rPr>
  </w:style>
  <w:style w:type="character" w:customStyle="1" w:styleId="10">
    <w:name w:val="Body Text Char"/>
    <w:basedOn w:val="8"/>
    <w:link w:val="3"/>
    <w:semiHidden/>
    <w:qFormat/>
    <w:locked/>
    <w:uiPriority w:val="99"/>
    <w:rPr>
      <w:rFonts w:ascii="等线" w:hAnsi="等线" w:eastAsia="等线" w:cs="Times New Roman"/>
    </w:rPr>
  </w:style>
  <w:style w:type="character" w:customStyle="1" w:styleId="11">
    <w:name w:val="Footer Char"/>
    <w:basedOn w:val="8"/>
    <w:link w:val="4"/>
    <w:locked/>
    <w:uiPriority w:val="99"/>
    <w:rPr>
      <w:rFonts w:cs="Times New Roman"/>
      <w:sz w:val="18"/>
      <w:szCs w:val="18"/>
    </w:rPr>
  </w:style>
  <w:style w:type="character" w:customStyle="1" w:styleId="12">
    <w:name w:val="Header Char"/>
    <w:basedOn w:val="8"/>
    <w:link w:val="5"/>
    <w:locked/>
    <w:uiPriority w:val="99"/>
    <w:rPr>
      <w:rFonts w:ascii="等线" w:hAnsi="等线" w:eastAsia="等线" w:cs="Times New Roman"/>
      <w:sz w:val="18"/>
      <w:szCs w:val="18"/>
    </w:rPr>
  </w:style>
  <w:style w:type="paragraph" w:customStyle="1" w:styleId="13">
    <w:name w:val="列出段落1"/>
    <w:basedOn w:val="1"/>
    <w:qFormat/>
    <w:uiPriority w:val="99"/>
    <w:pPr>
      <w:spacing w:before="2"/>
      <w:ind w:left="119" w:right="434" w:firstLine="643"/>
    </w:pPr>
    <w:rPr>
      <w:rFonts w:ascii="仿宋_GB2312" w:hAnsi="仿宋_GB2312" w:eastAsia="仿宋_GB2312" w:cs="仿宋_GB2312"/>
      <w:lang w:val="zh-CN"/>
    </w:rPr>
  </w:style>
  <w:style w:type="paragraph" w:customStyle="1" w:styleId="14">
    <w:name w:val="p0"/>
    <w:basedOn w:val="1"/>
    <w:qFormat/>
    <w:uiPriority w:val="99"/>
    <w:pPr>
      <w:widowControl/>
      <w:spacing w:line="600" w:lineRule="atLeast"/>
      <w:ind w:firstLine="420"/>
    </w:pPr>
    <w:rPr>
      <w:rFonts w:ascii="Times New Roman" w:hAnsi="Times New Roman" w:eastAsia="宋体"/>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DOCUME~1/ADMINI~1/LOCALS~1/Temp/ksohtml/clip_image2.png" TargetMode="External"/><Relationship Id="rId18" Type="http://schemas.openxmlformats.org/officeDocument/2006/relationships/image" Target="media/image4.png"/><Relationship Id="rId17" Type="http://schemas.openxmlformats.org/officeDocument/2006/relationships/image" Target="../../../DOCUME~1/ADMINI~1/LOCALS~1/Temp/ksohtml/clip_image1.png" TargetMode="External"/><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header" Target="header7.xml"/><Relationship Id="rId11" Type="http://schemas.openxmlformats.org/officeDocument/2006/relationships/header" Target="header6.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7"/>
    <customShpInfo spid="_x0000_s1028"/>
    <customShpInfo spid="_x0000_s1026"/>
    <customShpInfo spid="_x0000_s1029"/>
    <customShpInfo spid="_x0000_s1030"/>
    <customShpInfo spid="_x0000_s1031"/>
    <customShpInfo spid="_x0000_s1032"/>
    <customShpInfo spid="_x0000_s1034"/>
    <customShpInfo spid="_x0000_s1035"/>
    <customShpInfo spid="_x0000_s1033"/>
    <customShpInfo spid="_x0000_s1036"/>
    <customShpInfo spid="_x0000_s1037"/>
    <customShpInfo spid="_x0000_s1038"/>
    <customShpInfo spid="_x0000_s1039"/>
    <customShpInfo spid="_x0000_s1041"/>
    <customShpInfo spid="_x0000_s1042"/>
    <customShpInfo spid="_x0000_s1040"/>
    <customShpInfo spid="_x0000_s1043"/>
    <customShpInfo spid="_x0000_s1044"/>
    <customShpInfo spid="_x0000_s104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28</Pages>
  <Words>1411</Words>
  <Characters>8049</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2021-05-21T03:06:33Z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