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南孟镇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综合公用经费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</w:rPr>
        <w:t>保障各项资金按时到位，及时支付环保治理、土地违法、安全生产、食品安全、信访等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2019年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 w:cs="仿宋"/>
          <w:sz w:val="32"/>
          <w:szCs w:val="32"/>
        </w:rPr>
        <w:t>人民政府申报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 w:cs="仿宋"/>
          <w:sz w:val="32"/>
          <w:szCs w:val="32"/>
        </w:rPr>
        <w:t>资金项目。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74.3</w:t>
      </w:r>
      <w:r>
        <w:rPr>
          <w:rFonts w:hint="eastAsia" w:ascii="仿宋" w:hAnsi="仿宋" w:eastAsia="仿宋" w:cs="仿宋"/>
          <w:sz w:val="32"/>
          <w:szCs w:val="32"/>
        </w:rPr>
        <w:t>万元，用于及时支付环保治理、土地违法、安全生产、食品安全、信访等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及时支付环保治理、土地违法、安全生产、食品安全、信访等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预算执行率指标10分，包括预算资金使用到位100% 10分；效益指标40分，包括协税等劳务费税收完成率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、保障政府为民服务正常开展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资金项目的社会效益和服务对象满意度均达到95%以上，分值9分。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张立辉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田勇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秦金华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范泽军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ED4CF8"/>
    <w:rsid w:val="132F1AE4"/>
    <w:rsid w:val="16876725"/>
    <w:rsid w:val="1A0565F6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EC7AB9"/>
    <w:rsid w:val="36F417C2"/>
    <w:rsid w:val="386E414D"/>
    <w:rsid w:val="39B62FE3"/>
    <w:rsid w:val="3A92665E"/>
    <w:rsid w:val="3E267313"/>
    <w:rsid w:val="432C186B"/>
    <w:rsid w:val="462C42CE"/>
    <w:rsid w:val="48C231BA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E4F3E7E"/>
    <w:rsid w:val="5FF86216"/>
    <w:rsid w:val="65B402D7"/>
    <w:rsid w:val="69FC3FFD"/>
    <w:rsid w:val="6BD11BEC"/>
    <w:rsid w:val="6CA42F9A"/>
    <w:rsid w:val="6D2A41E2"/>
    <w:rsid w:val="6DEE0B24"/>
    <w:rsid w:val="6E16152F"/>
    <w:rsid w:val="70A5287A"/>
    <w:rsid w:val="74A57B1D"/>
    <w:rsid w:val="767A16E4"/>
    <w:rsid w:val="777B0E2D"/>
    <w:rsid w:val="78E656D6"/>
    <w:rsid w:val="7A4407F4"/>
    <w:rsid w:val="7CD85B1D"/>
    <w:rsid w:val="7E75317C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17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2020-08-18T11:12:04Z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