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二十九日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二十九日</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石家庄市藁城区张家庄镇人民政府</w:t>
      </w:r>
    </w:p>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二十九日</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rPr>
          <w:sz w:val="72"/>
        </w:rPr>
      </w:pPr>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1"/>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p>
    <w:p>
      <w:pPr>
        <w:rPr>
          <w:sz w:val="72"/>
        </w:rPr>
      </w:pPr>
    </w:p>
    <w:p>
      <w:pPr>
        <w:rPr>
          <w:sz w:val="72"/>
        </w:rPr>
      </w:pPr>
    </w:p>
    <w:p>
      <w:pPr>
        <w:rPr>
          <w:sz w:val="72"/>
        </w:rPr>
      </w:pPr>
    </w:p>
    <w:p>
      <w:pPr>
        <w:rPr>
          <w:sz w:val="72"/>
        </w:rPr>
      </w:pPr>
    </w:p>
    <w:p>
      <w:pPr>
        <w:rPr>
          <w:sz w:val="72"/>
        </w:rPr>
      </w:pPr>
    </w:p>
    <w:p>
      <w:pPr>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一、政务管理：依法依</w:t>
      </w:r>
      <w:r>
        <w:rPr>
          <w:rFonts w:hint="eastAsia" w:ascii="仿宋" w:hAnsi="仿宋" w:eastAsia="仿宋" w:cs="仿宋"/>
          <w:sz w:val="32"/>
          <w:szCs w:val="32"/>
          <w:lang w:eastAsia="zh-CN"/>
        </w:rPr>
        <w:t>规</w:t>
      </w:r>
      <w:r>
        <w:rPr>
          <w:rFonts w:hint="eastAsia" w:ascii="仿宋" w:hAnsi="仿宋" w:eastAsia="仿宋" w:cs="仿宋"/>
          <w:sz w:val="32"/>
          <w:szCs w:val="32"/>
        </w:rPr>
        <w:t>完成工作任务，推进科学决策。做好各类突发事件得到及时处理，确保机关工作正常运行。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二、经济发展：制定经济发展规划，促进民营企业发展，招商引资发展支柱产业。</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三、社会救助政策及管理：保证农民生活最低保障，缓解困难家庭的生活困难。</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四、计划生育：增强群众自觉实行计划生育，稳定生育水平，计生户家庭得到奖励扶助，保障计划生育法的落实。</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五、农业生产：发挥农业科技支撑作用，通过新技术成果的展示，辐射带动全镇适宜区域的农业行业技术推广应用。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六、城镇建设：对镇村道路进行建设，达到全覆盖。完成农村面貌改造提升的全面提升。</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七、文教卫生：配合教育、科技、文体、卫生等部门搞好义务教育，保障中小学正常运转，普及推广科学技术，丰富农村文化生活，推行合作医疗。</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八、社会综合治理：预防减少不稳定因素的发生，有效缓解不稳定隐患、群体性事件和突发事件，维护国家安全工作。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九、</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预算管理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负责镇财政预算管理与执行保证镇机关正常运转</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财务管理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负责镇机关收支活动，组织实施镇财务核算及监督工作</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以收定支，合理安排支出，严防出现资金支出不规范现象发生。</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十一</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村财镇代管</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负责村级财务核算及监督工作</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对村级财务进行规范化管理，严防支出票据不规范现象发生。</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十二</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涉农资金</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负责涉农资金的落实，将各项涉农资金兑付落实，监督管理资金的合理有效使用。</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十三</w:t>
      </w:r>
      <w:r>
        <w:rPr>
          <w:rFonts w:hint="eastAsia" w:ascii="仿宋_GB2312" w:hAnsi="Calibri" w:eastAsia="仿宋_GB2312" w:cs="ArialUnicodeMS"/>
          <w:kern w:val="0"/>
          <w:sz w:val="32"/>
          <w:szCs w:val="32"/>
          <w:lang w:val="en-US" w:eastAsia="zh-CN"/>
        </w:rPr>
        <w:t xml:space="preserve"> </w:t>
      </w:r>
      <w:r>
        <w:rPr>
          <w:rFonts w:hint="eastAsia" w:ascii="仿宋_GB2312" w:hAnsi="Calibri" w:eastAsia="仿宋_GB2312" w:cs="ArialUnicodeMS"/>
          <w:kern w:val="0"/>
          <w:sz w:val="32"/>
          <w:szCs w:val="32"/>
        </w:rPr>
        <w:t>国有资产管理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负责管理镇国有资产，加强国有资产管理，严防国有资产流失</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十四</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债权债务管理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实施债权债务监督管理，实施债权债务监督管理，杜绝增加政府债务</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十五</w:t>
      </w:r>
      <w:r>
        <w:rPr>
          <w:rFonts w:hint="eastAsia" w:ascii="仿宋_GB2312" w:hAnsi="Calibri" w:eastAsia="仿宋_GB2312" w:cs="ArialUnicodeMS"/>
          <w:kern w:val="0"/>
          <w:sz w:val="32"/>
          <w:szCs w:val="32"/>
          <w:lang w:val="en-US" w:eastAsia="zh-CN"/>
        </w:rPr>
        <w:t xml:space="preserve"> </w:t>
      </w:r>
      <w:r>
        <w:rPr>
          <w:rFonts w:hint="eastAsia" w:ascii="仿宋_GB2312" w:hAnsi="Calibri" w:eastAsia="仿宋_GB2312" w:cs="ArialUnicodeMS"/>
          <w:kern w:val="0"/>
          <w:sz w:val="32"/>
          <w:szCs w:val="32"/>
        </w:rPr>
        <w:t>完善农村土地经营管理体制</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推进农村集体产权制度改革，完善农村土地承包制度，引导农村土地合理流转。创新农业经营主体。规范流转行为，优化资源配置，促进农民专业合作经济组织健康发展，加快新农村建设和城镇化进程。</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eastAsia="zh-CN"/>
        </w:rPr>
        <w:t>十六</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推动文化发展</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运用多种文化艺术手段，开展丰富多彩群众活动。运用多种文化艺术手段，丰富群众文化、提高农民基本素质</w:t>
      </w:r>
    </w:p>
    <w:p>
      <w:pPr>
        <w:spacing w:line="580" w:lineRule="exact"/>
        <w:ind w:firstLine="640" w:firstLineChars="200"/>
        <w:rPr>
          <w:rFonts w:hint="eastAsia" w:ascii="仿宋" w:hAnsi="仿宋" w:eastAsia="仿宋" w:cs="仿宋"/>
          <w:sz w:val="32"/>
          <w:szCs w:val="32"/>
        </w:rPr>
      </w:pPr>
      <w:r>
        <w:rPr>
          <w:rFonts w:hint="eastAsia" w:ascii="仿宋_GB2312" w:hAnsi="Calibri" w:eastAsia="仿宋_GB2312" w:cs="ArialUnicodeMS"/>
          <w:kern w:val="0"/>
          <w:sz w:val="32"/>
          <w:szCs w:val="32"/>
          <w:lang w:eastAsia="zh-CN"/>
        </w:rPr>
        <w:t>十七</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农村管理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对各行政村村容村貌及卫生维护提升，农村卫生长效管理机制</w:t>
      </w:r>
      <w:bookmarkStart w:id="0" w:name="_GoBack"/>
      <w:bookmarkEnd w:id="0"/>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8294" w:type="dxa"/>
        <w:jc w:val="center"/>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3816"/>
        <w:gridCol w:w="2136"/>
        <w:gridCol w:w="1341"/>
        <w:gridCol w:w="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22" w:type="dxa"/>
          <w:trHeight w:val="811" w:hRule="atLeast"/>
          <w:jc w:val="center"/>
        </w:trPr>
        <w:tc>
          <w:tcPr>
            <w:tcW w:w="77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1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13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34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22" w:type="dxa"/>
          <w:trHeight w:val="564" w:hRule="atLeast"/>
          <w:jc w:val="center"/>
        </w:trPr>
        <w:tc>
          <w:tcPr>
            <w:tcW w:w="77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816" w:type="dxa"/>
            <w:vAlign w:val="center"/>
          </w:tcPr>
          <w:p>
            <w:pPr>
              <w:jc w:val="center"/>
              <w:rPr>
                <w:rFonts w:hint="eastAsia"/>
                <w:sz w:val="24"/>
                <w:szCs w:val="24"/>
              </w:rPr>
            </w:pPr>
            <w:r>
              <w:rPr>
                <w:rFonts w:hint="eastAsia"/>
                <w:sz w:val="24"/>
                <w:szCs w:val="24"/>
                <w:lang w:val="en-US" w:eastAsia="zh-CN"/>
              </w:rPr>
              <w:t>石家庄市藁城区张家庄镇人民政府</w:t>
            </w:r>
          </w:p>
        </w:tc>
        <w:tc>
          <w:tcPr>
            <w:tcW w:w="2136" w:type="dxa"/>
            <w:vAlign w:val="center"/>
          </w:tcPr>
          <w:p>
            <w:pPr>
              <w:jc w:val="center"/>
              <w:rPr>
                <w:rFonts w:hint="eastAsia"/>
                <w:sz w:val="24"/>
                <w:szCs w:val="24"/>
                <w:lang w:eastAsia="zh-CN"/>
              </w:rPr>
            </w:pPr>
            <w:r>
              <w:rPr>
                <w:rFonts w:hint="eastAsia"/>
                <w:sz w:val="24"/>
                <w:szCs w:val="24"/>
              </w:rPr>
              <w:t>行政</w:t>
            </w:r>
            <w:r>
              <w:rPr>
                <w:rFonts w:hint="eastAsia"/>
                <w:sz w:val="24"/>
                <w:szCs w:val="24"/>
                <w:lang w:eastAsia="zh-CN"/>
              </w:rPr>
              <w:t>单位</w:t>
            </w:r>
          </w:p>
        </w:tc>
        <w:tc>
          <w:tcPr>
            <w:tcW w:w="1341" w:type="dxa"/>
          </w:tcPr>
          <w:p>
            <w:pPr>
              <w:jc w:val="center"/>
              <w:rPr>
                <w:rFonts w:hint="eastAsia"/>
                <w:sz w:val="24"/>
                <w:szCs w:val="24"/>
                <w:lang w:eastAsia="zh-CN"/>
              </w:rPr>
            </w:pPr>
            <w:r>
              <w:rPr>
                <w:rFonts w:hint="eastAsia"/>
                <w:sz w:val="24"/>
                <w:szCs w:val="24"/>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9" w:hRule="atLeast"/>
          <w:jc w:val="center"/>
        </w:trPr>
        <w:tc>
          <w:tcPr>
            <w:tcW w:w="77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816" w:type="dxa"/>
            <w:vAlign w:val="center"/>
          </w:tcPr>
          <w:p>
            <w:pPr>
              <w:jc w:val="center"/>
              <w:rPr>
                <w:rFonts w:hint="eastAsia"/>
                <w:sz w:val="24"/>
                <w:szCs w:val="24"/>
              </w:rPr>
            </w:pPr>
            <w:r>
              <w:rPr>
                <w:rFonts w:hint="eastAsia"/>
                <w:sz w:val="24"/>
                <w:szCs w:val="24"/>
                <w:lang w:val="en-US" w:eastAsia="zh-CN"/>
              </w:rPr>
              <w:t>石家庄市藁城区张家庄镇学区</w:t>
            </w:r>
          </w:p>
        </w:tc>
        <w:tc>
          <w:tcPr>
            <w:tcW w:w="2136" w:type="dxa"/>
            <w:vAlign w:val="center"/>
          </w:tcPr>
          <w:p>
            <w:pPr>
              <w:jc w:val="center"/>
              <w:rPr>
                <w:rFonts w:hint="eastAsia"/>
                <w:sz w:val="24"/>
                <w:szCs w:val="24"/>
              </w:rPr>
            </w:pPr>
            <w:r>
              <w:rPr>
                <w:rFonts w:hint="eastAsia"/>
                <w:sz w:val="24"/>
                <w:szCs w:val="24"/>
              </w:rPr>
              <w:t>财政补助事业单位</w:t>
            </w:r>
          </w:p>
        </w:tc>
        <w:tc>
          <w:tcPr>
            <w:tcW w:w="1341" w:type="dxa"/>
            <w:vAlign w:val="center"/>
          </w:tcPr>
          <w:p>
            <w:pPr>
              <w:jc w:val="center"/>
              <w:rPr>
                <w:rFonts w:hint="eastAsia"/>
                <w:sz w:val="24"/>
                <w:szCs w:val="24"/>
                <w:lang w:eastAsia="zh-CN"/>
              </w:rPr>
            </w:pPr>
            <w:r>
              <w:rPr>
                <w:rFonts w:hint="eastAsia"/>
                <w:sz w:val="24"/>
                <w:szCs w:val="24"/>
                <w:lang w:eastAsia="zh-CN"/>
              </w:rPr>
              <w:t>财政拨款</w:t>
            </w:r>
          </w:p>
        </w:tc>
        <w:tc>
          <w:tcPr>
            <w:tcW w:w="222"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22" w:type="dxa"/>
          <w:trHeight w:val="606" w:hRule="atLeast"/>
          <w:jc w:val="center"/>
        </w:trPr>
        <w:tc>
          <w:tcPr>
            <w:tcW w:w="8072"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headerReference r:id="rId7" w:type="first"/>
          <w:footerReference r:id="rId9" w:type="first"/>
          <w:headerReference r:id="rId6" w:type="default"/>
          <w:footerReference r:id="rId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1"/>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1279.16</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23.54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财政收入减少，人员及项目支出减少。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420" w:firstLineChars="200"/>
        <w:outlineLvl w:val="1"/>
        <w:rPr>
          <w:rFonts w:hint="eastAsia" w:ascii="仿宋_GB2312" w:hAnsi="Times New Roman" w:eastAsia="仿宋_GB2312" w:cs="DengXian-Regular"/>
          <w:sz w:val="32"/>
          <w:szCs w:val="32"/>
        </w:rPr>
      </w:pPr>
      <w:r>
        <w:drawing>
          <wp:anchor distT="0" distB="0" distL="114300" distR="114300" simplePos="0" relativeHeight="437306368" behindDoc="0" locked="0" layoutInCell="1" allowOverlap="1">
            <wp:simplePos x="0" y="0"/>
            <wp:positionH relativeFrom="column">
              <wp:posOffset>489585</wp:posOffset>
            </wp:positionH>
            <wp:positionV relativeFrom="paragraph">
              <wp:posOffset>84455</wp:posOffset>
            </wp:positionV>
            <wp:extent cx="3953510" cy="1953895"/>
            <wp:effectExtent l="4445" t="4445" r="23495" b="22860"/>
            <wp:wrapNone/>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4052.07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97.53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102.81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2.47</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437330944" behindDoc="0" locked="0" layoutInCell="1" allowOverlap="1">
            <wp:simplePos x="0" y="0"/>
            <wp:positionH relativeFrom="column">
              <wp:posOffset>783590</wp:posOffset>
            </wp:positionH>
            <wp:positionV relativeFrom="paragraph">
              <wp:posOffset>142875</wp:posOffset>
            </wp:positionV>
            <wp:extent cx="4030345" cy="2078990"/>
            <wp:effectExtent l="4445" t="4445" r="22860" b="12065"/>
            <wp:wrapNone/>
            <wp:docPr id="6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1279.16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23.54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财政收入减少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1279.16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23.54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人员及项目支出减少</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437356544" behindDoc="0" locked="0" layoutInCell="1" allowOverlap="1">
            <wp:simplePos x="0" y="0"/>
            <wp:positionH relativeFrom="column">
              <wp:posOffset>282575</wp:posOffset>
            </wp:positionH>
            <wp:positionV relativeFrom="paragraph">
              <wp:posOffset>197485</wp:posOffset>
            </wp:positionV>
            <wp:extent cx="5414010" cy="2087245"/>
            <wp:effectExtent l="5080" t="4445" r="10160" b="22860"/>
            <wp:wrapNone/>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1279.16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23.54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财政收入减少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1279.16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23.54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人员及项目支出减少</w:t>
      </w:r>
      <w:r>
        <w:rPr>
          <w:rFonts w:hint="eastAsia" w:ascii="仿宋_GB2312" w:hAnsi="Times New Roman" w:eastAsia="仿宋_GB2312" w:cs="DengXian-Regular"/>
          <w:sz w:val="32"/>
          <w:szCs w:val="32"/>
        </w:rPr>
        <w:t>。具体情况如下：</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437409792" behindDoc="0" locked="0" layoutInCell="1" allowOverlap="1">
            <wp:simplePos x="0" y="0"/>
            <wp:positionH relativeFrom="column">
              <wp:posOffset>558800</wp:posOffset>
            </wp:positionH>
            <wp:positionV relativeFrom="paragraph">
              <wp:posOffset>147955</wp:posOffset>
            </wp:positionV>
            <wp:extent cx="4572000" cy="2743200"/>
            <wp:effectExtent l="4445" t="4445" r="14605" b="14605"/>
            <wp:wrapNone/>
            <wp:docPr id="3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437383168" behindDoc="0" locked="0" layoutInCell="1" allowOverlap="1">
            <wp:simplePos x="0" y="0"/>
            <wp:positionH relativeFrom="column">
              <wp:posOffset>-1008380</wp:posOffset>
            </wp:positionH>
            <wp:positionV relativeFrom="paragraph">
              <wp:posOffset>-7593330</wp:posOffset>
            </wp:positionV>
            <wp:extent cx="4572000" cy="2743200"/>
            <wp:effectExtent l="4445" t="4445" r="14605" b="14605"/>
            <wp:wrapNone/>
            <wp:docPr id="3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4549.16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91.33</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394.28</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税收减少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91.33</w:t>
      </w:r>
      <w:r>
        <w:rPr>
          <w:rFonts w:hint="eastAsia" w:ascii="仿宋_GB2312" w:hAnsi="Times New Roman" w:eastAsia="仿宋_GB2312" w:cs="DengXian-Regular"/>
          <w:sz w:val="32"/>
          <w:szCs w:val="32"/>
        </w:rPr>
        <w:t>%,比年初预算增减少</w:t>
      </w:r>
      <w:r>
        <w:rPr>
          <w:rFonts w:hint="eastAsia" w:ascii="仿宋_GB2312" w:hAnsi="Times New Roman" w:eastAsia="仿宋_GB2312" w:cs="DengXian-Regular"/>
          <w:sz w:val="32"/>
          <w:szCs w:val="32"/>
          <w:lang w:val="en-US" w:eastAsia="zh-CN"/>
        </w:rPr>
        <w:t>394.28</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人员及项目经费减少</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pPr>
      <w:r>
        <w:drawing>
          <wp:anchor distT="0" distB="0" distL="114300" distR="114300" simplePos="0" relativeHeight="437436416" behindDoc="0" locked="0" layoutInCell="1" allowOverlap="1">
            <wp:simplePos x="0" y="0"/>
            <wp:positionH relativeFrom="column">
              <wp:posOffset>316230</wp:posOffset>
            </wp:positionH>
            <wp:positionV relativeFrom="paragraph">
              <wp:posOffset>59690</wp:posOffset>
            </wp:positionV>
            <wp:extent cx="4572000" cy="2743200"/>
            <wp:effectExtent l="4445" t="4445" r="14605" b="14605"/>
            <wp:wrapNone/>
            <wp:docPr id="4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420" w:firstLineChars="200"/>
        <w:rPr>
          <w:rFonts w:hint="eastAsia" w:eastAsiaTheme="minorEastAsia"/>
          <w:lang w:eastAsia="zh-CN"/>
        </w:rPr>
      </w:pPr>
    </w:p>
    <w:p>
      <w:pPr>
        <w:adjustRightInd w:val="0"/>
        <w:snapToGrid w:val="0"/>
        <w:spacing w:line="580" w:lineRule="exact"/>
        <w:ind w:firstLine="420" w:firstLineChars="200"/>
      </w:pPr>
    </w:p>
    <w:p>
      <w:pPr>
        <w:adjustRightInd w:val="0"/>
        <w:snapToGrid w:val="0"/>
        <w:spacing w:line="580" w:lineRule="exact"/>
        <w:ind w:firstLine="420" w:firstLineChars="200"/>
      </w:pPr>
    </w:p>
    <w:p>
      <w:pPr>
        <w:adjustRightInd w:val="0"/>
        <w:snapToGrid w:val="0"/>
        <w:spacing w:line="580" w:lineRule="exact"/>
        <w:ind w:firstLine="420" w:firstLineChars="200"/>
      </w:pPr>
    </w:p>
    <w:p>
      <w:pPr>
        <w:adjustRightInd w:val="0"/>
        <w:snapToGrid w:val="0"/>
        <w:spacing w:line="580" w:lineRule="exact"/>
        <w:ind w:firstLine="420" w:firstLineChars="200"/>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4154.88</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890.97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21.44</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3263.91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78.56</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437464064" behindDoc="0" locked="0" layoutInCell="1" allowOverlap="1">
            <wp:simplePos x="0" y="0"/>
            <wp:positionH relativeFrom="column">
              <wp:posOffset>1191260</wp:posOffset>
            </wp:positionH>
            <wp:positionV relativeFrom="paragraph">
              <wp:posOffset>203200</wp:posOffset>
            </wp:positionV>
            <wp:extent cx="2707005" cy="2098675"/>
            <wp:effectExtent l="4445" t="4445" r="12700" b="11430"/>
            <wp:wrapNone/>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4052.07</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3873.83</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178.24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4.33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98.41</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压减公车运行开支</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4.33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1.59</w:t>
      </w:r>
      <w:r>
        <w:rPr>
          <w:rFonts w:hint="eastAsia" w:ascii="仿宋_GB2312" w:hAnsi="Times New Roman" w:eastAsia="仿宋_GB2312" w:cs="DengXian-Regular"/>
          <w:sz w:val="32"/>
          <w:szCs w:val="32"/>
        </w:rPr>
        <w:t>%,主较上年减少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w:t>
      </w:r>
      <w:r>
        <w:rPr>
          <w:rFonts w:hint="eastAsia" w:ascii="仿宋_GB2312" w:hAnsi="Times New Roman" w:eastAsia="仿宋_GB2312" w:cs="DengXian-Regular"/>
          <w:color w:val="auto"/>
          <w:sz w:val="32"/>
          <w:szCs w:val="32"/>
          <w:highlight w:val="none"/>
        </w:rPr>
        <w:t>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%,主要是未发</w:t>
      </w:r>
      <w:r>
        <w:rPr>
          <w:rFonts w:hint="eastAsia" w:ascii="仿宋_GB2312" w:hAnsi="Times New Roman" w:eastAsia="仿宋_GB2312" w:cs="DengXian-Regular"/>
          <w:color w:val="auto"/>
          <w:sz w:val="32"/>
          <w:szCs w:val="32"/>
          <w:highlight w:val="none"/>
          <w:lang w:eastAsia="zh-CN"/>
        </w:rPr>
        <w:t>生公车购置</w:t>
      </w:r>
      <w:r>
        <w:rPr>
          <w:rFonts w:hint="eastAsia" w:ascii="仿宋_GB2312" w:hAnsi="Times New Roman" w:eastAsia="仿宋_GB2312" w:cs="DengXian-Regular"/>
          <w:color w:val="auto"/>
          <w:sz w:val="32"/>
          <w:szCs w:val="32"/>
          <w:highlight w:val="none"/>
          <w:lang w:val="en-US" w:eastAsia="zh-CN"/>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公务接待未做预算</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近两年未发生公务接待</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102.81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张家庄镇综合公用经费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102.81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张家庄镇绩效评价工作能够按照规定进行开展，各项指标设定能够符合项目实际，对提升项目绩效管理水平、预算管理水平起到一定支撑保障作用。</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本部门在今年部门决算公开中反映 </w:t>
      </w:r>
      <w:r>
        <w:rPr>
          <w:rFonts w:hint="eastAsia" w:ascii="仿宋_GB2312" w:hAnsi="仿宋_GB2312" w:eastAsia="仿宋_GB2312" w:cs="仿宋_GB2312"/>
          <w:sz w:val="32"/>
          <w:szCs w:val="32"/>
          <w:lang w:eastAsia="zh-CN"/>
        </w:rPr>
        <w:t>张家庄镇综合公用经费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 xml:space="preserve"> 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张家庄镇综合公用经费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张家庄镇综合公用经费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92.8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92.8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提升村民生活水平</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改善农村环境、提高生态水平</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因彩礼有限，综合公用经费涵盖内容广，内容不够细化具体</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加强经费保障水平，二是，细化项目内容</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保障工会有效运转</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提高工会工作水平</w:t>
      </w:r>
      <w:r>
        <w:rPr>
          <w:rFonts w:hint="eastAsia" w:ascii="仿宋_GB2312" w:hAnsi="仿宋_GB2312" w:eastAsia="仿宋_GB2312" w:cs="仿宋_GB2312"/>
          <w:sz w:val="32"/>
          <w:szCs w:val="32"/>
        </w:rPr>
        <w:t>。发现的主要问题及原因：工会工作形式相对单一，活动内容活动形式需要提升。下一步改进措施：</w:t>
      </w:r>
      <w:r>
        <w:rPr>
          <w:rFonts w:hint="eastAsia" w:ascii="仿宋_GB2312" w:hAnsi="仿宋_GB2312" w:eastAsia="仿宋_GB2312" w:cs="仿宋_GB2312"/>
          <w:sz w:val="32"/>
          <w:szCs w:val="32"/>
          <w:lang w:eastAsia="zh-CN"/>
        </w:rPr>
        <w:t>改进工作做法、提升工会工作水平。</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eastAsia="zh-CN"/>
        </w:rPr>
        <w:t>政府工会费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政府工会费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保障工会有效运转</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提高工会工作水平</w:t>
      </w:r>
      <w:r>
        <w:rPr>
          <w:rFonts w:hint="eastAsia" w:ascii="仿宋_GB2312" w:hAnsi="仿宋_GB2312" w:eastAsia="仿宋_GB2312" w:cs="仿宋_GB2312"/>
          <w:sz w:val="32"/>
          <w:szCs w:val="32"/>
        </w:rPr>
        <w:t>。发现的主要问题及原因：工会工作形式相对单一，活动内容活动形式需要提升。下一步改进措施：</w:t>
      </w:r>
      <w:r>
        <w:rPr>
          <w:rFonts w:hint="eastAsia" w:ascii="仿宋_GB2312" w:hAnsi="仿宋_GB2312" w:eastAsia="仿宋_GB2312" w:cs="仿宋_GB2312"/>
          <w:sz w:val="32"/>
          <w:szCs w:val="32"/>
          <w:lang w:eastAsia="zh-CN"/>
        </w:rPr>
        <w:t>改进工作做法、提升工会工作水平。</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230.24</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10.72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国土部门拆除违建机械租赁费用较多</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上年增</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本部门2019年度无收支及结转结余情况，故</w:t>
      </w:r>
      <w:r>
        <w:rPr>
          <w:rFonts w:hint="eastAsia" w:ascii="仿宋_GB2312" w:hAnsi="Times New Roman" w:eastAsia="仿宋_GB2312" w:cs="DengXian-Regular"/>
          <w:sz w:val="32"/>
          <w:szCs w:val="32"/>
          <w:lang w:eastAsia="zh-CN"/>
        </w:rPr>
        <w:t>收支结转结余</w:t>
      </w:r>
      <w:r>
        <w:rPr>
          <w:rFonts w:hint="eastAsia" w:ascii="仿宋_GB2312" w:hAnsi="Times New Roman" w:eastAsia="仿宋_GB2312" w:cs="DengXian-Regular"/>
          <w:sz w:val="32"/>
          <w:szCs w:val="32"/>
        </w:rPr>
        <w:t>表</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2" w:type="first"/>
          <w:footerReference r:id="rId14" w:type="first"/>
          <w:headerReference r:id="rId11" w:type="default"/>
          <w:footerReference r:id="rId1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1"/>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Pr>
        <w:tabs>
          <w:tab w:val="left" w:pos="235"/>
        </w:tabs>
        <w:jc w:val="left"/>
        <w:sectPr>
          <w:headerReference r:id="rId1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pPr>
                              <w:widowControl/>
                              <w:ind w:firstLine="640" w:firstLineChars="200"/>
                              <w:jc w:val="left"/>
                              <w:rPr>
                                <w:rFonts w:hint="eastAsia" w:ascii="黑体" w:hAnsi="黑体" w:eastAsia="黑体" w:cs="黑体"/>
                                <w:color w:val="000000" w:themeColor="text1"/>
                                <w:sz w:val="32"/>
                                <w:szCs w:val="3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32"/>
                                <w:szCs w:val="3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见附件</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1"/>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pPr>
                        <w:widowControl/>
                        <w:ind w:firstLine="640" w:firstLineChars="200"/>
                        <w:jc w:val="left"/>
                        <w:rPr>
                          <w:rFonts w:hint="eastAsia" w:ascii="黑体" w:hAnsi="黑体" w:eastAsia="黑体" w:cs="黑体"/>
                          <w:color w:val="000000" w:themeColor="text1"/>
                          <w:sz w:val="32"/>
                          <w:szCs w:val="3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32"/>
                          <w:szCs w:val="32"/>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见附件</w:t>
                      </w:r>
                    </w:p>
                  </w:txbxContent>
                </v:textbox>
              </v:shape>
            </w:pict>
          </mc:Fallback>
        </mc:AlternateContent>
      </w:r>
    </w:p>
    <w:p>
      <w:pPr>
        <w:tabs>
          <w:tab w:val="left" w:pos="886"/>
        </w:tabs>
        <w:jc w:val="left"/>
        <w:rPr>
          <w:rFonts w:hint="eastAsia" w:eastAsiaTheme="minorEastAsia"/>
          <w:lang w:eastAsia="zh-CN"/>
        </w:rPr>
      </w:pPr>
      <w:r>
        <w:rPr>
          <w:rFonts w:hint="eastAsia"/>
          <w:lang w:eastAsia="zh-CN"/>
        </w:rPr>
        <w:t>见附件</w:t>
      </w:r>
    </w:p>
    <w:p>
      <w:pPr>
        <w:jc w:val="left"/>
      </w:pPr>
    </w:p>
    <w:p/>
    <w:sectPr>
      <w:headerReference r:id="rId18" w:type="first"/>
      <w:headerReference r:id="rId17" w:type="default"/>
      <w:footerReference r:id="rId1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F59C4B"/>
    <w:multiLevelType w:val="singleLevel"/>
    <w:tmpl w:val="CDF59C4B"/>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21B562B5"/>
    <w:rsid w:val="2BBB6ADA"/>
    <w:rsid w:val="31C2036A"/>
    <w:rsid w:val="320D02A5"/>
    <w:rsid w:val="322F63CD"/>
    <w:rsid w:val="33793CAD"/>
    <w:rsid w:val="348E566F"/>
    <w:rsid w:val="3A226944"/>
    <w:rsid w:val="3AEE6A48"/>
    <w:rsid w:val="3C1620AA"/>
    <w:rsid w:val="3D8F080F"/>
    <w:rsid w:val="3FBD3940"/>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A51456D"/>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chart" Target="charts/chart7.xml"/><Relationship Id="rId27" Type="http://schemas.openxmlformats.org/officeDocument/2006/relationships/chart" Target="charts/chart6.xml"/><Relationship Id="rId26" Type="http://schemas.openxmlformats.org/officeDocument/2006/relationships/chart" Target="charts/chart5.xml"/><Relationship Id="rId25" Type="http://schemas.openxmlformats.org/officeDocument/2006/relationships/chart" Target="charts/chart4.xml"/><Relationship Id="rId24" Type="http://schemas.openxmlformats.org/officeDocument/2006/relationships/chart" Target="charts/chart3.xml"/><Relationship Id="rId23" Type="http://schemas.openxmlformats.org/officeDocument/2006/relationships/chart" Target="charts/chart2.xml"/><Relationship Id="rId22" Type="http://schemas.openxmlformats.org/officeDocument/2006/relationships/chart" Target="charts/chart1.xml"/><Relationship Id="rId21" Type="http://schemas.openxmlformats.org/officeDocument/2006/relationships/image" Target="media/image1.bmp"/><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6.xml"/><Relationship Id="rId18" Type="http://schemas.openxmlformats.org/officeDocument/2006/relationships/header" Target="header11.xml"/><Relationship Id="rId17" Type="http://schemas.openxmlformats.org/officeDocument/2006/relationships/header" Target="header10.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1&#12289;&#36130;&#25919;&#24037;&#20316;\&#39044;&#20915;&#31639;\&#39044;&#20915;&#31639;&#20844;&#24320;\2019\2019&#20915;&#31639;\2019&#24180;&#39044;&#31639;&#20844;&#24320;&#65288;&#21333;&#20301;&#19975;&#20803;&#65289;.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E:\1&#12289;&#36130;&#25919;&#24037;&#20316;\&#39044;&#20915;&#31639;\&#39044;&#20915;&#31639;&#32534;&#21046;\&#39044;&#31639;\2021&#24180;&#39044;&#31639;\3&#12289;&#39044;&#31639;&#32534;&#21046;\18.&#38468;&#34920;2-2021&#24180;&#39044;&#31639;&#21333;&#20301;&#22522;&#30784;&#20449;&#24687;&#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1&#12289;&#36130;&#25919;&#24037;&#20316;\&#39044;&#20915;&#31639;\&#39044;&#20915;&#31639;&#32534;&#21046;\&#39044;&#31639;\2021&#24180;&#39044;&#31639;\3&#12289;&#39044;&#31639;&#32534;&#21046;\18.&#38468;&#34920;2-2021&#24180;&#39044;&#31639;&#21333;&#20301;&#22522;&#30784;&#20449;&#24687;&#34920;.xls"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E:\1&#12289;&#36130;&#25919;&#24037;&#20316;\&#39044;&#20915;&#31639;\&#39044;&#20915;&#31639;&#32534;&#21046;\&#39044;&#31639;\2021&#24180;&#39044;&#31639;\3&#12289;&#39044;&#31639;&#32534;&#21046;\18.&#38468;&#34920;2-2021&#24180;&#39044;&#31639;&#21333;&#20301;&#22522;&#30784;&#20449;&#24687;&#34920;.xls"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E:\1&#12289;&#36130;&#25919;&#24037;&#20316;\&#39044;&#20915;&#31639;\&#39044;&#20915;&#31639;&#20844;&#24320;\2019\2019&#20915;&#31639;\2019&#24180;&#39044;&#31639;&#20844;&#24320;&#65288;&#21333;&#20301;&#19975;&#20803;&#6528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收入构成情况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[工作簿1]Sheet1!$I$3:$I$6</c:f>
              <c:strCache>
                <c:ptCount val="4"/>
                <c:pt idx="0">
                  <c:v>财政拨款收入</c:v>
                </c:pt>
                <c:pt idx="1">
                  <c:v>事业收入</c:v>
                </c:pt>
                <c:pt idx="2">
                  <c:v>经营收入</c:v>
                </c:pt>
                <c:pt idx="3">
                  <c:v>其他收入</c:v>
                </c:pt>
              </c:strCache>
            </c:strRef>
          </c:cat>
          <c:val>
            <c:numRef>
              <c:f>[工作簿1]Sheet1!$J$3:$J$6</c:f>
              <c:numCache>
                <c:formatCode>#,##0.00</c:formatCode>
                <c:ptCount val="4"/>
                <c:pt idx="0">
                  <c:v>5918.98</c:v>
                </c:pt>
                <c:pt idx="1" c:formatCode="General">
                  <c:v>0</c:v>
                </c:pt>
                <c:pt idx="2" c:formatCode="General">
                  <c:v>0</c:v>
                </c:pt>
                <c:pt idx="3" c:formatCode="General">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支出构成情况（按支出性质）</a:t>
            </a:r>
          </a:p>
        </c:rich>
      </c:tx>
      <c:layout>
        <c:manualLayout>
          <c:xMode val="edge"/>
          <c:yMode val="edge"/>
          <c:x val="0.152044231049032"/>
          <c:y val="0.030607476635514"/>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9</a:t>
                    </a:r>
                    <a:r>
                      <a:rPr lang="en-US" altLang="zh-CN"/>
                      <a:t>7.53</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152355443516622"/>
                      <c:h val="0.103543066585217"/>
                    </c:manualLayout>
                  </c15:layout>
                </c:ext>
              </c:extLst>
            </c:dLbl>
            <c:dLbl>
              <c:idx val="1"/>
              <c:layout>
                <c:manualLayout>
                  <c:x val="0.0153518134710609"/>
                  <c:y val="0.227065009144513"/>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2</a:t>
                    </a:r>
                    <a:r>
                      <a:rPr lang="en-US" altLang="zh-CN"/>
                      <a:t>.47</a:t>
                    </a:r>
                    <a:r>
                      <a:t>%</a:t>
                    </a:r>
                  </a:p>
                </c:rich>
              </c:tx>
              <c:dLblPos val="bestFit"/>
              <c:showLegendKey val="0"/>
              <c:showVal val="0"/>
              <c:showCatName val="0"/>
              <c:showSerName val="0"/>
              <c:showPercent val="1"/>
              <c:showBubbleSize val="0"/>
              <c:extLst>
                <c:ext xmlns:c15="http://schemas.microsoft.com/office/drawing/2012/chart" uri="{CE6537A1-D6FC-4f65-9D91-7224C49458BB}">
                  <c15:layout>
                    <c:manualLayout>
                      <c:w val="0.134551756735466"/>
                      <c:h val="0.0949908368967624"/>
                    </c:manualLayout>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[工作簿1]Sheet1!$I$3:$I$4</c:f>
              <c:strCache>
                <c:ptCount val="2"/>
                <c:pt idx="0">
                  <c:v>基本支出</c:v>
                </c:pt>
                <c:pt idx="1">
                  <c:v>项目支出</c:v>
                </c:pt>
              </c:strCache>
            </c:strRef>
          </c:cat>
          <c:val>
            <c:numRef>
              <c:f>[工作簿1]Sheet1!$J$3:$J$4</c:f>
              <c:numCache>
                <c:formatCode>#,##0.00</c:formatCode>
                <c:ptCount val="2"/>
                <c:pt idx="0">
                  <c:v>5778.98</c:v>
                </c:pt>
                <c:pt idx="1" c:formatCode="General">
                  <c:v>140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2018</a:t>
            </a:r>
            <a:r>
              <a:rPr lang="en-US" altLang="zh-CN"/>
              <a:t>-2019</a:t>
            </a:r>
            <a:r>
              <a:rPr altLang="en-US"/>
              <a:t>年</a:t>
            </a:r>
            <a:r>
              <a:t>财政收支情况</a:t>
            </a:r>
          </a:p>
          <a:p>
            <a:pPr defTabSz="914400">
              <a:defRPr lang="zh-CN" sz="1400" b="0" i="0" u="none" strike="noStrike" kern="1200" spc="0" baseline="0">
                <a:solidFill>
                  <a:schemeClr val="tx1">
                    <a:lumMod val="65000"/>
                    <a:lumOff val="35000"/>
                  </a:schemeClr>
                </a:solidFill>
                <a:latin typeface="+mn-lt"/>
                <a:ea typeface="+mn-ea"/>
                <a:cs typeface="+mn-cs"/>
              </a:defRPr>
            </a:pPr>
          </a:p>
        </c:rich>
      </c:tx>
      <c:layout/>
      <c:overlay val="0"/>
      <c:spPr>
        <a:noFill/>
        <a:ln>
          <a:noFill/>
        </a:ln>
        <a:effectLst/>
      </c:spPr>
    </c:title>
    <c:autoTitleDeleted val="0"/>
    <c:plotArea>
      <c:layout>
        <c:manualLayout>
          <c:layoutTarget val="inner"/>
          <c:xMode val="edge"/>
          <c:yMode val="edge"/>
          <c:x val="0.301242708597515"/>
          <c:y val="0.362336477030727"/>
          <c:w val="0.694953081410094"/>
          <c:h val="0.507879525403103"/>
        </c:manualLayout>
      </c:layout>
      <c:barChart>
        <c:barDir val="col"/>
        <c:grouping val="clustered"/>
        <c:varyColors val="0"/>
        <c:ser>
          <c:idx val="0"/>
          <c:order val="0"/>
          <c:tx>
            <c:strRef>
              <c:f>"2019年度"</c:f>
              <c:strCache>
                <c:ptCount val="1"/>
                <c:pt idx="0">
                  <c:v>2019年度</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4154.88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4154.88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'[2019年预算公开（单位万元）.xls]Z04 支出决算表(公开03表)'!$N$15:$O$15</c:f>
              <c:strCache>
                <c:ptCount val="2"/>
                <c:pt idx="0">
                  <c:v>财政拨款收入</c:v>
                </c:pt>
                <c:pt idx="1">
                  <c:v>财政拨款支出</c:v>
                </c:pt>
              </c:strCache>
            </c:strRef>
          </c:cat>
          <c:val>
            <c:numRef>
              <c:f>'[2019年预算公开（单位万元）.xls]Z04 支出决算表(公开03表)'!$N$16:$O$16</c:f>
              <c:numCache>
                <c:formatCode>#,##0.00</c:formatCode>
                <c:ptCount val="2"/>
                <c:pt idx="0">
                  <c:v>4091.36</c:v>
                </c:pt>
                <c:pt idx="1">
                  <c:v>4091.36</c:v>
                </c:pt>
              </c:numCache>
            </c:numRef>
          </c:val>
        </c:ser>
        <c:ser>
          <c:idx val="1"/>
          <c:order val="1"/>
          <c:tx>
            <c:strRef>
              <c:f>"2018年度"</c:f>
              <c:strCache>
                <c:ptCount val="1"/>
                <c:pt idx="0">
                  <c:v>2018年度</c:v>
                </c:pt>
              </c:strCache>
            </c:strRef>
          </c:tx>
          <c:spPr>
            <a:solidFill>
              <a:schemeClr val="accent2"/>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5434.04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0042592029205962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5434.04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'[2019年预算公开（单位万元）.xls]Z04 支出决算表(公开03表)'!$N$15:$O$15</c:f>
              <c:strCache>
                <c:ptCount val="2"/>
                <c:pt idx="0">
                  <c:v>财政拨款收入</c:v>
                </c:pt>
                <c:pt idx="1">
                  <c:v>财政拨款支出</c:v>
                </c:pt>
              </c:strCache>
            </c:strRef>
          </c:cat>
          <c:val>
            <c:numRef>
              <c:f>'[2019年预算公开（单位万元）.xls]Z04 支出决算表(公开03表)'!$N$17:$O$17</c:f>
              <c:numCache>
                <c:formatCode>#,##0.00</c:formatCode>
                <c:ptCount val="2"/>
                <c:pt idx="0">
                  <c:v>5918.98</c:v>
                </c:pt>
                <c:pt idx="1">
                  <c:v>5918.98</c:v>
                </c:pt>
              </c:numCache>
            </c:numRef>
          </c:val>
        </c:ser>
        <c:dLbls>
          <c:showLegendKey val="0"/>
          <c:showVal val="0"/>
          <c:showCatName val="0"/>
          <c:showSerName val="0"/>
          <c:showPercent val="0"/>
          <c:showBubbleSize val="0"/>
        </c:dLbls>
        <c:gapWidth val="219"/>
        <c:overlap val="-27"/>
        <c:axId val="900618578"/>
        <c:axId val="742442098"/>
      </c:barChart>
      <c:catAx>
        <c:axId val="90061857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2442098"/>
        <c:crosses val="autoZero"/>
        <c:auto val="1"/>
        <c:lblAlgn val="ctr"/>
        <c:lblOffset val="100"/>
        <c:noMultiLvlLbl val="0"/>
      </c:catAx>
      <c:valAx>
        <c:axId val="74244209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0618578"/>
        <c:crosses val="autoZero"/>
        <c:crossBetween val="between"/>
      </c:valAx>
      <c:spPr>
        <a:noFill/>
        <a:ln>
          <a:noFill/>
        </a:ln>
        <a:effectLst/>
      </c:spPr>
    </c:plotArea>
    <c:legend>
      <c:legendPos val="r"/>
      <c:layout>
        <c:manualLayout>
          <c:xMode val="edge"/>
          <c:yMode val="edge"/>
          <c:x val="0.0294485831972605"/>
          <c:y val="0.51718892607240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cap="all" spc="120" normalizeH="0" baseline="0">
                <a:solidFill>
                  <a:schemeClr val="tx1">
                    <a:lumMod val="65000"/>
                    <a:lumOff val="35000"/>
                  </a:schemeClr>
                </a:solidFill>
                <a:latin typeface="+mn-lt"/>
                <a:ea typeface="+mn-ea"/>
                <a:cs typeface="+mn-cs"/>
              </a:defRPr>
            </a:pPr>
            <a:r>
              <a:t>财政拨款收支与预算对比</a:t>
            </a:r>
          </a:p>
        </c:rich>
      </c:tx>
      <c:layout/>
      <c:overlay val="0"/>
      <c:spPr>
        <a:noFill/>
        <a:ln>
          <a:noFill/>
        </a:ln>
        <a:effectLst/>
      </c:spPr>
    </c:title>
    <c:autoTitleDeleted val="0"/>
    <c:plotArea>
      <c:layout/>
      <c:barChart>
        <c:barDir val="col"/>
        <c:grouping val="clustered"/>
        <c:varyColors val="0"/>
        <c:ser>
          <c:idx val="0"/>
          <c:order val="0"/>
          <c:tx>
            <c:strRef>
              <c:f>"年初预算"</c:f>
              <c:strCache>
                <c:ptCount val="1"/>
                <c:pt idx="0">
                  <c:v>年初预算</c:v>
                </c:pt>
              </c:strCache>
            </c:strRef>
          </c:tx>
          <c:spPr>
            <a:solidFill>
              <a:schemeClr val="accent1"/>
            </a:solidFill>
            <a:ln>
              <a:noFill/>
            </a:ln>
            <a:effectLst/>
          </c:spPr>
          <c:invertIfNegative val="0"/>
          <c:dLbls>
            <c:dLbl>
              <c:idx val="0"/>
              <c:layout>
                <c:manualLayout>
                  <c:x val="0.00569444444444444"/>
                  <c:y val="-0.0694444444444445"/>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5434.04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0300925925925926"/>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5434.04</a:t>
                    </a:r>
                    <a:endParaRPr lang="en-US" altLang="zh-CN"/>
                  </a:p>
                  <a:p>
                    <a:pPr defTabSz="914400">
                      <a:defRPr lang="zh-CN" sz="800" b="0" i="0" u="none" strike="noStrike" kern="1200" baseline="0">
                        <a:solidFill>
                          <a:schemeClr val="tx1">
                            <a:lumMod val="50000"/>
                            <a:lumOff val="50000"/>
                          </a:schemeClr>
                        </a:solidFill>
                        <a:latin typeface="+mn-lt"/>
                        <a:ea typeface="+mn-ea"/>
                        <a:cs typeface="+mn-cs"/>
                      </a:defRPr>
                    </a:pP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'[18.附表2-2021年预算单位基础信息表.xls]机构编制信息表'!$F$10:$G$10</c:f>
              <c:strCache>
                <c:ptCount val="2"/>
                <c:pt idx="0">
                  <c:v>收入</c:v>
                </c:pt>
                <c:pt idx="1">
                  <c:v>支出</c:v>
                </c:pt>
              </c:strCache>
            </c:strRef>
          </c:cat>
          <c:val>
            <c:numRef>
              <c:f>'[18.附表2-2021年预算单位基础信息表.xls]机构编制信息表'!$F$11:$G$11</c:f>
              <c:numCache>
                <c:formatCode>General</c:formatCode>
                <c:ptCount val="2"/>
                <c:pt idx="0">
                  <c:v>4600.06</c:v>
                </c:pt>
                <c:pt idx="1">
                  <c:v>4600.06</c:v>
                </c:pt>
              </c:numCache>
            </c:numRef>
          </c:val>
        </c:ser>
        <c:ser>
          <c:idx val="1"/>
          <c:order val="1"/>
          <c:tx>
            <c:strRef>
              <c:f>"财政拨款"</c:f>
              <c:strCache>
                <c:ptCount val="1"/>
                <c:pt idx="0">
                  <c:v>财政拨款</c:v>
                </c:pt>
              </c:strCache>
            </c:strRef>
          </c:tx>
          <c:spPr>
            <a:solidFill>
              <a:schemeClr val="accent2"/>
            </a:solidFill>
            <a:ln>
              <a:noFill/>
            </a:ln>
            <a:effectLst/>
          </c:spPr>
          <c:invertIfNegative val="0"/>
          <c:dLbls>
            <c:dLbl>
              <c:idx val="0"/>
              <c:layout>
                <c:manualLayout>
                  <c:x val="0.00180555555555556"/>
                  <c:y val="-0.0914351851851852"/>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4154.88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4154.88</a:t>
                    </a:r>
                    <a:endParaRPr lang="en-US" altLang="zh-CN"/>
                  </a:p>
                  <a:p>
                    <a:pPr defTabSz="914400">
                      <a:defRPr lang="zh-CN" sz="800" b="0" i="0" u="none" strike="noStrike" kern="1200" baseline="0">
                        <a:solidFill>
                          <a:schemeClr val="tx1">
                            <a:lumMod val="50000"/>
                            <a:lumOff val="50000"/>
                          </a:schemeClr>
                        </a:solidFill>
                        <a:latin typeface="+mn-lt"/>
                        <a:ea typeface="+mn-ea"/>
                        <a:cs typeface="+mn-cs"/>
                      </a:defRPr>
                    </a:pP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'[18.附表2-2021年预算单位基础信息表.xls]机构编制信息表'!$F$10:$G$10</c:f>
              <c:strCache>
                <c:ptCount val="2"/>
                <c:pt idx="0">
                  <c:v>收入</c:v>
                </c:pt>
                <c:pt idx="1">
                  <c:v>支出</c:v>
                </c:pt>
              </c:strCache>
            </c:strRef>
          </c:cat>
          <c:val>
            <c:numRef>
              <c:f>'[18.附表2-2021年预算单位基础信息表.xls]机构编制信息表'!$F$12:$G$12</c:f>
              <c:numCache>
                <c:formatCode>#,##0.00</c:formatCode>
                <c:ptCount val="2"/>
                <c:pt idx="0">
                  <c:v>4216.99</c:v>
                </c:pt>
                <c:pt idx="1">
                  <c:v>4216.99</c:v>
                </c:pt>
              </c:numCache>
            </c:numRef>
          </c:val>
        </c:ser>
        <c:dLbls>
          <c:showLegendKey val="0"/>
          <c:showVal val="1"/>
          <c:showCatName val="0"/>
          <c:showSerName val="0"/>
          <c:showPercent val="0"/>
          <c:showBubbleSize val="0"/>
        </c:dLbls>
        <c:gapWidth val="444"/>
        <c:overlap val="-90"/>
        <c:axId val="544258040"/>
        <c:axId val="48223780"/>
      </c:barChart>
      <c:catAx>
        <c:axId val="544258040"/>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800" b="0" i="0" u="none" strike="noStrike" kern="1200" cap="all" spc="120" normalizeH="0" baseline="0">
                <a:solidFill>
                  <a:schemeClr val="tx1">
                    <a:lumMod val="65000"/>
                    <a:lumOff val="35000"/>
                  </a:schemeClr>
                </a:solidFill>
                <a:latin typeface="+mn-lt"/>
                <a:ea typeface="+mn-ea"/>
                <a:cs typeface="+mn-cs"/>
              </a:defRPr>
            </a:pPr>
          </a:p>
        </c:txPr>
        <c:crossAx val="48223780"/>
        <c:crosses val="autoZero"/>
        <c:auto val="1"/>
        <c:lblAlgn val="ctr"/>
        <c:lblOffset val="100"/>
        <c:noMultiLvlLbl val="0"/>
      </c:catAx>
      <c:valAx>
        <c:axId val="48223780"/>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4258040"/>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财政拨款收支与预算对比</a:t>
            </a:r>
          </a:p>
        </c:rich>
      </c:tx>
      <c:layout/>
      <c:overlay val="0"/>
      <c:spPr>
        <a:noFill/>
        <a:ln>
          <a:noFill/>
        </a:ln>
        <a:effectLst/>
      </c:spPr>
    </c:title>
    <c:autoTitleDeleted val="0"/>
    <c:plotArea>
      <c:layout/>
      <c:barChart>
        <c:barDir val="col"/>
        <c:grouping val="clustered"/>
        <c:varyColors val="0"/>
        <c:ser>
          <c:idx val="0"/>
          <c:order val="0"/>
          <c:tx>
            <c:strRef>
              <c:f>"年初预算"</c:f>
              <c:strCache>
                <c:ptCount val="1"/>
                <c:pt idx="0">
                  <c:v>年初预算</c:v>
                </c:pt>
              </c:strCache>
            </c:strRef>
          </c:tx>
          <c:spPr>
            <a:solidFill>
              <a:schemeClr val="accent1"/>
            </a:solidFill>
            <a:ln>
              <a:noFill/>
            </a:ln>
            <a:effectLst/>
          </c:spPr>
          <c:invertIfNegative val="0"/>
          <c:dLbls>
            <c:delete val="1"/>
          </c:dLbls>
          <c:cat>
            <c:strRef>
              <c:f>'[18.附表2-2021年预算单位基础信息表.xls]机构编制信息表'!$F$10:$G$10</c:f>
              <c:strCache>
                <c:ptCount val="2"/>
                <c:pt idx="0">
                  <c:v>收入</c:v>
                </c:pt>
                <c:pt idx="1">
                  <c:v>支出</c:v>
                </c:pt>
              </c:strCache>
            </c:strRef>
          </c:cat>
          <c:val>
            <c:numRef>
              <c:f>'[18.附表2-2021年预算单位基础信息表.xls]机构编制信息表'!$F$11:$G$11</c:f>
              <c:numCache>
                <c:formatCode>General</c:formatCode>
                <c:ptCount val="2"/>
                <c:pt idx="0">
                  <c:v>4600.06</c:v>
                </c:pt>
                <c:pt idx="1">
                  <c:v>4600.06</c:v>
                </c:pt>
              </c:numCache>
            </c:numRef>
          </c:val>
        </c:ser>
        <c:ser>
          <c:idx val="1"/>
          <c:order val="1"/>
          <c:tx>
            <c:strRef>
              <c:f>"财政拨款"</c:f>
              <c:strCache>
                <c:ptCount val="1"/>
                <c:pt idx="0">
                  <c:v>财政拨款</c:v>
                </c:pt>
              </c:strCache>
            </c:strRef>
          </c:tx>
          <c:spPr>
            <a:solidFill>
              <a:schemeClr val="accent2"/>
            </a:solidFill>
            <a:ln>
              <a:noFill/>
            </a:ln>
            <a:effectLst/>
          </c:spPr>
          <c:invertIfNegative val="0"/>
          <c:dLbls>
            <c:delete val="1"/>
          </c:dLbls>
          <c:cat>
            <c:strRef>
              <c:f>'[18.附表2-2021年预算单位基础信息表.xls]机构编制信息表'!$F$10:$G$10</c:f>
              <c:strCache>
                <c:ptCount val="2"/>
                <c:pt idx="0">
                  <c:v>收入</c:v>
                </c:pt>
                <c:pt idx="1">
                  <c:v>支出</c:v>
                </c:pt>
              </c:strCache>
            </c:strRef>
          </c:cat>
          <c:val>
            <c:numRef>
              <c:f>'[18.附表2-2021年预算单位基础信息表.xls]机构编制信息表'!$F$12:$G$12</c:f>
              <c:numCache>
                <c:formatCode>#,##0.00</c:formatCode>
                <c:ptCount val="2"/>
                <c:pt idx="0">
                  <c:v>4216.99</c:v>
                </c:pt>
                <c:pt idx="1">
                  <c:v>4216.99</c:v>
                </c:pt>
              </c:numCache>
            </c:numRef>
          </c:val>
        </c:ser>
        <c:dLbls>
          <c:showLegendKey val="0"/>
          <c:showVal val="0"/>
          <c:showCatName val="0"/>
          <c:showSerName val="0"/>
          <c:showPercent val="0"/>
          <c:showBubbleSize val="0"/>
        </c:dLbls>
        <c:gapWidth val="219"/>
        <c:overlap val="-27"/>
        <c:axId val="544258040"/>
        <c:axId val="48223780"/>
      </c:barChart>
      <c:catAx>
        <c:axId val="5442580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223780"/>
        <c:crosses val="autoZero"/>
        <c:auto val="1"/>
        <c:lblAlgn val="ctr"/>
        <c:lblOffset val="100"/>
        <c:noMultiLvlLbl val="0"/>
      </c:catAx>
      <c:valAx>
        <c:axId val="482237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425804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财政拨款收支与预算对比</a:t>
            </a:r>
          </a:p>
        </c:rich>
      </c:tx>
      <c:layout/>
      <c:overlay val="0"/>
      <c:spPr>
        <a:noFill/>
        <a:ln>
          <a:noFill/>
        </a:ln>
        <a:effectLst/>
      </c:spPr>
    </c:title>
    <c:autoTitleDeleted val="0"/>
    <c:plotArea>
      <c:layout/>
      <c:barChart>
        <c:barDir val="col"/>
        <c:grouping val="clustered"/>
        <c:varyColors val="0"/>
        <c:ser>
          <c:idx val="0"/>
          <c:order val="0"/>
          <c:tx>
            <c:strRef>
              <c:f>"年初预算"</c:f>
              <c:strCache>
                <c:ptCount val="1"/>
                <c:pt idx="0">
                  <c:v>年初预算</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4549.16</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00180555555555556"/>
                  <c:y val="0"/>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4549.16</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'[18.附表2-2021年预算单位基础信息表.xls]机构编制信息表'!$F$10:$G$10</c:f>
              <c:strCache>
                <c:ptCount val="2"/>
                <c:pt idx="0">
                  <c:v>收入</c:v>
                </c:pt>
                <c:pt idx="1">
                  <c:v>支出</c:v>
                </c:pt>
              </c:strCache>
            </c:strRef>
          </c:cat>
          <c:val>
            <c:numRef>
              <c:f>'[18.附表2-2021年预算单位基础信息表.xls]机构编制信息表'!$F$11:$G$11</c:f>
              <c:numCache>
                <c:formatCode>General</c:formatCode>
                <c:ptCount val="2"/>
                <c:pt idx="0">
                  <c:v>4600.06</c:v>
                </c:pt>
                <c:pt idx="1">
                  <c:v>4600.06</c:v>
                </c:pt>
              </c:numCache>
            </c:numRef>
          </c:val>
        </c:ser>
        <c:ser>
          <c:idx val="1"/>
          <c:order val="1"/>
          <c:tx>
            <c:strRef>
              <c:f>"财政拨款"</c:f>
              <c:strCache>
                <c:ptCount val="1"/>
                <c:pt idx="0">
                  <c:v>财政拨款</c:v>
                </c:pt>
              </c:strCache>
            </c:strRef>
          </c:tx>
          <c:spPr>
            <a:solidFill>
              <a:schemeClr val="accent2"/>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4154.88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4154.88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'[18.附表2-2021年预算单位基础信息表.xls]机构编制信息表'!$F$10:$G$10</c:f>
              <c:strCache>
                <c:ptCount val="2"/>
                <c:pt idx="0">
                  <c:v>收入</c:v>
                </c:pt>
                <c:pt idx="1">
                  <c:v>支出</c:v>
                </c:pt>
              </c:strCache>
            </c:strRef>
          </c:cat>
          <c:val>
            <c:numRef>
              <c:f>'[18.附表2-2021年预算单位基础信息表.xls]机构编制信息表'!$F$12:$G$12</c:f>
              <c:numCache>
                <c:formatCode>#,##0.00</c:formatCode>
                <c:ptCount val="2"/>
                <c:pt idx="0">
                  <c:v>4216.99</c:v>
                </c:pt>
                <c:pt idx="1">
                  <c:v>4216.99</c:v>
                </c:pt>
              </c:numCache>
            </c:numRef>
          </c:val>
        </c:ser>
        <c:dLbls>
          <c:showLegendKey val="0"/>
          <c:showVal val="0"/>
          <c:showCatName val="0"/>
          <c:showSerName val="0"/>
          <c:showPercent val="0"/>
          <c:showBubbleSize val="0"/>
        </c:dLbls>
        <c:gapWidth val="150"/>
        <c:overlap val="-25"/>
        <c:axId val="544258040"/>
        <c:axId val="48223780"/>
      </c:barChart>
      <c:catAx>
        <c:axId val="5442580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223780"/>
        <c:crosses val="autoZero"/>
        <c:auto val="1"/>
        <c:lblAlgn val="ctr"/>
        <c:lblOffset val="100"/>
        <c:noMultiLvlLbl val="0"/>
      </c:catAx>
      <c:valAx>
        <c:axId val="48223780"/>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4258040"/>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支出占比</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21.44%</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00656814449917898"/>
                  <c:y val="-0.01633888048411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78.56%</a:t>
                    </a:r>
                    <a:endParaRPr lang="en-US" altLang="zh-CN"/>
                  </a:p>
                  <a:p>
                    <a:pPr defTabSz="914400">
                      <a:defRPr lang="zh-CN" sz="900" b="0" i="0" u="none" strike="noStrike" kern="1200" baseline="0">
                        <a:solidFill>
                          <a:schemeClr val="tx1">
                            <a:lumMod val="75000"/>
                            <a:lumOff val="25000"/>
                          </a:schemeClr>
                        </a:solidFill>
                        <a:latin typeface="+mn-lt"/>
                        <a:ea typeface="+mn-ea"/>
                        <a:cs typeface="+mn-cs"/>
                      </a:defRPr>
                    </a:pP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'[2019年预算公开（单位万元）.xls]Z01 收入支出决算总表(公开01表)'!$J$16:$J$17</c:f>
              <c:strCache>
                <c:ptCount val="2"/>
                <c:pt idx="0">
                  <c:v>一般公共服务</c:v>
                </c:pt>
                <c:pt idx="1">
                  <c:v>教育支出</c:v>
                </c:pt>
              </c:strCache>
            </c:strRef>
          </c:cat>
          <c:val>
            <c:numRef>
              <c:f>'[2019年预算公开（单位万元）.xls]Z01 收入支出决算总表(公开01表)'!$K$16:$K$17</c:f>
              <c:numCache>
                <c:formatCode>#,##0.00</c:formatCode>
                <c:ptCount val="2"/>
                <c:pt idx="0">
                  <c:v>830.66</c:v>
                </c:pt>
                <c:pt idx="1">
                  <c:v>3260.7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9</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2021-05-20T07:34:34Z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