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adjustRightInd w:val="0"/>
        <w:snapToGrid w:val="0"/>
        <w:spacing w:line="620" w:lineRule="exact"/>
        <w:jc w:val="center"/>
        <w:rPr>
          <w:rFonts w:hint="eastAsia" w:ascii="宋体" w:hAnsi="宋体" w:eastAsia="宋体"/>
          <w:sz w:val="44"/>
          <w:szCs w:val="44"/>
        </w:rPr>
      </w:pPr>
    </w:p>
    <w:p>
      <w:pPr>
        <w:adjustRightInd w:val="0"/>
        <w:snapToGrid w:val="0"/>
        <w:spacing w:line="620" w:lineRule="exact"/>
        <w:jc w:val="center"/>
        <w:rPr>
          <w:rFonts w:hint="eastAsia" w:ascii="宋体" w:hAnsi="宋体" w:eastAsia="宋体"/>
          <w:sz w:val="44"/>
          <w:szCs w:val="44"/>
        </w:rPr>
      </w:pPr>
    </w:p>
    <w:p>
      <w:pPr>
        <w:adjustRightInd w:val="0"/>
        <w:snapToGrid w:val="0"/>
        <w:spacing w:line="620" w:lineRule="exact"/>
        <w:jc w:val="center"/>
        <w:rPr>
          <w:rFonts w:ascii="宋体" w:hAnsi="宋体" w:eastAsia="宋体"/>
          <w:sz w:val="44"/>
          <w:szCs w:val="44"/>
        </w:rPr>
      </w:pPr>
      <w:r>
        <w:rPr>
          <w:rFonts w:hint="eastAsia" w:ascii="宋体" w:hAnsi="宋体" w:eastAsia="宋体"/>
          <w:sz w:val="44"/>
          <w:szCs w:val="44"/>
        </w:rPr>
        <w:t>藁城区城乡居民医疗保险管理中心</w:t>
      </w:r>
    </w:p>
    <w:p>
      <w:pPr>
        <w:adjustRightInd w:val="0"/>
        <w:snapToGrid w:val="0"/>
        <w:spacing w:line="620" w:lineRule="exact"/>
        <w:jc w:val="center"/>
        <w:rPr>
          <w:rFonts w:ascii="宋体" w:hAnsi="宋体" w:eastAsia="宋体"/>
          <w:sz w:val="44"/>
          <w:szCs w:val="44"/>
        </w:rPr>
      </w:pPr>
      <w:r>
        <w:rPr>
          <w:rFonts w:hint="eastAsia" w:ascii="宋体" w:hAnsi="宋体" w:eastAsia="宋体"/>
          <w:sz w:val="44"/>
          <w:szCs w:val="44"/>
        </w:rPr>
        <w:t>运行经费自评报告</w:t>
      </w:r>
    </w:p>
    <w:p>
      <w:pPr>
        <w:adjustRightInd w:val="0"/>
        <w:snapToGrid w:val="0"/>
        <w:spacing w:line="620" w:lineRule="exact"/>
        <w:jc w:val="center"/>
        <w:rPr>
          <w:rFonts w:ascii="宋体" w:hAnsi="宋体" w:eastAsia="宋体"/>
          <w:sz w:val="44"/>
          <w:szCs w:val="44"/>
        </w:rPr>
      </w:pP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藁城区区级部门预算项目绩效自评管理办法》（藁财字[2020]23号），遵循“科学性、规范性、客观性和公正性”的原则，对藁城区医疗保障局2019年度专项公用经费项目实施了财政支出绩效自评价，形成本评价报告。</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一、项目基本情况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（一）项目概况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1、项目实施单位：藁城区医疗保障局</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项目主要实施内容和范围：藁城区医疗保障局于2019年1月1日正式成立。对政府新分的办公区进行维修改造再利用。项目包含办公楼的水电改造、医疗保障局工作人员的办公设备购置、办公楼院落的绿化和硬化，以及医疗保障局运营所需的监督检查差旅费用、办公费用</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3、项目资金投入情况（资金数量、资金结构、资金来源渠道等）:项目资金预算共计400000元，其中25万用于办公楼改造，10万用于办公设备购置以及办公院落绿化和硬化，5万用于医疗保险管理中心正常进行乡村两级监督检查的经费。</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（二）项目预期绩效目标</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项目预期绩效总目标，阶段性（当年）的绩效目标和指标：区医疗保障局的成立，是人民的一大福祉，旨在完善统一的城乡居民基本医疗保险制度和大病保险制度，不断提高医疗保障水平，统筹推进医疗、医保、医药"三医联动"改革，更好保障群众病有所医，为民生保驾护航。藁城区城乡居民医疗保险管理中心运行经费最根本目标就是保障区医疗保障局有效运行。具体而言：目标一，完成医保办公楼改造、办公设备购置，使办公楼能够正常使用保障医保业务正常运转；目标二，对办公楼前破乱的院落进行绿化和硬化，同时保障医保的乡村两级监督检查顺利开展，保障医保基金发挥最大效能。</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二、自评工作情况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（一）自评的组织工作</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自项目成立以来，区医疗保障局成立了以解瑞山局长为组长的自评工作小组。按照区财政局关于绩效管理办法，从深化部门预算改革和加强预算绩效管理的实际需要出发，对项目财政资金使用的效率性和效益性进行了客观公正的评估，以期实现资源配置的优化以及公共服务水平的提高。解瑞山带领评价组成员对该项目实施情况进行了全面考察核验，收集了项目相关的各项合同以及发票等资料，严格按照制定的评价方案，组织各相关业务科室进行评价。</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（二）自评的方法和过程</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藁城区城乡居民医疗保险管理中心运行经费绩效评价遵循科学规范、客观公正和绩效相关的工作原则，采用目标管理、实地考察、满意度调查等方法，建立关键绩效评价指标体系，进行综合评分，从定量和定性两方面对专项经费项目实施绩效进行评价。根据《藁城区财政局关于开展2019年度财政资金部门绩效自评价工作的通知》要求，我单位建立自评工作小组，在组长解瑞山的带领下认真统计项目的相关数据，收集项目相关的合同票据等材料。通过建立绩效评价指标体系，指定关键绩效评价指标，逐项严格评分，认真完成了项目绩效评价，形成客观、公正、全面的自评报告，反映2019年度藁城区城乡居民医疗保险管理中心运行经费实际绩效。</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（三）建立绩效评价指标体系</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在开展预算自评工作时，针对藁城区城乡居民医疗保险管理中心运行经费的特点，指定能够体现项目特点的绩效评价指标体系。绩效指标权重根据藁城区城乡居民医疗保险管理中心专用经费运用的实际情况确定，总分设定为100分。原则上一级指标权重统一设置为：产出指标40分（包含数量、质量、时效、成本）、预算执行率指标10分、效益指标40分（包含经济效益、社会效益、生态效益、可持续影响）、满意度指标10分。</w:t>
      </w:r>
    </w:p>
    <w:p>
      <w:pPr>
        <w:ind w:firstLine="480" w:firstLineChars="150"/>
        <w:rPr>
          <w:sz w:val="32"/>
          <w:szCs w:val="32"/>
        </w:rPr>
      </w:pPr>
      <w:r>
        <w:rPr>
          <w:rFonts w:hint="eastAsia"/>
          <w:sz w:val="32"/>
          <w:szCs w:val="32"/>
        </w:rPr>
        <w:t>1、产出指标（40分）：专项经费发放到位率（10分）办公设备采购覆盖率（10分）、支出实际完成率（10分）、完成及时率（10分）以上四项工作完成率均为100%，产出数量得分40分。</w:t>
      </w:r>
    </w:p>
    <w:p>
      <w:pPr>
        <w:ind w:firstLine="480" w:firstLineChars="150"/>
        <w:rPr>
          <w:sz w:val="32"/>
          <w:szCs w:val="32"/>
        </w:rPr>
      </w:pPr>
      <w:r>
        <w:rPr>
          <w:rFonts w:hint="eastAsia"/>
          <w:sz w:val="32"/>
          <w:szCs w:val="32"/>
        </w:rPr>
        <w:t>2、效益指标（40分）：、办公设备投入使用率（10分）、强化基金监管(10分)、业务处理效率提升（10分）、医保乡村两级监督检查完善（10分）。经过严格考察佐证，以上四项均达标，此项得分40分。</w:t>
      </w:r>
    </w:p>
    <w:p>
      <w:pPr>
        <w:ind w:firstLine="480" w:firstLineChars="150"/>
        <w:rPr>
          <w:sz w:val="32"/>
          <w:szCs w:val="32"/>
        </w:rPr>
      </w:pPr>
      <w:r>
        <w:rPr>
          <w:rFonts w:hint="eastAsia"/>
          <w:sz w:val="32"/>
          <w:szCs w:val="32"/>
        </w:rPr>
        <w:t>3、满意度指标（10分）：经办业务服务满意度（10分），完善医疗保障政策，确保资金落实到位。专项经费的投入，包含办公楼改建维修费、正常业务监督检查费、办公经费等多方面的支出，是我单位开展进本医疗保障业务的基本，因此参保群众服务满意度直接关联经济效益和社会效益。通过项目实施，区医疗保障局搬迁工作顺利展开，各项业务工作全面完成，取得了社会公众的一致好评，并为我区医疗保障工作持续健康发展奠定了基础。参保群众对服务非常满意，此项得10分。</w:t>
      </w:r>
    </w:p>
    <w:p>
      <w:pPr>
        <w:adjustRightInd w:val="0"/>
        <w:snapToGrid w:val="0"/>
        <w:spacing w:line="620" w:lineRule="exact"/>
        <w:ind w:firstLine="320" w:firstLineChars="100"/>
        <w:rPr>
          <w:rFonts w:ascii="仿宋" w:hAnsi="仿宋" w:eastAsia="仿宋"/>
          <w:sz w:val="32"/>
          <w:szCs w:val="32"/>
        </w:rPr>
      </w:pPr>
      <w:r>
        <w:rPr>
          <w:rFonts w:hint="eastAsia" w:ascii="仿宋" w:hAnsi="仿宋" w:eastAsia="仿宋"/>
          <w:sz w:val="32"/>
          <w:szCs w:val="32"/>
        </w:rPr>
        <w:t>4、预算执行率指标（10分）预算执行率达标，此项得10分。</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三、项目执行及绩效实现情况</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（一）项目投入</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项目立项情况分析：2019年此项目年初预算为400000元，实际使用金额为397653.50元。藁城区城乡居民医疗保险管理中心运行经费项目立项规范、用途合理明晰，绩效目标合理。相应的绩效指标明确，并能够客观地评价资金绩效，根据指标体系评分标准计算分值为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2、资金落实情况分析：资金到位率100%和到位及时率100%，根据指标体系评分标准计算分值为10分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（二）项目实施过程</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1、业务管理情况分析。此次专项经费项目目标明确，资金到位，用途清晰。我单位对此项目进行了严格的管理，管理制度健全，由专人负责，根据管理制度严格执行，项目完工后由专人专组进行收工验收，对项目质量进行把关。根据指标体系评分标准计算分值为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2、财务管理。该项目管理制度健全、项目资金管理完善，严格按照要求使用，对每一笔资金都有严格的财务监控，根据指标体系评分标准计算分值为10分。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（三）项目产出</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藁城区城乡居民医疗保险管理中心运行经费项目包含办公楼的水电改造、医疗保障局工作人员的办公设备购置、办公楼院落的绿化和硬化，以及医疗保障局运营所需的监督检查差旅费用、办公费用。办公楼装修改造按时完工，实际完成率达100%，完成及时率100%，质量达标，在最大可能内进行节约成本，在预算内完成了目标，根据指标体系评分标准评分20分。</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（四）项目效果</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区医疗保障局的成立，是人民的一大福祉。该项目的完工对我去医疗保障服务的发展奠定了基础，对提高医疗保障水平，统筹推进医疗、医保、医药"三医联动"改革有极大的推动作用。在社会效益上更好地保障了群众病有所医，为民生保驾护航，社会公众或服务对象满意，社会效益显著。根据指标体系评分标准计算分值为20分。</w:t>
      </w:r>
    </w:p>
    <w:p>
      <w:pPr>
        <w:adjustRightInd w:val="0"/>
        <w:snapToGrid w:val="0"/>
        <w:spacing w:line="620" w:lineRule="exact"/>
        <w:ind w:firstLine="643" w:firstLineChars="200"/>
        <w:rPr>
          <w:rFonts w:ascii="宋体" w:hAnsi="宋体"/>
          <w:b/>
          <w:sz w:val="32"/>
          <w:szCs w:val="32"/>
        </w:rPr>
      </w:pPr>
      <w:r>
        <w:rPr>
          <w:rFonts w:hint="eastAsia" w:ascii="宋体" w:hAnsi="宋体"/>
          <w:b/>
          <w:sz w:val="32"/>
          <w:szCs w:val="32"/>
        </w:rPr>
        <w:t>四、项目综合评价结论和评价等级</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根据项目执行情况和项目绩效情况，给出总得分100分，项目评价等级为优秀。</w:t>
      </w:r>
    </w:p>
    <w:p>
      <w:pPr>
        <w:adjustRightInd w:val="0"/>
        <w:snapToGrid w:val="0"/>
        <w:spacing w:line="620" w:lineRule="exact"/>
        <w:ind w:firstLine="643" w:firstLineChars="200"/>
        <w:rPr>
          <w:rFonts w:ascii="仿宋" w:hAnsi="仿宋" w:eastAsia="仿宋"/>
          <w:sz w:val="32"/>
          <w:szCs w:val="32"/>
        </w:rPr>
      </w:pPr>
      <w:r>
        <w:rPr>
          <w:rFonts w:hint="eastAsia" w:ascii="宋体" w:hAnsi="宋体"/>
          <w:b/>
          <w:sz w:val="32"/>
          <w:szCs w:val="32"/>
        </w:rPr>
        <w:t>五、评价工作组人员名单及签字</w:t>
      </w:r>
      <w:r>
        <w:rPr>
          <w:rFonts w:hint="eastAsia" w:ascii="仿宋" w:hAnsi="仿宋" w:eastAsia="仿宋"/>
          <w:sz w:val="32"/>
          <w:szCs w:val="32"/>
        </w:rPr>
        <w:t>（姓名、工作单位、职务、职称）</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解瑞山  医疗保障局   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张彦彬  医疗保障局   副局长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孙文兴  医疗保障局   副局长</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魏风云  医疗保障局   会计</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史增华  医疗保障局   办公室主任</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石风格  医疗保障局   职工医审</w:t>
      </w:r>
    </w:p>
    <w:p>
      <w:pPr>
        <w:adjustRightInd w:val="0"/>
        <w:snapToGrid w:val="0"/>
        <w:spacing w:line="620" w:lineRule="exact"/>
        <w:ind w:firstLine="640" w:firstLineChars="200"/>
        <w:rPr>
          <w:rFonts w:ascii="仿宋" w:hAnsi="仿宋" w:eastAsia="仿宋"/>
          <w:sz w:val="32"/>
          <w:szCs w:val="32"/>
        </w:rPr>
      </w:pPr>
      <w:r>
        <w:rPr>
          <w:rFonts w:hint="eastAsia" w:ascii="仿宋" w:hAnsi="仿宋" w:eastAsia="仿宋"/>
          <w:sz w:val="32"/>
          <w:szCs w:val="32"/>
        </w:rPr>
        <w:t>褚平    医疗保障局   医疗救助</w:t>
      </w:r>
    </w:p>
    <w:p>
      <w:pPr>
        <w:adjustRightInd w:val="0"/>
        <w:snapToGrid w:val="0"/>
        <w:spacing w:line="620" w:lineRule="exact"/>
        <w:ind w:firstLine="640" w:firstLineChars="200"/>
        <w:rPr>
          <w:rFonts w:ascii="仿宋" w:hAnsi="仿宋" w:eastAsia="仿宋"/>
          <w:sz w:val="32"/>
          <w:szCs w:val="32"/>
        </w:rPr>
      </w:pPr>
    </w:p>
    <w:p>
      <w:pPr>
        <w:adjustRightInd w:val="0"/>
        <w:snapToGrid w:val="0"/>
        <w:spacing w:line="620" w:lineRule="exact"/>
        <w:ind w:firstLine="640" w:firstLineChars="200"/>
        <w:rPr>
          <w:rFonts w:ascii="仿宋" w:hAnsi="仿宋" w:eastAsia="仿宋"/>
          <w:sz w:val="32"/>
          <w:szCs w:val="32"/>
        </w:rPr>
      </w:pPr>
    </w:p>
    <w:p>
      <w:pPr>
        <w:adjustRightInd w:val="0"/>
        <w:snapToGrid w:val="0"/>
        <w:spacing w:line="620" w:lineRule="exact"/>
        <w:ind w:firstLine="640" w:firstLineChars="200"/>
        <w:rPr>
          <w:rFonts w:ascii="仿宋" w:hAnsi="仿宋" w:eastAsia="仿宋"/>
          <w:sz w:val="32"/>
          <w:szCs w:val="32"/>
        </w:rPr>
      </w:pPr>
    </w:p>
    <w:p/>
    <w:p/>
    <w:p/>
    <w:p/>
    <w:p/>
    <w:p/>
    <w:p/>
    <w:p/>
    <w:p/>
    <w:p/>
    <w:p/>
    <w:p/>
    <w:p/>
    <w:p/>
    <w:p/>
    <w:tbl>
      <w:tblPr>
        <w:tblW w:w="910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363"/>
        <w:gridCol w:w="1172"/>
        <w:gridCol w:w="781"/>
        <w:gridCol w:w="1375"/>
        <w:gridCol w:w="1"/>
        <w:gridCol w:w="883"/>
        <w:gridCol w:w="1057"/>
        <w:gridCol w:w="1057"/>
        <w:gridCol w:w="1"/>
        <w:gridCol w:w="1409"/>
        <w:gridCol w:w="1"/>
      </w:tblGrid>
      <w:tr>
        <w:trPr>
          <w:gridAfter w:val="1"/>
          <w:wAfter w:w="1" w:type="dxa"/>
          <w:trHeight w:val="270" w:hRule="atLeast"/>
        </w:trPr>
        <w:tc>
          <w:tcPr>
            <w:tcW w:w="136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附件1</w:t>
            </w:r>
          </w:p>
        </w:tc>
        <w:tc>
          <w:tcPr>
            <w:tcW w:w="1172"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781"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376"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88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57"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57"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410"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r>
      <w:tr>
        <w:trPr>
          <w:trHeight w:val="312" w:hRule="atLeast"/>
        </w:trPr>
        <w:tc>
          <w:tcPr>
            <w:tcW w:w="9100" w:type="dxa"/>
            <w:gridSpan w:val="11"/>
            <w:vMerge w:val="restart"/>
            <w:tcMar>
              <w:top w:w="15" w:type="dxa"/>
              <w:left w:w="15" w:type="dxa"/>
              <w:right w:w="15" w:type="dxa"/>
            </w:tcMar>
            <w:vAlign w:val="center"/>
          </w:tcPr>
          <w:p>
            <w:pPr>
              <w:autoSpaceDN w:val="0"/>
              <w:jc w:val="center"/>
              <w:textAlignment w:val="center"/>
              <w:rPr>
                <w:rFonts w:hint="default" w:ascii="宋体" w:hAnsi="宋体" w:eastAsia="宋体"/>
                <w:b/>
                <w:i w:val="0"/>
                <w:color w:val="000000"/>
                <w:sz w:val="36"/>
                <w:u w:val="none"/>
                <w:lang w:eastAsia="zh-CN"/>
              </w:rPr>
            </w:pPr>
            <w:r>
              <w:rPr>
                <w:rFonts w:hint="default" w:ascii="宋体" w:hAnsi="宋体" w:eastAsia="宋体"/>
                <w:b/>
                <w:i w:val="0"/>
                <w:color w:val="000000"/>
                <w:sz w:val="36"/>
                <w:u w:val="none"/>
                <w:lang w:eastAsia="zh-CN"/>
              </w:rPr>
              <w:t>区级部门预算项目绩效自评表</w:t>
            </w:r>
          </w:p>
        </w:tc>
      </w:tr>
      <w:tr>
        <w:trPr>
          <w:trHeight w:val="312" w:hRule="atLeast"/>
        </w:trPr>
        <w:tc>
          <w:tcPr>
            <w:tcW w:w="9100" w:type="dxa"/>
            <w:gridSpan w:val="11"/>
            <w:vMerge w:val="continue"/>
            <w:tcMar>
              <w:top w:w="15" w:type="dxa"/>
              <w:left w:w="15" w:type="dxa"/>
              <w:right w:w="15" w:type="dxa"/>
            </w:tcMar>
            <w:vAlign w:val="center"/>
          </w:tcPr>
          <w:p>
            <w:pPr>
              <w:autoSpaceDN w:val="0"/>
              <w:textAlignment w:val="auto"/>
              <w:rPr>
                <w:rFonts w:hint="default" w:ascii="宋体" w:hAnsi="宋体"/>
                <w:sz w:val="24"/>
              </w:rPr>
            </w:pPr>
          </w:p>
        </w:tc>
      </w:tr>
      <w:tr>
        <w:trPr>
          <w:trHeight w:val="300" w:hRule="atLeast"/>
        </w:trPr>
        <w:tc>
          <w:tcPr>
            <w:tcW w:w="9100" w:type="dxa"/>
            <w:gridSpan w:val="11"/>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2019 年度）</w:t>
            </w:r>
          </w:p>
        </w:tc>
      </w:tr>
      <w:tr>
        <w:trPr>
          <w:gridAfter w:val="1"/>
          <w:wAfter w:w="1" w:type="dxa"/>
          <w:trHeight w:val="270" w:hRule="atLeast"/>
        </w:trPr>
        <w:tc>
          <w:tcPr>
            <w:tcW w:w="136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填报单位：</w:t>
            </w:r>
          </w:p>
        </w:tc>
        <w:tc>
          <w:tcPr>
            <w:tcW w:w="1172"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781"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376"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88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057"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2467" w:type="dxa"/>
            <w:gridSpan w:val="3"/>
            <w:tcBorders>
              <w:bottom w:val="single" w:color="000000" w:sz="4" w:space="0"/>
            </w:tcBorders>
            <w:tcMar>
              <w:top w:w="15" w:type="dxa"/>
              <w:left w:w="15" w:type="dxa"/>
              <w:right w:w="15" w:type="dxa"/>
            </w:tcMar>
            <w:vAlign w:val="center"/>
          </w:tcPr>
          <w:p>
            <w:pPr>
              <w:autoSpaceDN w:val="0"/>
              <w:jc w:val="righ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单位金额：万元</w:t>
            </w:r>
          </w:p>
        </w:tc>
      </w:tr>
      <w:tr>
        <w:trPr>
          <w:trHeight w:val="540" w:hRule="atLeast"/>
        </w:trPr>
        <w:tc>
          <w:tcPr>
            <w:tcW w:w="1363"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一、基本情况</w:t>
            </w:r>
          </w:p>
        </w:tc>
        <w:tc>
          <w:tcPr>
            <w:tcW w:w="1172" w:type="dxa"/>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项目名称</w:t>
            </w:r>
          </w:p>
        </w:tc>
        <w:tc>
          <w:tcPr>
            <w:tcW w:w="2157"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城乡居民医疗保险管理中心运行经费（专项资金）</w:t>
            </w:r>
          </w:p>
        </w:tc>
        <w:tc>
          <w:tcPr>
            <w:tcW w:w="883" w:type="dxa"/>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实施（主管单位）</w:t>
            </w:r>
          </w:p>
        </w:tc>
        <w:tc>
          <w:tcPr>
            <w:tcW w:w="3525" w:type="dxa"/>
            <w:gridSpan w:val="5"/>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藁城区医疗保障局</w:t>
            </w:r>
          </w:p>
        </w:tc>
      </w:tr>
      <w:tr>
        <w:trPr>
          <w:trHeight w:val="540" w:hRule="atLeast"/>
        </w:trPr>
        <w:tc>
          <w:tcPr>
            <w:tcW w:w="1363"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二、预算执行</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情况</w:t>
            </w:r>
          </w:p>
        </w:tc>
        <w:tc>
          <w:tcPr>
            <w:tcW w:w="1953" w:type="dxa"/>
            <w:gridSpan w:val="2"/>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预算安排情况（调整后）</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资金到位情况</w:t>
            </w:r>
          </w:p>
        </w:tc>
        <w:tc>
          <w:tcPr>
            <w:tcW w:w="2115"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资金执行情况</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r>
      <w:tr>
        <w:trPr>
          <w:gridAfter w:val="1"/>
          <w:wAfter w:w="1" w:type="dxa"/>
          <w:trHeight w:val="34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预算数：</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40</w:t>
            </w:r>
          </w:p>
        </w:tc>
        <w:tc>
          <w:tcPr>
            <w:tcW w:w="1375"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到位数：</w:t>
            </w:r>
          </w:p>
        </w:tc>
        <w:tc>
          <w:tcPr>
            <w:tcW w:w="884"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执行数：</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39.77</w:t>
            </w:r>
          </w:p>
        </w:tc>
        <w:tc>
          <w:tcPr>
            <w:tcW w:w="1410" w:type="dxa"/>
            <w:gridSpan w:val="2"/>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99.41%</w:t>
            </w:r>
          </w:p>
        </w:tc>
      </w:tr>
      <w:tr>
        <w:trPr>
          <w:gridAfter w:val="1"/>
          <w:wAfter w:w="1" w:type="dxa"/>
          <w:trHeight w:val="64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40</w:t>
            </w:r>
          </w:p>
        </w:tc>
        <w:tc>
          <w:tcPr>
            <w:tcW w:w="1375"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884"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其中：财政</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 xml:space="preserve">     资金</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40</w:t>
            </w:r>
          </w:p>
        </w:tc>
        <w:tc>
          <w:tcPr>
            <w:tcW w:w="1410"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r>
      <w:tr>
        <w:trPr>
          <w:gridAfter w:val="1"/>
          <w:wAfter w:w="1" w:type="dxa"/>
          <w:trHeight w:val="34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375"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884"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xml:space="preserve">     其他</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　</w:t>
            </w:r>
          </w:p>
        </w:tc>
        <w:tc>
          <w:tcPr>
            <w:tcW w:w="1410" w:type="dxa"/>
            <w:gridSpan w:val="2"/>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r>
      <w:tr>
        <w:trPr>
          <w:gridAfter w:val="1"/>
          <w:wAfter w:w="1" w:type="dxa"/>
          <w:trHeight w:val="495" w:hRule="atLeast"/>
        </w:trPr>
        <w:tc>
          <w:tcPr>
            <w:tcW w:w="1363"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三、目标完成</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情况</w:t>
            </w:r>
          </w:p>
        </w:tc>
        <w:tc>
          <w:tcPr>
            <w:tcW w:w="3328"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年度预算目标</w:t>
            </w:r>
          </w:p>
        </w:tc>
        <w:tc>
          <w:tcPr>
            <w:tcW w:w="2998" w:type="dxa"/>
            <w:gridSpan w:val="4"/>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具体完成情况</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总体完成率</w:t>
            </w:r>
          </w:p>
        </w:tc>
      </w:tr>
      <w:tr>
        <w:trPr>
          <w:gridAfter w:val="1"/>
          <w:wAfter w:w="1" w:type="dxa"/>
          <w:trHeight w:val="52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3328"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保质保量及时完工</w:t>
            </w:r>
          </w:p>
        </w:tc>
        <w:tc>
          <w:tcPr>
            <w:tcW w:w="2998" w:type="dxa"/>
            <w:gridSpan w:val="4"/>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已按要求完工并投入使用</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trPr>
          <w:gridAfter w:val="1"/>
          <w:wAfter w:w="1" w:type="dxa"/>
          <w:trHeight w:val="375" w:hRule="atLeast"/>
        </w:trPr>
        <w:tc>
          <w:tcPr>
            <w:tcW w:w="1363"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四、年度绩效指标完成情况</w:t>
            </w: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一级指标</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二级指标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三级指标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预期指标值</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实际完成值</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自评得分</w:t>
            </w:r>
          </w:p>
        </w:tc>
      </w:tr>
      <w:tr>
        <w:trPr>
          <w:gridAfter w:val="1"/>
          <w:wAfter w:w="1" w:type="dxa"/>
          <w:trHeight w:val="109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产出指标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（40分）</w:t>
            </w:r>
          </w:p>
        </w:tc>
        <w:tc>
          <w:tcPr>
            <w:tcW w:w="781"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数量指标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专项经费发放到位率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46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办公设备采购覆盖率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39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时效指标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支出实际完成率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48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sz w:val="24"/>
              </w:rPr>
            </w:pP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完成及时率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90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预算执行率指标（10分）</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执行率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预算执行进度</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99.41%</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54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效益指标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（40分）</w:t>
            </w:r>
          </w:p>
        </w:tc>
        <w:tc>
          <w:tcPr>
            <w:tcW w:w="781"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经济效益指标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办公设备投入使用率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465"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sz w:val="24"/>
              </w:rPr>
            </w:pP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业务处理效率提升</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51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restart"/>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可持续影响指标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强化基金监管</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57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textAlignment w:val="auto"/>
              <w:rPr>
                <w:rFonts w:hint="default" w:ascii="宋体" w:hAnsi="宋体"/>
                <w:sz w:val="24"/>
              </w:rPr>
            </w:pPr>
          </w:p>
        </w:tc>
        <w:tc>
          <w:tcPr>
            <w:tcW w:w="781"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sz w:val="24"/>
              </w:rPr>
            </w:pP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医保乡村两级监督检查完善</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gridAfter w:val="1"/>
          <w:wAfter w:w="1" w:type="dxa"/>
          <w:trHeight w:val="63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1172"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满意度指标</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（10分）</w:t>
            </w:r>
          </w:p>
        </w:tc>
        <w:tc>
          <w:tcPr>
            <w:tcW w:w="781"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满意度</w:t>
            </w:r>
            <w:r>
              <w:rPr>
                <w:rFonts w:hint="default" w:ascii="宋体" w:hAnsi="宋体" w:eastAsia="宋体"/>
                <w:b w:val="0"/>
                <w:i w:val="0"/>
                <w:color w:val="000000"/>
                <w:sz w:val="22"/>
                <w:u w:val="none"/>
                <w:lang w:eastAsia="zh-CN"/>
              </w:rPr>
              <w:br/>
            </w:r>
            <w:r>
              <w:rPr>
                <w:rFonts w:hint="default" w:ascii="宋体" w:hAnsi="宋体" w:eastAsia="宋体"/>
                <w:b w:val="0"/>
                <w:i w:val="0"/>
                <w:color w:val="000000"/>
                <w:sz w:val="22"/>
                <w:u w:val="none"/>
                <w:lang w:eastAsia="zh-CN"/>
              </w:rPr>
              <w:t>指标</w:t>
            </w:r>
          </w:p>
        </w:tc>
        <w:tc>
          <w:tcPr>
            <w:tcW w:w="2259" w:type="dxa"/>
            <w:gridSpan w:val="3"/>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经办业务服务满意度</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057" w:type="dxa"/>
            <w:tcBorders>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w:t>
            </w:r>
          </w:p>
        </w:tc>
      </w:tr>
      <w:tr>
        <w:trPr>
          <w:trHeight w:val="270" w:hRule="atLeast"/>
        </w:trPr>
        <w:tc>
          <w:tcPr>
            <w:tcW w:w="1363" w:type="dxa"/>
            <w:vMerge w:val="continue"/>
            <w:tcBorders>
              <w:left w:val="single" w:color="000000" w:sz="4" w:space="0"/>
              <w:bottom w:val="single" w:color="000000" w:sz="4" w:space="0"/>
              <w:right w:val="single" w:color="000000" w:sz="4" w:space="0"/>
            </w:tcBorders>
            <w:tcMar>
              <w:top w:w="15" w:type="dxa"/>
              <w:left w:w="15" w:type="dxa"/>
              <w:right w:w="15" w:type="dxa"/>
            </w:tcMar>
            <w:vAlign w:val="center"/>
          </w:tcPr>
          <w:p>
            <w:pPr>
              <w:rPr>
                <w:rFonts w:hint="default" w:ascii="宋体" w:hAnsi="宋体"/>
                <w:sz w:val="24"/>
              </w:rPr>
            </w:pPr>
          </w:p>
        </w:tc>
        <w:tc>
          <w:tcPr>
            <w:tcW w:w="6327" w:type="dxa"/>
            <w:gridSpan w:val="8"/>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总分</w:t>
            </w:r>
          </w:p>
        </w:tc>
        <w:tc>
          <w:tcPr>
            <w:tcW w:w="1410" w:type="dxa"/>
            <w:gridSpan w:val="2"/>
            <w:tcBorders>
              <w:bottom w:val="single" w:color="000000" w:sz="4" w:space="0"/>
              <w:right w:val="single" w:color="000000" w:sz="4" w:space="0"/>
            </w:tcBorders>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100</w:t>
            </w:r>
          </w:p>
        </w:tc>
      </w:tr>
      <w:tr>
        <w:trPr>
          <w:trHeight w:val="1005" w:hRule="atLeast"/>
        </w:trPr>
        <w:tc>
          <w:tcPr>
            <w:tcW w:w="1363" w:type="dxa"/>
            <w:tcBorders>
              <w:left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五、存在问题、原因及下一步整改措施</w:t>
            </w:r>
          </w:p>
        </w:tc>
        <w:tc>
          <w:tcPr>
            <w:tcW w:w="7737" w:type="dxa"/>
            <w:gridSpan w:val="10"/>
            <w:tcBorders>
              <w:top w:val="single" w:color="000000" w:sz="4" w:space="0"/>
              <w:bottom w:val="single" w:color="000000" w:sz="4" w:space="0"/>
              <w:right w:val="single" w:color="000000" w:sz="4" w:space="0"/>
            </w:tcBorders>
            <w:tcMar>
              <w:top w:w="15" w:type="dxa"/>
              <w:left w:w="15" w:type="dxa"/>
              <w:right w:w="15" w:type="dxa"/>
            </w:tcMar>
            <w:vAlign w:val="center"/>
          </w:tcPr>
          <w:p>
            <w:pPr>
              <w:autoSpaceDN w:val="0"/>
              <w:jc w:val="center"/>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无</w:t>
            </w:r>
          </w:p>
        </w:tc>
      </w:tr>
      <w:tr>
        <w:trPr>
          <w:gridAfter w:val="1"/>
          <w:wAfter w:w="1" w:type="dxa"/>
          <w:trHeight w:val="270" w:hRule="atLeast"/>
        </w:trPr>
        <w:tc>
          <w:tcPr>
            <w:tcW w:w="136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填报人：</w:t>
            </w:r>
          </w:p>
        </w:tc>
        <w:tc>
          <w:tcPr>
            <w:tcW w:w="1172"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魏风云</w:t>
            </w:r>
          </w:p>
        </w:tc>
        <w:tc>
          <w:tcPr>
            <w:tcW w:w="781"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376"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883"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联系电话：</w:t>
            </w:r>
          </w:p>
        </w:tc>
        <w:tc>
          <w:tcPr>
            <w:tcW w:w="1057"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r>
              <w:rPr>
                <w:rFonts w:hint="default" w:ascii="宋体" w:hAnsi="宋体" w:eastAsia="宋体"/>
                <w:b w:val="0"/>
                <w:i w:val="0"/>
                <w:color w:val="000000"/>
                <w:sz w:val="22"/>
                <w:u w:val="none"/>
                <w:lang w:eastAsia="zh-CN"/>
              </w:rPr>
              <w:t>88136610</w:t>
            </w:r>
          </w:p>
        </w:tc>
        <w:tc>
          <w:tcPr>
            <w:tcW w:w="1057" w:type="dxa"/>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c>
          <w:tcPr>
            <w:tcW w:w="1410" w:type="dxa"/>
            <w:gridSpan w:val="2"/>
            <w:tcMar>
              <w:top w:w="15" w:type="dxa"/>
              <w:left w:w="15" w:type="dxa"/>
              <w:right w:w="15" w:type="dxa"/>
            </w:tcMar>
            <w:vAlign w:val="center"/>
          </w:tcPr>
          <w:p>
            <w:pPr>
              <w:autoSpaceDN w:val="0"/>
              <w:jc w:val="left"/>
              <w:textAlignment w:val="center"/>
              <w:rPr>
                <w:rFonts w:hint="default" w:ascii="宋体" w:hAnsi="宋体" w:eastAsia="宋体"/>
                <w:b w:val="0"/>
                <w:i w:val="0"/>
                <w:color w:val="000000"/>
                <w:sz w:val="22"/>
                <w:u w:val="none"/>
                <w:lang w:eastAsia="zh-CN"/>
              </w:rPr>
            </w:pPr>
          </w:p>
        </w:tc>
      </w:tr>
    </w:tbl>
    <w:p/>
    <w:sectPr>
      <w:pgSz w:w="11906" w:h="16838"/>
      <w:pgMar w:top="1440" w:right="1418" w:bottom="1440" w:left="1418" w:header="851" w:footer="992" w:gutter="0"/>
      <w:cols w:space="425"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2FF" w:usb1="400004FF" w:usb2="00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Calibri" w:hAnsi="Calibri" w:eastAsia="宋体"/>
      <w:kern w:val="2"/>
      <w:sz w:val="21"/>
      <w:szCs w:val="22"/>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sz w:val="18"/>
      <w:szCs w:val="18"/>
    </w:rPr>
  </w:style>
  <w:style w:type="character" w:customStyle="1" w:styleId="3">
    <w:name w:val="页脚 Char"/>
    <w:basedOn w:val="4"/>
    <w:link w:val="2"/>
    <w:semiHidden/>
    <w:rPr>
      <w:sz w:val="18"/>
      <w:szCs w:val="18"/>
    </w:rPr>
  </w:style>
  <w:style w:type="paragraph" w:styleId="5">
    <w:name w:val="header"/>
    <w:basedOn w:val="1"/>
    <w:link w:val="6"/>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4"/>
    <w:link w:val="5"/>
    <w:semiHidden/>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6</Pages>
  <Words>416</Words>
  <Characters>2377</Characters>
  <Lines>19</Lines>
  <Paragraphs>5</Paragraphs>
  <TotalTime>0</TotalTime>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2020-07-09T16:15:00Z</dcterms:created>
  <dc:creator>微软用户</dc:creator>
  <dcterms:modified xsi:type="dcterms:W3CDTF">2021-05-20T14:35:10Z</dcterms:modified>
  <dc:title>微软用户</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