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宋体" w:hAnsi="宋体" w:eastAsia="宋体"/>
          <w:sz w:val="44"/>
          <w:szCs w:val="44"/>
        </w:rPr>
      </w:pPr>
      <w:bookmarkStart w:id="0" w:name="_GoBack"/>
      <w:bookmarkEnd w:id="0"/>
      <w:r>
        <w:rPr>
          <w:rFonts w:hint="eastAsia"/>
          <w:sz w:val="48"/>
          <w:szCs w:val="48"/>
        </w:rPr>
        <w:t>藁城区城乡居民医疗救助资金</w:t>
      </w:r>
      <w:r>
        <w:rPr>
          <w:rFonts w:hint="eastAsia" w:ascii="宋体" w:hAnsi="宋体" w:eastAsia="宋体"/>
          <w:sz w:val="44"/>
          <w:szCs w:val="44"/>
        </w:rPr>
        <w:t>自评报告</w:t>
      </w:r>
    </w:p>
    <w:p>
      <w:pPr>
        <w:adjustRightInd w:val="0"/>
        <w:snapToGrid w:val="0"/>
        <w:spacing w:line="620" w:lineRule="exact"/>
        <w:jc w:val="center"/>
        <w:rPr>
          <w:rFonts w:ascii="宋体" w:hAnsi="宋体" w:eastAsia="宋体"/>
          <w:sz w:val="44"/>
          <w:szCs w:val="44"/>
        </w:rPr>
      </w:pP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根据《藁城区区级部门预算项目绩效自评管理办法》（藁财字[2020]23号），遵循“科学性、规范性、客观性和公正性”的原则，对藁城区城乡居民医疗救助资金项目实施了财政支出绩效自评价，形成本评价报告。</w:t>
      </w:r>
    </w:p>
    <w:p>
      <w:pPr>
        <w:adjustRightInd w:val="0"/>
        <w:snapToGrid w:val="0"/>
        <w:spacing w:line="62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（一）项目概况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1、项目实施单位:藁城区医疗保障局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2、项目主要实施内容和范围；对2019年度参加城乡居民医疗救助居民，按石财社【2019】43号文件,对藁城区城乡居民五保、低保、因病致贫人口实施医疗救助。</w:t>
      </w:r>
    </w:p>
    <w:p>
      <w:pPr>
        <w:ind w:firstLine="66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3、项目资金投入情况：2019年度低保五保参保人数13285人。其中2019年医疗救助930户，住院1755人次,发放资金共计2817178.58元。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（二）项目预期绩效目标</w:t>
      </w:r>
    </w:p>
    <w:p>
      <w:pPr>
        <w:ind w:firstLine="480" w:firstLineChars="150"/>
        <w:rPr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预期绩效总目标，阶段性（当年）的绩效目标和指标：医疗救助保障的是困难居民的基本医疗服务，在脱贫攻坚、防止因病致贫、因病返贫等方面发挥着重要作用，是困难群体因病致贫、因病返贫的兜底保障网。本次医疗救助项目的具体目标为：（一）保障困难群众按时享受医疗救助，规范医疗救助管理；（二）落实国家医疗救助政策，救助困难群众，防止因病致贫，保障2019年度医疗救助对象人次规模与上年持平。</w:t>
      </w:r>
    </w:p>
    <w:p>
      <w:pPr>
        <w:adjustRightInd w:val="0"/>
        <w:snapToGrid w:val="0"/>
        <w:spacing w:line="62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ind w:firstLine="480" w:firstLineChars="1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：区医疗保障局成立了以解瑞山局长为组长的工作小组，按照区财政局关于绩效管理办法，从深化部门预算改革和加强预算绩效管理的实际需要出发，对项目财政资金使用的效率性和效益性进行了客观公正的评估，以期实现资源配置的优化以及公共服务水平的提高。解瑞山带领评价组成员对医疗救助实施情况进行了全面考察，收集了医疗救助项目相关的各项明细资料，严格按照制定的评价方案，组织医疗救助科进行评价。</w:t>
      </w:r>
    </w:p>
    <w:p>
      <w:pPr>
        <w:ind w:firstLine="480" w:firstLineChars="1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自评的方法和过程：藁城区城乡居民医疗救助资金绩效评价遵循科学规范、客观公正和绩效相关的工作原则，采用目标管理、实地考察、满意度调查等方法，建立关键绩效评价指标体系，进行综合评分，从定量和定性两方面对专项经费项目实施绩效进行评价。根据《藁城区财政局关于开展2019年度财政资金部门绩效自评价工作的通知》要求，我单位建立自评工作小组，在组长解瑞山的带领下认真统计项目的相关数据，收集项目相关的合同票据等材料。通过建立绩效评价指标体系，指定关键绩效评价指标，逐项严格评分，认真完成了项目绩效评价，形成客观、公正、全面的自评报告，反映2019年度藁城区城乡居民医疗保险管理中心运行经费实际绩效。</w:t>
      </w:r>
    </w:p>
    <w:p>
      <w:pPr>
        <w:ind w:firstLine="480" w:firstLineChars="1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（三）建立绩效评价指标体系：</w:t>
      </w:r>
    </w:p>
    <w:p>
      <w:pPr>
        <w:ind w:firstLine="480" w:firstLineChars="1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产出指标（40分）：城乡居民低保五保医疗救助人数（10分）、“一站式”即时结算覆盖率（10分）、医疗救助待遇到位率（10分）、医疗救助报销及时率（10分）。城乡居民低保五保医疗救助人数预期指标12079人，实际完成11790人次，占比97.61%，得分10分。“一站式”即时结算覆盖率超预期完成，评分10分。医疗救助待遇到位率100%，得分10分。医疗救助报销及时率达100%，得分10分。产出指标共计得分40分。</w:t>
      </w:r>
    </w:p>
    <w:p>
      <w:pPr>
        <w:ind w:firstLine="480" w:firstLineChars="1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2、效益指标（40分）：医疗救助政策范围内住院费用支付比例（10分）、防止因病致贫效益（10分）、提高医疗救助经办管理水平（10分）、提高医疗救助标准体系（10分）。以上四项均达标，此项得分40分。</w:t>
      </w:r>
    </w:p>
    <w:p>
      <w:pPr>
        <w:ind w:firstLine="480" w:firstLineChars="1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满意度指标（10分）：医疗救助以保障困难群众基本医疗权益为目标，以期真正发挥医疗救助民生兜底保障作用。本专项目确保医疗救助政策落地生效，被救助对象应保尽保，服务对象满意（10分）。救助对象非常满意，此项得10分。</w:t>
      </w:r>
    </w:p>
    <w:p>
      <w:pPr>
        <w:adjustRightInd w:val="0"/>
        <w:snapToGrid w:val="0"/>
        <w:spacing w:line="620" w:lineRule="exact"/>
        <w:ind w:firstLine="320" w:firstLineChars="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4、预算执行率指标（10分）预算执行率达标，此项得10分。</w:t>
      </w:r>
    </w:p>
    <w:p>
      <w:pPr>
        <w:adjustRightInd w:val="0"/>
        <w:snapToGrid w:val="0"/>
        <w:spacing w:line="62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立项情况分析。医疗救助项目年初预算为625000元，实际使用金额为625000元。藁城区城乡居民医疗救助项目立项规范、救助对象合规合理，医疗救助项目绩效目标合理。相应的绩效指标明确，并能够客观地评价资金绩效，根据指标体系评分标准计算分值为20分。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资金落实情况分析。财政下达医疗救助资金后，我单位第一时间将资金准确及时地发放到户到人，资金直达被救助对象手中，保障困难群众得以救助，防止因病致贫。医疗救助资金到位率达100%，到位及时率达100%，根据指标体系评分标准计算分值为10分。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。藁城区城乡居民医疗救助资金项目目标明确，民生保障作用深远。我单位医疗救助工作有专门科室负责，业务管理规范，医疗救助资金到位，用途清晰。我单位自评工作组对此项目进行了严格的考评，管理制度健全，成立医疗救助科由专人负责医疗救助工作，根据管理制度严格执行，项目完工后由专人专组进行验收核查，对信息精确性进行把关。根据指标体系评分标准计算分值为20分。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财务管理。我单位医疗救助项目管理制度健全、项目资金管理完善，严格按照要求使用。财务科专人负责与医疗救助科对接，及时审核发放医疗救助资金，保证资金到户到人，对每一笔资金都有严格的财务监控，根据指标体系评分标准计算分值为10分。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对项目的实际完成率、完成及时率、质量达标率等情况进行分析后，根据指标体系评分标准计算分值为20分。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对项目的经济效益、社会效益、生态效益、可持续影响和社会公众或服务对象满意度等情况进行分析后，根据指标体系评分标准计算分值为20分。</w:t>
      </w:r>
    </w:p>
    <w:p>
      <w:pPr>
        <w:adjustRightInd w:val="0"/>
        <w:snapToGrid w:val="0"/>
        <w:spacing w:line="62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根据项目执行情况和项目绩效情况，自评总得为100分。</w:t>
      </w:r>
    </w:p>
    <w:p>
      <w:pPr>
        <w:adjustRightInd w:val="0"/>
        <w:snapToGrid w:val="0"/>
        <w:spacing w:line="62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五、评价工作组人员名单及签字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解瑞山  医疗保障局   局长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张彦彬  医疗保障局   副局长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孙文兴  医疗保障局   副局长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魏风云  医疗保障局   会计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史增华  医疗保障局   办公室主任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石风格  医疗保障局  职工医审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褚平    医疗保障局  医疗救助</w:t>
      </w: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tbl>
      <w:tblPr>
        <w:tblW w:w="9100" w:type="dxa"/>
        <w:tblInd w:w="-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48"/>
        <w:gridCol w:w="1227"/>
        <w:gridCol w:w="933"/>
        <w:gridCol w:w="1"/>
        <w:gridCol w:w="1226"/>
        <w:gridCol w:w="1"/>
        <w:gridCol w:w="1089"/>
        <w:gridCol w:w="1019"/>
        <w:gridCol w:w="1"/>
        <w:gridCol w:w="1023"/>
        <w:gridCol w:w="1"/>
        <w:gridCol w:w="1231"/>
      </w:tblGrid>
      <w:tr>
        <w:trPr>
          <w:trHeight w:val="270" w:hRule="atLeast"/>
        </w:trPr>
        <w:tc>
          <w:tcPr>
            <w:tcW w:w="1348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附件1</w:t>
            </w:r>
          </w:p>
        </w:tc>
        <w:tc>
          <w:tcPr>
            <w:tcW w:w="1227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934" w:type="dxa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1227" w:type="dxa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1089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1019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1025" w:type="dxa"/>
            <w:gridSpan w:val="3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1231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</w:tr>
      <w:tr>
        <w:trPr>
          <w:trHeight w:val="270" w:hRule="atLeast"/>
        </w:trPr>
        <w:tc>
          <w:tcPr>
            <w:tcW w:w="9100" w:type="dxa"/>
            <w:gridSpan w:val="12"/>
            <w:vMerge w:val="restart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/>
                <w:i w:val="0"/>
                <w:color w:val="000000"/>
                <w:sz w:val="36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/>
                <w:i w:val="0"/>
                <w:color w:val="000000"/>
                <w:sz w:val="36"/>
                <w:u w:val="none"/>
                <w:lang w:eastAsia="zh-CN"/>
              </w:rPr>
              <w:t>区级部门预算项目绩效自评表</w:t>
            </w:r>
          </w:p>
        </w:tc>
      </w:tr>
      <w:tr>
        <w:trPr>
          <w:trHeight w:val="270" w:hRule="atLeast"/>
        </w:trPr>
        <w:tc>
          <w:tcPr>
            <w:tcW w:w="9100" w:type="dxa"/>
            <w:gridSpan w:val="12"/>
            <w:vMerge w:val="continue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textAlignment w:val="auto"/>
              <w:rPr>
                <w:rFonts w:hint="default" w:ascii="宋体" w:hAnsi="宋体"/>
                <w:sz w:val="24"/>
              </w:rPr>
            </w:pPr>
          </w:p>
        </w:tc>
      </w:tr>
      <w:tr>
        <w:trPr>
          <w:trHeight w:val="300" w:hRule="atLeast"/>
        </w:trPr>
        <w:tc>
          <w:tcPr>
            <w:tcW w:w="9100" w:type="dxa"/>
            <w:gridSpan w:val="12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（2019年度）</w:t>
            </w:r>
          </w:p>
        </w:tc>
      </w:tr>
      <w:tr>
        <w:trPr>
          <w:trHeight w:val="270" w:hRule="atLeast"/>
        </w:trPr>
        <w:tc>
          <w:tcPr>
            <w:tcW w:w="1348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填报单位：</w:t>
            </w:r>
          </w:p>
        </w:tc>
        <w:tc>
          <w:tcPr>
            <w:tcW w:w="1227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934" w:type="dxa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1227" w:type="dxa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1089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1019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2256" w:type="dxa"/>
            <w:gridSpan w:val="4"/>
            <w:tcBorders>
              <w:bottom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righ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单位金额：万元</w:t>
            </w:r>
          </w:p>
        </w:tc>
      </w:tr>
      <w:tr>
        <w:trPr>
          <w:trHeight w:val="540" w:hRule="atLeast"/>
        </w:trPr>
        <w:tc>
          <w:tcPr>
            <w:tcW w:w="1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一、基本情况</w:t>
            </w:r>
          </w:p>
        </w:tc>
        <w:tc>
          <w:tcPr>
            <w:tcW w:w="1227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项目名称</w:t>
            </w:r>
          </w:p>
        </w:tc>
        <w:tc>
          <w:tcPr>
            <w:tcW w:w="2161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城乡居民医疗救助</w:t>
            </w:r>
          </w:p>
        </w:tc>
        <w:tc>
          <w:tcPr>
            <w:tcW w:w="1089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实施（主管单位）</w:t>
            </w:r>
          </w:p>
        </w:tc>
        <w:tc>
          <w:tcPr>
            <w:tcW w:w="3275" w:type="dxa"/>
            <w:gridSpan w:val="5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藁城区医疗保障局</w:t>
            </w:r>
          </w:p>
        </w:tc>
      </w:tr>
      <w:tr>
        <w:trPr>
          <w:trHeight w:val="270" w:hRule="atLeast"/>
        </w:trPr>
        <w:tc>
          <w:tcPr>
            <w:tcW w:w="1348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二、预算执行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情况</w:t>
            </w:r>
          </w:p>
        </w:tc>
        <w:tc>
          <w:tcPr>
            <w:tcW w:w="2160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预算安排情况（调整后）</w:t>
            </w: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资金到位情况</w:t>
            </w:r>
          </w:p>
        </w:tc>
        <w:tc>
          <w:tcPr>
            <w:tcW w:w="2044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资金执行情况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预算执行进度</w:t>
            </w:r>
          </w:p>
        </w:tc>
      </w:tr>
      <w:tr>
        <w:trPr>
          <w:trHeight w:val="270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预算数：</w:t>
            </w:r>
          </w:p>
        </w:tc>
        <w:tc>
          <w:tcPr>
            <w:tcW w:w="933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62.5</w:t>
            </w:r>
          </w:p>
        </w:tc>
        <w:tc>
          <w:tcPr>
            <w:tcW w:w="1227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到位数：</w:t>
            </w:r>
          </w:p>
        </w:tc>
        <w:tc>
          <w:tcPr>
            <w:tcW w:w="1090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62.5</w:t>
            </w:r>
          </w:p>
        </w:tc>
        <w:tc>
          <w:tcPr>
            <w:tcW w:w="1020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执行数：</w:t>
            </w:r>
          </w:p>
        </w:tc>
        <w:tc>
          <w:tcPr>
            <w:tcW w:w="1024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62.5</w:t>
            </w:r>
          </w:p>
        </w:tc>
        <w:tc>
          <w:tcPr>
            <w:tcW w:w="1231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</w:tr>
      <w:tr>
        <w:trPr>
          <w:trHeight w:val="810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其中：财政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 xml:space="preserve">     资金</w:t>
            </w:r>
          </w:p>
        </w:tc>
        <w:tc>
          <w:tcPr>
            <w:tcW w:w="933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62.5</w:t>
            </w:r>
          </w:p>
        </w:tc>
        <w:tc>
          <w:tcPr>
            <w:tcW w:w="1227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其中：财政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 xml:space="preserve">     资金</w:t>
            </w:r>
          </w:p>
        </w:tc>
        <w:tc>
          <w:tcPr>
            <w:tcW w:w="1090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62.5</w:t>
            </w:r>
          </w:p>
        </w:tc>
        <w:tc>
          <w:tcPr>
            <w:tcW w:w="1020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其中：财政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 xml:space="preserve">     资金</w:t>
            </w:r>
          </w:p>
        </w:tc>
        <w:tc>
          <w:tcPr>
            <w:tcW w:w="1024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62.5</w:t>
            </w:r>
          </w:p>
        </w:tc>
        <w:tc>
          <w:tcPr>
            <w:tcW w:w="123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</w:tr>
      <w:tr>
        <w:trPr>
          <w:trHeight w:val="390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 xml:space="preserve">     其他</w:t>
            </w:r>
          </w:p>
        </w:tc>
        <w:tc>
          <w:tcPr>
            <w:tcW w:w="933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　</w:t>
            </w:r>
          </w:p>
        </w:tc>
        <w:tc>
          <w:tcPr>
            <w:tcW w:w="1227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 xml:space="preserve">     其他</w:t>
            </w:r>
          </w:p>
        </w:tc>
        <w:tc>
          <w:tcPr>
            <w:tcW w:w="1090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　</w:t>
            </w:r>
          </w:p>
        </w:tc>
        <w:tc>
          <w:tcPr>
            <w:tcW w:w="1020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 xml:space="preserve">     其他</w:t>
            </w:r>
          </w:p>
        </w:tc>
        <w:tc>
          <w:tcPr>
            <w:tcW w:w="1024" w:type="dxa"/>
            <w:gridSpan w:val="2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　</w:t>
            </w:r>
          </w:p>
        </w:tc>
        <w:tc>
          <w:tcPr>
            <w:tcW w:w="123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</w:tr>
      <w:tr>
        <w:trPr>
          <w:trHeight w:val="270" w:hRule="atLeast"/>
        </w:trPr>
        <w:tc>
          <w:tcPr>
            <w:tcW w:w="1348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三、目标完成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情况</w:t>
            </w:r>
          </w:p>
        </w:tc>
        <w:tc>
          <w:tcPr>
            <w:tcW w:w="338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年度预算目标</w:t>
            </w:r>
          </w:p>
        </w:tc>
        <w:tc>
          <w:tcPr>
            <w:tcW w:w="3134" w:type="dxa"/>
            <w:gridSpan w:val="6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具体完成情况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总体完成率</w:t>
            </w:r>
          </w:p>
        </w:tc>
      </w:tr>
      <w:tr>
        <w:trPr>
          <w:trHeight w:val="555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338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按时足额拨款到户到人</w:t>
            </w:r>
          </w:p>
        </w:tc>
        <w:tc>
          <w:tcPr>
            <w:tcW w:w="3134" w:type="dxa"/>
            <w:gridSpan w:val="6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已按时足额拨款至个人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</w:tr>
      <w:tr>
        <w:trPr>
          <w:trHeight w:val="375" w:hRule="atLeast"/>
        </w:trPr>
        <w:tc>
          <w:tcPr>
            <w:tcW w:w="1348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四、年度绩效指标完成情况</w:t>
            </w:r>
          </w:p>
        </w:tc>
        <w:tc>
          <w:tcPr>
            <w:tcW w:w="1227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一级指标</w:t>
            </w:r>
          </w:p>
        </w:tc>
        <w:tc>
          <w:tcPr>
            <w:tcW w:w="933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二级指标</w:t>
            </w: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三级指标</w:t>
            </w:r>
          </w:p>
        </w:tc>
        <w:tc>
          <w:tcPr>
            <w:tcW w:w="1019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预期指标值</w:t>
            </w:r>
          </w:p>
        </w:tc>
        <w:tc>
          <w:tcPr>
            <w:tcW w:w="1025" w:type="dxa"/>
            <w:gridSpan w:val="3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实际完成值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自评得分</w:t>
            </w:r>
          </w:p>
        </w:tc>
      </w:tr>
      <w:tr>
        <w:trPr>
          <w:trHeight w:val="1095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产出指标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（40分）</w:t>
            </w:r>
          </w:p>
        </w:tc>
        <w:tc>
          <w:tcPr>
            <w:tcW w:w="933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数量指标</w:t>
            </w: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城乡居民低保五保医疗救助人数</w:t>
            </w:r>
          </w:p>
        </w:tc>
        <w:tc>
          <w:tcPr>
            <w:tcW w:w="1019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12079</w:t>
            </w:r>
          </w:p>
        </w:tc>
        <w:tc>
          <w:tcPr>
            <w:tcW w:w="1025" w:type="dxa"/>
            <w:gridSpan w:val="3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11790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</w:t>
            </w:r>
          </w:p>
        </w:tc>
      </w:tr>
      <w:tr>
        <w:trPr>
          <w:trHeight w:val="270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textAlignment w:val="auto"/>
              <w:rPr>
                <w:rFonts w:hint="default" w:ascii="宋体" w:hAnsi="宋体"/>
                <w:sz w:val="24"/>
              </w:rPr>
            </w:pPr>
          </w:p>
        </w:tc>
        <w:tc>
          <w:tcPr>
            <w:tcW w:w="9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“一站式”即时结算覆盖率</w:t>
            </w:r>
          </w:p>
        </w:tc>
        <w:tc>
          <w:tcPr>
            <w:tcW w:w="1019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95%</w:t>
            </w:r>
          </w:p>
        </w:tc>
        <w:tc>
          <w:tcPr>
            <w:tcW w:w="1025" w:type="dxa"/>
            <w:gridSpan w:val="3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96%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</w:t>
            </w:r>
          </w:p>
        </w:tc>
      </w:tr>
      <w:tr>
        <w:trPr>
          <w:trHeight w:val="945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textAlignment w:val="auto"/>
              <w:rPr>
                <w:rFonts w:hint="default" w:ascii="宋体" w:hAnsi="宋体"/>
                <w:sz w:val="24"/>
              </w:rPr>
            </w:pPr>
          </w:p>
        </w:tc>
        <w:tc>
          <w:tcPr>
            <w:tcW w:w="933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质量指标</w:t>
            </w: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医疗救助待遇到位率</w:t>
            </w:r>
          </w:p>
        </w:tc>
        <w:tc>
          <w:tcPr>
            <w:tcW w:w="1019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025" w:type="dxa"/>
            <w:gridSpan w:val="3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</w:t>
            </w:r>
          </w:p>
        </w:tc>
      </w:tr>
      <w:tr>
        <w:trPr>
          <w:trHeight w:val="750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textAlignment w:val="auto"/>
              <w:rPr>
                <w:rFonts w:hint="default" w:ascii="宋体" w:hAnsi="宋体"/>
                <w:sz w:val="24"/>
              </w:rPr>
            </w:pPr>
          </w:p>
        </w:tc>
        <w:tc>
          <w:tcPr>
            <w:tcW w:w="9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/>
                <w:sz w:val="24"/>
              </w:rPr>
            </w:pP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医疗救助报销及时率</w:t>
            </w:r>
          </w:p>
        </w:tc>
        <w:tc>
          <w:tcPr>
            <w:tcW w:w="1019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025" w:type="dxa"/>
            <w:gridSpan w:val="3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</w:t>
            </w:r>
          </w:p>
        </w:tc>
      </w:tr>
      <w:tr>
        <w:trPr>
          <w:trHeight w:val="810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预算执行率指标（10分）</w:t>
            </w:r>
          </w:p>
        </w:tc>
        <w:tc>
          <w:tcPr>
            <w:tcW w:w="933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预算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执行率</w:t>
            </w: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预算执行进度</w:t>
            </w:r>
          </w:p>
        </w:tc>
        <w:tc>
          <w:tcPr>
            <w:tcW w:w="1019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025" w:type="dxa"/>
            <w:gridSpan w:val="3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</w:t>
            </w:r>
          </w:p>
        </w:tc>
      </w:tr>
      <w:tr>
        <w:trPr>
          <w:trHeight w:val="540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效益指标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（40分）</w:t>
            </w:r>
          </w:p>
        </w:tc>
        <w:tc>
          <w:tcPr>
            <w:tcW w:w="933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经济效益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指标</w:t>
            </w: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医疗救助政策范围内住院费用支付比例</w:t>
            </w:r>
          </w:p>
        </w:tc>
        <w:tc>
          <w:tcPr>
            <w:tcW w:w="1019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025" w:type="dxa"/>
            <w:gridSpan w:val="3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</w:t>
            </w:r>
          </w:p>
        </w:tc>
      </w:tr>
      <w:tr>
        <w:trPr>
          <w:trHeight w:val="600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textAlignment w:val="auto"/>
              <w:rPr>
                <w:rFonts w:hint="default" w:ascii="宋体" w:hAnsi="宋体"/>
                <w:sz w:val="24"/>
              </w:rPr>
            </w:pPr>
          </w:p>
        </w:tc>
        <w:tc>
          <w:tcPr>
            <w:tcW w:w="933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社会效益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指标</w:t>
            </w: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防止因病致贫</w:t>
            </w:r>
          </w:p>
        </w:tc>
        <w:tc>
          <w:tcPr>
            <w:tcW w:w="1019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50%</w:t>
            </w:r>
          </w:p>
        </w:tc>
        <w:tc>
          <w:tcPr>
            <w:tcW w:w="1025" w:type="dxa"/>
            <w:gridSpan w:val="3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70%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</w:t>
            </w:r>
          </w:p>
        </w:tc>
      </w:tr>
      <w:tr>
        <w:trPr>
          <w:trHeight w:val="555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textAlignment w:val="auto"/>
              <w:rPr>
                <w:rFonts w:hint="default" w:ascii="宋体" w:hAnsi="宋体"/>
                <w:sz w:val="24"/>
              </w:rPr>
            </w:pPr>
          </w:p>
        </w:tc>
        <w:tc>
          <w:tcPr>
            <w:tcW w:w="9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/>
                <w:sz w:val="24"/>
              </w:rPr>
            </w:pP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提高医疗救助经办管理水平</w:t>
            </w:r>
          </w:p>
        </w:tc>
        <w:tc>
          <w:tcPr>
            <w:tcW w:w="1019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025" w:type="dxa"/>
            <w:gridSpan w:val="3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</w:t>
            </w:r>
          </w:p>
        </w:tc>
      </w:tr>
      <w:tr>
        <w:trPr>
          <w:trHeight w:val="525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textAlignment w:val="auto"/>
              <w:rPr>
                <w:rFonts w:hint="default" w:ascii="宋体" w:hAnsi="宋体"/>
                <w:sz w:val="24"/>
              </w:rPr>
            </w:pPr>
          </w:p>
        </w:tc>
        <w:tc>
          <w:tcPr>
            <w:tcW w:w="933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可持续影响指标</w:t>
            </w: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提高医疗救助标准体系</w:t>
            </w:r>
          </w:p>
        </w:tc>
        <w:tc>
          <w:tcPr>
            <w:tcW w:w="1019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025" w:type="dxa"/>
            <w:gridSpan w:val="3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</w:t>
            </w:r>
          </w:p>
        </w:tc>
      </w:tr>
      <w:tr>
        <w:trPr>
          <w:trHeight w:val="675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227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满意度指标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（10分）</w:t>
            </w:r>
          </w:p>
        </w:tc>
        <w:tc>
          <w:tcPr>
            <w:tcW w:w="933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满意度</w:t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br/>
            </w: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指标</w:t>
            </w:r>
          </w:p>
        </w:tc>
        <w:tc>
          <w:tcPr>
            <w:tcW w:w="2317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确保医疗救助政策落地生效</w:t>
            </w:r>
          </w:p>
        </w:tc>
        <w:tc>
          <w:tcPr>
            <w:tcW w:w="1019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025" w:type="dxa"/>
            <w:gridSpan w:val="3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100%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</w:t>
            </w:r>
          </w:p>
        </w:tc>
      </w:tr>
      <w:tr>
        <w:trPr>
          <w:trHeight w:val="270" w:hRule="atLeast"/>
        </w:trPr>
        <w:tc>
          <w:tcPr>
            <w:tcW w:w="134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6521" w:type="dxa"/>
            <w:gridSpan w:val="10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总分</w:t>
            </w:r>
          </w:p>
        </w:tc>
        <w:tc>
          <w:tcPr>
            <w:tcW w:w="1231" w:type="dxa"/>
            <w:tcBorders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100</w:t>
            </w:r>
          </w:p>
        </w:tc>
      </w:tr>
      <w:tr>
        <w:trPr>
          <w:trHeight w:val="1350" w:hRule="atLeast"/>
        </w:trPr>
        <w:tc>
          <w:tcPr>
            <w:tcW w:w="1348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五、存在问题、原因及下一步整改措施</w:t>
            </w:r>
          </w:p>
        </w:tc>
        <w:tc>
          <w:tcPr>
            <w:tcW w:w="7752" w:type="dxa"/>
            <w:gridSpan w:val="11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无</w:t>
            </w:r>
          </w:p>
        </w:tc>
      </w:tr>
      <w:tr>
        <w:trPr>
          <w:trHeight w:val="270" w:hRule="atLeast"/>
        </w:trPr>
        <w:tc>
          <w:tcPr>
            <w:tcW w:w="1348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填报人：</w:t>
            </w:r>
          </w:p>
        </w:tc>
        <w:tc>
          <w:tcPr>
            <w:tcW w:w="1227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魏风云</w:t>
            </w:r>
          </w:p>
        </w:tc>
        <w:tc>
          <w:tcPr>
            <w:tcW w:w="933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1228" w:type="dxa"/>
            <w:gridSpan w:val="3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1089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联系电话：</w:t>
            </w:r>
          </w:p>
        </w:tc>
        <w:tc>
          <w:tcPr>
            <w:tcW w:w="1019" w:type="dxa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  <w:r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  <w:t>88136610</w:t>
            </w:r>
          </w:p>
        </w:tc>
        <w:tc>
          <w:tcPr>
            <w:tcW w:w="1024" w:type="dxa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  <w:tc>
          <w:tcPr>
            <w:tcW w:w="1232" w:type="dxa"/>
            <w:gridSpan w:val="2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2"/>
                <w:u w:val="none"/>
                <w:lang w:eastAsia="zh-CN"/>
              </w:rPr>
            </w:pPr>
          </w:p>
        </w:tc>
      </w:tr>
    </w:tbl>
    <w:p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sectPr>
      <w:pgSz w:w="11906" w:h="16838"/>
      <w:pgMar w:top="1440" w:right="1418" w:bottom="1440" w:left="1418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</w:style>
  <w:style w:type="paragraph" w:styleId="2">
    <w:name w:val="footer"/>
    <w:basedOn w:val="1"/>
    <w:link w:val="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3">
    <w:name w:val="页脚 Char"/>
    <w:basedOn w:val="4"/>
    <w:link w:val="2"/>
    <w:semiHidden/>
    <w:rPr>
      <w:sz w:val="18"/>
      <w:szCs w:val="18"/>
    </w:rPr>
  </w:style>
  <w:style w:type="paragraph" w:styleId="5">
    <w:name w:val="header"/>
    <w:basedOn w:val="1"/>
    <w:link w:val="6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5"/>
    <w:semiHidden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355</Words>
  <Characters>2030</Characters>
  <Lines>16</Lines>
  <Paragraphs>4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2020-07-10T00:15:00Z</dcterms:created>
  <dc:creator>微软用户</dc:creator>
  <dcterms:modified xsi:type="dcterms:W3CDTF">2021-05-20T14:36:56Z</dcterms:modified>
  <dc:title>微软用户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