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adjustRightInd w:val="0"/>
        <w:snapToGrid w:val="0"/>
        <w:spacing w:line="620" w:lineRule="exact"/>
        <w:jc w:val="center"/>
        <w:rPr>
          <w:rFonts w:ascii="宋体" w:hAnsi="宋体" w:eastAsia="宋体"/>
          <w:sz w:val="44"/>
          <w:szCs w:val="44"/>
        </w:rPr>
      </w:pPr>
      <w:r>
        <w:rPr>
          <w:rFonts w:hint="eastAsia" w:ascii="宋体" w:hAnsi="宋体" w:eastAsia="宋体"/>
          <w:sz w:val="44"/>
          <w:szCs w:val="44"/>
        </w:rPr>
        <w:t>离休、建国前老工人、1-6级伤残军人医疗费</w:t>
      </w:r>
    </w:p>
    <w:p>
      <w:pPr>
        <w:adjustRightInd w:val="0"/>
        <w:snapToGrid w:val="0"/>
        <w:spacing w:line="620" w:lineRule="exact"/>
        <w:jc w:val="center"/>
        <w:rPr>
          <w:rFonts w:ascii="宋体" w:hAnsi="宋体" w:eastAsia="宋体"/>
          <w:sz w:val="44"/>
          <w:szCs w:val="44"/>
        </w:rPr>
      </w:pPr>
      <w:r>
        <w:rPr>
          <w:rFonts w:hint="eastAsia" w:ascii="宋体" w:hAnsi="宋体" w:eastAsia="宋体"/>
          <w:sz w:val="44"/>
          <w:szCs w:val="44"/>
        </w:rPr>
        <w:t>项目自评报告</w:t>
      </w:r>
    </w:p>
    <w:p>
      <w:pPr>
        <w:adjustRightInd w:val="0"/>
        <w:snapToGrid w:val="0"/>
        <w:spacing w:line="620" w:lineRule="exact"/>
        <w:jc w:val="center"/>
        <w:rPr>
          <w:rFonts w:ascii="宋体" w:hAnsi="宋体" w:eastAsia="宋体"/>
          <w:sz w:val="44"/>
          <w:szCs w:val="44"/>
        </w:rPr>
      </w:pP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根据《藁城区区级部门预算项目绩效自评管理办法》（藁财字[2020]23号），遵循“科学性、规范性、客观性和公正性”的原则，对离休、建国前老工人、1-6级伤残军人医疗费项目实施了财政支出绩效自评价，形成本评价报告。</w:t>
      </w:r>
    </w:p>
    <w:p>
      <w:pPr>
        <w:adjustRightInd w:val="0"/>
        <w:snapToGrid w:val="0"/>
        <w:spacing w:line="620" w:lineRule="exact"/>
        <w:ind w:firstLine="643" w:firstLineChars="200"/>
        <w:rPr>
          <w:rFonts w:ascii="宋体" w:hAnsi="宋体"/>
          <w:b/>
          <w:sz w:val="32"/>
          <w:szCs w:val="32"/>
        </w:rPr>
      </w:pPr>
      <w:r>
        <w:rPr>
          <w:rFonts w:hint="eastAsia" w:ascii="宋体" w:hAnsi="宋体"/>
          <w:b/>
          <w:sz w:val="32"/>
          <w:szCs w:val="32"/>
        </w:rPr>
        <w:t>一、项目基本情况</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（一）项目概况</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1、项目实施单位：藁城区医疗保障局</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2、项目主要实施内容和范围：根据政策,国家对离退休人员、二等乙军人建国前老工人及一级至六级残疾军人的医疗费用按照规定予以保障。积极落实城镇职工、离退休干部职工和城乡居民医疗保障筹资和待遇标准</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3、项目资金投入情况（资金数量、资金结构、资金来源渠道等）:</w:t>
      </w:r>
      <w:r>
        <w:rPr>
          <w:rFonts w:hint="eastAsia"/>
        </w:rPr>
        <w:t xml:space="preserve"> </w:t>
      </w:r>
      <w:r>
        <w:rPr>
          <w:rFonts w:hint="eastAsia" w:ascii="仿宋" w:hAnsi="仿宋" w:eastAsia="仿宋"/>
          <w:sz w:val="32"/>
          <w:szCs w:val="32"/>
        </w:rPr>
        <w:t>离休、建国前老工人、1-6级伤残军人医疗费项目资金预算共计910万元，预计3月底前使用25%，6月底前使用50%，10月底前使用75%，12月底前完成100%。全年累计支出离休、建国前老工人、1-6级伤残军人医疗费共计909.9711万元。</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（二）项目预期绩效目标</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项目预期绩效总目标，阶段性（当年）的绩效目标和指标：医疗保障事业关乎民生福祉，对离休、建国前老工人、1-6级伤残军人的医疗保障深切体现了政府人民至上的服务宗旨，更体现了我党关怀离休、建国前老工人、1-6级伤残军人，保障其病有所医的崇高思想。离休、建国前老工人、1-6级伤残军人医疗费项目具体目标就是：使受益对象足额享受医疗保障待遇，并且按时拨付离休、建国前老工人、1-6级伤残军人医疗费。</w:t>
      </w:r>
    </w:p>
    <w:p>
      <w:pPr>
        <w:adjustRightInd w:val="0"/>
        <w:snapToGrid w:val="0"/>
        <w:spacing w:line="620" w:lineRule="exact"/>
        <w:ind w:firstLine="643" w:firstLineChars="200"/>
        <w:rPr>
          <w:rFonts w:ascii="宋体" w:hAnsi="宋体"/>
          <w:b/>
          <w:sz w:val="32"/>
          <w:szCs w:val="32"/>
        </w:rPr>
      </w:pPr>
      <w:r>
        <w:rPr>
          <w:rFonts w:hint="eastAsia" w:ascii="宋体" w:hAnsi="宋体"/>
          <w:b/>
          <w:sz w:val="32"/>
          <w:szCs w:val="32"/>
        </w:rPr>
        <w:t>二、自评工作情况</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（一）自评的组织工作</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自项目成立以来，我局成立了以解瑞山局长为组长的自评工作小组。按照区财政局关于绩效管理办法，从深化部门预算改革和加强预算绩效管理的实际需要出发，对项目财政资金使用的效率性和效益性进行了客观公正的评估，以期实现资源配置的优化以及公共服务水平的提高。解瑞山带领评价组成员对该项目实施情况进行了全面考察核验，对离休、建国前老工人、1-6级伤残军人医疗费用的发放，发放精确到户到人，精准无误，严格按照制定的评价方案，组织各相关业务科室进行评价。</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（二）自评的方法和过程</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藁城区城乡居民医疗保险管理中心运行经费绩效评价遵循科学规范、客观公正和绩效相关的工作原则，采用目标管理、实地考察、满意度调查等方法，建立关键绩效评价指标体系，进行综合评分，从定量和定性两方面对专项经费项目实施绩效进行评价。根据《藁城区财政局关于开展2019年度财政资金部门绩效自评价工作的通知》要求，我单位建立自评工作小组，在组长解瑞山的带领下认真统计项目的相关数据，收集项目相关的票据等材料。通过建立绩效评价指标体系，指定关键绩效评价指标，逐项严格评分，认真完成了项目绩效评价，形成客观、公正、全面的自评报告，反映离休、建国前老工人、1-6级伤残军人医疗费实际绩效。</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（三）建立绩效评价指标体系</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在开展预算自评工作时，针对藁城区城乡居民医疗保险管理中心运行经费的特点，指定能够体现项目特点的绩效评价指标体系。绩效指标权重根据藁城区城乡居民医疗保险管理中心专用经费运用的实际情况确定，总分设定为100分。原则上一级指标权重统一设置为：产出指标40分（包含数量、质量、时效、成本）、预算执行率指标10分、效益指标40分（包含经济效益、社会效益、生态效益、可持续影响）、满意度指标10分。</w:t>
      </w:r>
    </w:p>
    <w:p>
      <w:pPr>
        <w:adjustRightInd w:val="0"/>
        <w:snapToGrid w:val="0"/>
        <w:spacing w:line="620" w:lineRule="exact"/>
        <w:ind w:firstLine="640" w:firstLineChars="200"/>
        <w:rPr>
          <w:rFonts w:hint="eastAsia" w:ascii="仿宋" w:hAnsi="仿宋" w:eastAsia="仿宋"/>
          <w:sz w:val="32"/>
          <w:szCs w:val="32"/>
        </w:rPr>
      </w:pPr>
      <w:r>
        <w:rPr>
          <w:rFonts w:hint="eastAsia"/>
          <w:sz w:val="32"/>
          <w:szCs w:val="32"/>
        </w:rPr>
        <w:t>1、</w:t>
      </w:r>
      <w:r>
        <w:rPr>
          <w:rFonts w:hint="eastAsia" w:ascii="仿宋" w:hAnsi="仿宋" w:eastAsia="仿宋"/>
          <w:sz w:val="32"/>
          <w:szCs w:val="32"/>
        </w:rPr>
        <w:t>产出指标（40分）：离休、1-6级伤残军人、省劳模、建国前老工人、军人所享受实报实销人员人数（10分），已参保的医疗保障待遇到位率（10分）、医疗保险基金监管覆盖率（10分）、医疗保障报销及时率（10分）。以上四项工作完成率均为100%，产出数量得分40分。</w:t>
      </w:r>
    </w:p>
    <w:p>
      <w:pPr>
        <w:adjustRightInd w:val="0"/>
        <w:snapToGrid w:val="0"/>
        <w:spacing w:line="620" w:lineRule="exact"/>
        <w:ind w:firstLine="640" w:firstLineChars="200"/>
        <w:rPr>
          <w:rFonts w:hint="eastAsia" w:ascii="仿宋" w:hAnsi="仿宋" w:eastAsia="仿宋"/>
          <w:sz w:val="32"/>
          <w:szCs w:val="32"/>
        </w:rPr>
      </w:pPr>
      <w:r>
        <w:rPr>
          <w:rFonts w:hint="eastAsia" w:ascii="仿宋" w:hAnsi="仿宋" w:eastAsia="仿宋"/>
          <w:sz w:val="32"/>
          <w:szCs w:val="32"/>
        </w:rPr>
        <w:t>2、效益指标（30分）：资金发放到位率（10分）、医疗补助发放精确度（10分）、提高医疗保险保障水平（10分）。经过严格考察佐证，以上四项均达标，此项得分30分。</w:t>
      </w:r>
    </w:p>
    <w:p>
      <w:pPr>
        <w:adjustRightInd w:val="0"/>
        <w:snapToGrid w:val="0"/>
        <w:spacing w:line="620" w:lineRule="exact"/>
        <w:ind w:firstLine="640" w:firstLineChars="200"/>
        <w:rPr>
          <w:rFonts w:hint="eastAsia" w:ascii="仿宋" w:hAnsi="仿宋" w:eastAsia="仿宋"/>
          <w:sz w:val="32"/>
          <w:szCs w:val="32"/>
        </w:rPr>
      </w:pPr>
      <w:r>
        <w:rPr>
          <w:rFonts w:hint="eastAsia" w:ascii="仿宋" w:hAnsi="仿宋" w:eastAsia="仿宋"/>
          <w:sz w:val="32"/>
          <w:szCs w:val="32"/>
        </w:rPr>
        <w:t>3、满意度指标（20分）：享受待遇人员满意度（10分），确保政策落地生效（10分）。完善医疗保障政策，确保资金落实到位，医疗政策落实到位，得分10分。参保群众对服务非常满意，得分10分。共计得分20分。</w:t>
      </w:r>
    </w:p>
    <w:p>
      <w:pPr>
        <w:adjustRightInd w:val="0"/>
        <w:snapToGrid w:val="0"/>
        <w:spacing w:line="620" w:lineRule="exact"/>
        <w:ind w:firstLine="640" w:firstLineChars="200"/>
        <w:rPr>
          <w:rFonts w:hint="eastAsia" w:ascii="仿宋" w:hAnsi="仿宋" w:eastAsia="仿宋"/>
          <w:sz w:val="32"/>
          <w:szCs w:val="32"/>
        </w:rPr>
      </w:pPr>
      <w:r>
        <w:rPr>
          <w:rFonts w:hint="eastAsia" w:ascii="仿宋" w:hAnsi="仿宋" w:eastAsia="仿宋"/>
          <w:sz w:val="32"/>
          <w:szCs w:val="32"/>
        </w:rPr>
        <w:t>4、预算执行率指标（10分）预算执行率达标，此项得10分。</w:t>
      </w:r>
    </w:p>
    <w:p>
      <w:pPr>
        <w:adjustRightInd w:val="0"/>
        <w:snapToGrid w:val="0"/>
        <w:spacing w:line="620" w:lineRule="exact"/>
        <w:ind w:firstLine="640" w:firstLineChars="200"/>
        <w:rPr>
          <w:rFonts w:hint="eastAsia" w:ascii="仿宋" w:hAnsi="仿宋" w:eastAsia="仿宋"/>
          <w:sz w:val="32"/>
          <w:szCs w:val="32"/>
        </w:rPr>
      </w:pPr>
      <w:r>
        <w:rPr>
          <w:rFonts w:hint="eastAsia" w:ascii="仿宋" w:hAnsi="仿宋" w:eastAsia="仿宋"/>
          <w:sz w:val="32"/>
          <w:szCs w:val="32"/>
        </w:rPr>
        <w:t>三、项目执行及绩效实现情况</w:t>
      </w:r>
    </w:p>
    <w:p>
      <w:pPr>
        <w:adjustRightInd w:val="0"/>
        <w:snapToGrid w:val="0"/>
        <w:spacing w:line="620" w:lineRule="exact"/>
        <w:ind w:firstLine="640" w:firstLineChars="200"/>
        <w:rPr>
          <w:rFonts w:hint="eastAsia" w:ascii="仿宋" w:hAnsi="仿宋" w:eastAsia="仿宋"/>
          <w:sz w:val="32"/>
          <w:szCs w:val="32"/>
        </w:rPr>
      </w:pPr>
      <w:r>
        <w:rPr>
          <w:rFonts w:hint="eastAsia" w:ascii="仿宋" w:hAnsi="仿宋" w:eastAsia="仿宋"/>
          <w:sz w:val="32"/>
          <w:szCs w:val="32"/>
        </w:rPr>
        <w:t>（一）项目投入（30分）</w:t>
      </w:r>
    </w:p>
    <w:p>
      <w:pPr>
        <w:adjustRightInd w:val="0"/>
        <w:snapToGrid w:val="0"/>
        <w:spacing w:line="620" w:lineRule="exact"/>
        <w:ind w:firstLine="640" w:firstLineChars="200"/>
        <w:rPr>
          <w:rFonts w:hint="eastAsia" w:ascii="仿宋" w:hAnsi="仿宋" w:eastAsia="仿宋"/>
          <w:sz w:val="32"/>
          <w:szCs w:val="32"/>
        </w:rPr>
      </w:pPr>
      <w:r>
        <w:rPr>
          <w:rFonts w:hint="eastAsia" w:ascii="仿宋" w:hAnsi="仿宋" w:eastAsia="仿宋"/>
          <w:sz w:val="32"/>
          <w:szCs w:val="32"/>
        </w:rPr>
        <w:t>1、项目立项情况分析：2019年此项目年初预算为910万元，实际使用金额为909.97万元。离休、建国前老工人、1-6级伤残军人医疗费项目符合规定、用途合理明晰，绩效目标合理。相应的绩效指标明确，并能够客观地评价资金绩效，根据指标体系评分标准计算分值为20分。</w:t>
      </w:r>
    </w:p>
    <w:p>
      <w:pPr>
        <w:adjustRightInd w:val="0"/>
        <w:snapToGrid w:val="0"/>
        <w:spacing w:line="620" w:lineRule="exact"/>
        <w:ind w:firstLine="640" w:firstLineChars="200"/>
        <w:rPr>
          <w:rFonts w:hint="eastAsia" w:ascii="仿宋" w:hAnsi="仿宋" w:eastAsia="仿宋"/>
          <w:sz w:val="32"/>
          <w:szCs w:val="32"/>
        </w:rPr>
      </w:pPr>
      <w:r>
        <w:rPr>
          <w:rFonts w:hint="eastAsia" w:ascii="仿宋" w:hAnsi="仿宋" w:eastAsia="仿宋"/>
          <w:sz w:val="32"/>
          <w:szCs w:val="32"/>
        </w:rPr>
        <w:t>2、资金落实情况分析：资金到位率100%和到位及时率100%，根据指标体系评分标准计算分值为10分</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（二）项目实施过程（30分）</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1、业务管理情况分析。此次离休、建国前老工人、1-6级伤残军人医疗费项目目标明确，资金到位，用途清晰。我单位对此项目进行了严格的管理，管理制度健全，由专人负责，根据管理制度严格执行，项目完工后由专人专组进行收工验收，对项目质量进行把关。根据指标体系评分标准计算分值为20分。</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2、财务管理。该项目政策明确，管理制度健全、项目资金管理完善，严格按照要求使用，对每一笔资金都有严格的财务监控，每笔资金都精细化到户到人。根据指标体系评分标准计算分值为10分。</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（三）项目产出（20分）</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医疗保障事业关乎民生福祉，对离休、建国前老工人、1-6级伤残军人的医疗保障深切体现了政府人民至上的服务宗旨，更体现了我党关怀离休、建国前老工人、1-6级伤残军人，保障其病有所医的崇高思想。离休、建国前老工人、1-6级伤残军人医疗费项目使受益对象足额及时享受医疗保障待遇。此项得分20分。</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（四）项目效果（20分）</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离休、建国前老工人、1-6级伤残军人医疗费是我们党和国家政府人民至上理念的极大体现，是人民的一大福祉。该项目的实施推动了我区医疗保障服务的发展，对提高我区医疗保障水平，建立文明城市起到了巨大的推动作用，保障了群众病有所医，为民生保驾护航，社会公众或服务对象满意，社会效益显著。根据指标体系评分标准计算分值为30分。</w:t>
      </w:r>
    </w:p>
    <w:p>
      <w:pPr>
        <w:adjustRightInd w:val="0"/>
        <w:snapToGrid w:val="0"/>
        <w:spacing w:line="620" w:lineRule="exact"/>
        <w:ind w:firstLine="643" w:firstLineChars="200"/>
        <w:rPr>
          <w:rFonts w:ascii="宋体" w:hAnsi="宋体"/>
          <w:b/>
          <w:sz w:val="32"/>
          <w:szCs w:val="32"/>
        </w:rPr>
      </w:pPr>
      <w:r>
        <w:rPr>
          <w:rFonts w:hint="eastAsia" w:ascii="宋体" w:hAnsi="宋体"/>
          <w:b/>
          <w:sz w:val="32"/>
          <w:szCs w:val="32"/>
        </w:rPr>
        <w:t>四、项目综合评价结论和评价等级</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根据项目执行情况和项目绩效情况，给出总得分100分，项目评价等级为优秀。</w:t>
      </w:r>
    </w:p>
    <w:p>
      <w:pPr>
        <w:adjustRightInd w:val="0"/>
        <w:snapToGrid w:val="0"/>
        <w:spacing w:line="620" w:lineRule="exact"/>
        <w:ind w:firstLine="643" w:firstLineChars="200"/>
        <w:rPr>
          <w:rFonts w:ascii="仿宋" w:hAnsi="仿宋" w:eastAsia="仿宋"/>
          <w:sz w:val="32"/>
          <w:szCs w:val="32"/>
        </w:rPr>
      </w:pPr>
      <w:r>
        <w:rPr>
          <w:rFonts w:hint="eastAsia" w:ascii="宋体" w:hAnsi="宋体"/>
          <w:b/>
          <w:sz w:val="32"/>
          <w:szCs w:val="32"/>
        </w:rPr>
        <w:t>五、评价工作组人员名单及签字</w:t>
      </w:r>
      <w:r>
        <w:rPr>
          <w:rFonts w:hint="eastAsia" w:ascii="仿宋" w:hAnsi="仿宋" w:eastAsia="仿宋"/>
          <w:sz w:val="32"/>
          <w:szCs w:val="32"/>
        </w:rPr>
        <w:t>（姓名、工作单位、职务、职称）</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解瑞山  医疗保障局   局长</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张彦彬  医疗保障局   副局长</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孙文兴  医疗保障局   副局长</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魏风云  医疗保障局   会计</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史增华  医疗保障局   办公室主任</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石风格  医疗保障局   职工医审</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褚平    医疗保障局   医疗救助</w:t>
      </w:r>
    </w:p>
    <w:p>
      <w:pPr>
        <w:adjustRightInd w:val="0"/>
        <w:snapToGrid w:val="0"/>
        <w:spacing w:line="620" w:lineRule="exact"/>
        <w:ind w:firstLine="640" w:firstLineChars="200"/>
        <w:rPr>
          <w:rFonts w:ascii="仿宋" w:hAnsi="仿宋" w:eastAsia="仿宋"/>
          <w:sz w:val="32"/>
          <w:szCs w:val="32"/>
        </w:rPr>
      </w:pPr>
    </w:p>
    <w:p>
      <w:pPr>
        <w:adjustRightInd w:val="0"/>
        <w:snapToGrid w:val="0"/>
        <w:spacing w:line="620" w:lineRule="exact"/>
        <w:ind w:firstLine="640" w:firstLineChars="200"/>
        <w:rPr>
          <w:rFonts w:ascii="仿宋" w:hAnsi="仿宋" w:eastAsia="仿宋"/>
          <w:sz w:val="32"/>
          <w:szCs w:val="32"/>
        </w:rPr>
      </w:pPr>
    </w:p>
    <w:p>
      <w:pPr>
        <w:adjustRightInd w:val="0"/>
        <w:snapToGrid w:val="0"/>
        <w:spacing w:line="620" w:lineRule="exact"/>
        <w:ind w:firstLine="640" w:firstLineChars="200"/>
        <w:rPr>
          <w:rFonts w:ascii="仿宋" w:hAnsi="仿宋" w:eastAsia="仿宋"/>
          <w:sz w:val="32"/>
          <w:szCs w:val="32"/>
        </w:rPr>
      </w:pPr>
    </w:p>
    <w:p/>
    <w:p/>
    <w:p/>
    <w:p/>
    <w:p/>
    <w:p/>
    <w:p/>
    <w:p/>
    <w:p/>
    <w:p/>
    <w:p/>
    <w:p/>
    <w:p/>
    <w:p/>
    <w:p/>
    <w:p/>
    <w:p/>
    <w:p/>
    <w:p/>
    <w:p/>
    <w:p/>
    <w:p/>
    <w:p/>
    <w:p/>
    <w:p/>
    <w:p/>
    <w:p/>
    <w:p/>
    <w:p/>
    <w:p/>
    <w:p/>
    <w:p/>
    <w:p/>
    <w:p/>
    <w:tbl>
      <w:tblPr>
        <w:tblW w:w="9100" w:type="dxa"/>
        <w:tblInd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364"/>
        <w:gridCol w:w="1274"/>
        <w:gridCol w:w="1"/>
        <w:gridCol w:w="849"/>
        <w:gridCol w:w="1206"/>
        <w:gridCol w:w="1"/>
        <w:gridCol w:w="1070"/>
        <w:gridCol w:w="1121"/>
        <w:gridCol w:w="1"/>
        <w:gridCol w:w="1002"/>
        <w:gridCol w:w="1211"/>
      </w:tblGrid>
      <w:tr>
        <w:trPr>
          <w:trHeight w:val="270" w:hRule="atLeast"/>
        </w:trPr>
        <w:tc>
          <w:tcPr>
            <w:tcW w:w="1364"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附件1</w:t>
            </w:r>
          </w:p>
        </w:tc>
        <w:tc>
          <w:tcPr>
            <w:tcW w:w="1274"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850" w:type="dxa"/>
            <w:gridSpan w:val="2"/>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1206"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1071" w:type="dxa"/>
            <w:gridSpan w:val="2"/>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1122" w:type="dxa"/>
            <w:gridSpan w:val="2"/>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1002"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1211"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r>
      <w:tr>
        <w:trPr>
          <w:trHeight w:val="270" w:hRule="atLeast"/>
        </w:trPr>
        <w:tc>
          <w:tcPr>
            <w:tcW w:w="9100" w:type="dxa"/>
            <w:gridSpan w:val="11"/>
            <w:vMerge w:val="restart"/>
            <w:tcMar>
              <w:top w:w="15" w:type="dxa"/>
              <w:left w:w="15" w:type="dxa"/>
              <w:right w:w="15" w:type="dxa"/>
            </w:tcMar>
            <w:vAlign w:val="center"/>
          </w:tcPr>
          <w:p>
            <w:pPr>
              <w:autoSpaceDN w:val="0"/>
              <w:jc w:val="center"/>
              <w:textAlignment w:val="center"/>
              <w:rPr>
                <w:rFonts w:hint="default" w:ascii="宋体" w:hAnsi="宋体" w:eastAsia="宋体"/>
                <w:b/>
                <w:i w:val="0"/>
                <w:color w:val="000000"/>
                <w:sz w:val="36"/>
                <w:u w:val="none"/>
                <w:lang w:eastAsia="zh-CN"/>
              </w:rPr>
            </w:pPr>
            <w:r>
              <w:rPr>
                <w:rFonts w:hint="default" w:ascii="宋体" w:hAnsi="宋体" w:eastAsia="宋体"/>
                <w:b/>
                <w:i w:val="0"/>
                <w:color w:val="000000"/>
                <w:sz w:val="36"/>
                <w:u w:val="none"/>
                <w:lang w:eastAsia="zh-CN"/>
              </w:rPr>
              <w:t>区级部门预算项目绩效自评表</w:t>
            </w:r>
          </w:p>
        </w:tc>
      </w:tr>
      <w:tr>
        <w:trPr>
          <w:trHeight w:val="270" w:hRule="atLeast"/>
        </w:trPr>
        <w:tc>
          <w:tcPr>
            <w:tcW w:w="9100" w:type="dxa"/>
            <w:gridSpan w:val="11"/>
            <w:vMerge w:val="continue"/>
            <w:tcMar>
              <w:top w:w="15" w:type="dxa"/>
              <w:left w:w="15" w:type="dxa"/>
              <w:right w:w="15" w:type="dxa"/>
            </w:tcMar>
            <w:vAlign w:val="center"/>
          </w:tcPr>
          <w:p>
            <w:pPr>
              <w:autoSpaceDN w:val="0"/>
              <w:textAlignment w:val="auto"/>
              <w:rPr>
                <w:rFonts w:hint="default" w:ascii="宋体" w:hAnsi="宋体"/>
                <w:sz w:val="24"/>
              </w:rPr>
            </w:pPr>
          </w:p>
        </w:tc>
      </w:tr>
      <w:tr>
        <w:trPr>
          <w:trHeight w:val="300" w:hRule="atLeast"/>
        </w:trPr>
        <w:tc>
          <w:tcPr>
            <w:tcW w:w="9100" w:type="dxa"/>
            <w:gridSpan w:val="11"/>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（2019年度）</w:t>
            </w:r>
          </w:p>
        </w:tc>
      </w:tr>
      <w:tr>
        <w:trPr>
          <w:trHeight w:val="270" w:hRule="atLeast"/>
        </w:trPr>
        <w:tc>
          <w:tcPr>
            <w:tcW w:w="1364"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填报单位：</w:t>
            </w:r>
          </w:p>
        </w:tc>
        <w:tc>
          <w:tcPr>
            <w:tcW w:w="1274"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850" w:type="dxa"/>
            <w:gridSpan w:val="2"/>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1206"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1071" w:type="dxa"/>
            <w:gridSpan w:val="2"/>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1122" w:type="dxa"/>
            <w:gridSpan w:val="2"/>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2213" w:type="dxa"/>
            <w:gridSpan w:val="2"/>
            <w:tcBorders>
              <w:bottom w:val="single" w:color="000000" w:sz="4" w:space="0"/>
            </w:tcBorders>
            <w:tcMar>
              <w:top w:w="15" w:type="dxa"/>
              <w:left w:w="15" w:type="dxa"/>
              <w:right w:w="15" w:type="dxa"/>
            </w:tcMar>
            <w:vAlign w:val="center"/>
          </w:tcPr>
          <w:p>
            <w:pPr>
              <w:autoSpaceDN w:val="0"/>
              <w:jc w:val="righ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单位金额：万元</w:t>
            </w:r>
          </w:p>
        </w:tc>
      </w:tr>
      <w:tr>
        <w:trPr>
          <w:trHeight w:val="555" w:hRule="atLeast"/>
        </w:trPr>
        <w:tc>
          <w:tcPr>
            <w:tcW w:w="136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一、基本情况</w:t>
            </w:r>
          </w:p>
        </w:tc>
        <w:tc>
          <w:tcPr>
            <w:tcW w:w="1274" w:type="dxa"/>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项目名称</w:t>
            </w:r>
          </w:p>
        </w:tc>
        <w:tc>
          <w:tcPr>
            <w:tcW w:w="2056"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离休、建国前老工人、1-6级伤残军人医疗费</w:t>
            </w:r>
          </w:p>
        </w:tc>
        <w:tc>
          <w:tcPr>
            <w:tcW w:w="1071" w:type="dxa"/>
            <w:gridSpan w:val="2"/>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实施（主管单位）</w:t>
            </w:r>
          </w:p>
        </w:tc>
        <w:tc>
          <w:tcPr>
            <w:tcW w:w="3335" w:type="dxa"/>
            <w:gridSpan w:val="4"/>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藁城区医疗保障局</w:t>
            </w:r>
          </w:p>
        </w:tc>
      </w:tr>
      <w:tr>
        <w:trPr>
          <w:trHeight w:val="270" w:hRule="atLeast"/>
        </w:trPr>
        <w:tc>
          <w:tcPr>
            <w:tcW w:w="1364"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二、预算执行</w:t>
            </w:r>
            <w:r>
              <w:rPr>
                <w:rFonts w:hint="default" w:ascii="宋体" w:hAnsi="宋体" w:eastAsia="宋体"/>
                <w:b w:val="0"/>
                <w:i w:val="0"/>
                <w:color w:val="000000"/>
                <w:sz w:val="22"/>
                <w:u w:val="none"/>
                <w:lang w:eastAsia="zh-CN"/>
              </w:rPr>
              <w:br/>
            </w:r>
            <w:r>
              <w:rPr>
                <w:rFonts w:hint="default" w:ascii="宋体" w:hAnsi="宋体" w:eastAsia="宋体"/>
                <w:b w:val="0"/>
                <w:i w:val="0"/>
                <w:color w:val="000000"/>
                <w:sz w:val="22"/>
                <w:u w:val="none"/>
                <w:lang w:eastAsia="zh-CN"/>
              </w:rPr>
              <w:t>情况</w:t>
            </w:r>
          </w:p>
        </w:tc>
        <w:tc>
          <w:tcPr>
            <w:tcW w:w="2124"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预算安排情况（调整后）</w:t>
            </w:r>
          </w:p>
        </w:tc>
        <w:tc>
          <w:tcPr>
            <w:tcW w:w="2277"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资金到位情况</w:t>
            </w:r>
          </w:p>
        </w:tc>
        <w:tc>
          <w:tcPr>
            <w:tcW w:w="2124"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资金执行情况</w:t>
            </w:r>
          </w:p>
        </w:tc>
        <w:tc>
          <w:tcPr>
            <w:tcW w:w="1211"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预算执行进度</w:t>
            </w:r>
          </w:p>
        </w:tc>
      </w:tr>
      <w:tr>
        <w:trPr>
          <w:trHeight w:val="270" w:hRule="atLeast"/>
        </w:trPr>
        <w:tc>
          <w:tcPr>
            <w:tcW w:w="1364"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1275"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预算数：</w:t>
            </w:r>
          </w:p>
        </w:tc>
        <w:tc>
          <w:tcPr>
            <w:tcW w:w="849"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910</w:t>
            </w:r>
          </w:p>
        </w:tc>
        <w:tc>
          <w:tcPr>
            <w:tcW w:w="1206"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到位数：</w:t>
            </w:r>
          </w:p>
        </w:tc>
        <w:tc>
          <w:tcPr>
            <w:tcW w:w="1071"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910</w:t>
            </w:r>
          </w:p>
        </w:tc>
        <w:tc>
          <w:tcPr>
            <w:tcW w:w="1122"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执行数：</w:t>
            </w:r>
          </w:p>
        </w:tc>
        <w:tc>
          <w:tcPr>
            <w:tcW w:w="1002"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909.97</w:t>
            </w:r>
          </w:p>
        </w:tc>
        <w:tc>
          <w:tcPr>
            <w:tcW w:w="1211"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r>
      <w:tr>
        <w:trPr>
          <w:trHeight w:val="540" w:hRule="atLeast"/>
        </w:trPr>
        <w:tc>
          <w:tcPr>
            <w:tcW w:w="1364"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1275"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其中：财政</w:t>
            </w:r>
            <w:r>
              <w:rPr>
                <w:rFonts w:hint="default" w:ascii="宋体" w:hAnsi="宋体" w:eastAsia="宋体"/>
                <w:b w:val="0"/>
                <w:i w:val="0"/>
                <w:color w:val="000000"/>
                <w:sz w:val="22"/>
                <w:u w:val="none"/>
                <w:lang w:eastAsia="zh-CN"/>
              </w:rPr>
              <w:br/>
            </w:r>
            <w:r>
              <w:rPr>
                <w:rFonts w:hint="default" w:ascii="宋体" w:hAnsi="宋体" w:eastAsia="宋体"/>
                <w:b w:val="0"/>
                <w:i w:val="0"/>
                <w:color w:val="000000"/>
                <w:sz w:val="22"/>
                <w:u w:val="none"/>
                <w:lang w:eastAsia="zh-CN"/>
              </w:rPr>
              <w:t xml:space="preserve">     资金</w:t>
            </w:r>
          </w:p>
        </w:tc>
        <w:tc>
          <w:tcPr>
            <w:tcW w:w="849"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910</w:t>
            </w:r>
          </w:p>
        </w:tc>
        <w:tc>
          <w:tcPr>
            <w:tcW w:w="1206"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其中：财政</w:t>
            </w:r>
            <w:r>
              <w:rPr>
                <w:rFonts w:hint="default" w:ascii="宋体" w:hAnsi="宋体" w:eastAsia="宋体"/>
                <w:b w:val="0"/>
                <w:i w:val="0"/>
                <w:color w:val="000000"/>
                <w:sz w:val="22"/>
                <w:u w:val="none"/>
                <w:lang w:eastAsia="zh-CN"/>
              </w:rPr>
              <w:br/>
            </w:r>
            <w:r>
              <w:rPr>
                <w:rFonts w:hint="default" w:ascii="宋体" w:hAnsi="宋体" w:eastAsia="宋体"/>
                <w:b w:val="0"/>
                <w:i w:val="0"/>
                <w:color w:val="000000"/>
                <w:sz w:val="22"/>
                <w:u w:val="none"/>
                <w:lang w:eastAsia="zh-CN"/>
              </w:rPr>
              <w:t xml:space="preserve">     资金</w:t>
            </w:r>
          </w:p>
        </w:tc>
        <w:tc>
          <w:tcPr>
            <w:tcW w:w="1071"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910</w:t>
            </w:r>
          </w:p>
        </w:tc>
        <w:tc>
          <w:tcPr>
            <w:tcW w:w="1122"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其中：财政</w:t>
            </w:r>
            <w:r>
              <w:rPr>
                <w:rFonts w:hint="default" w:ascii="宋体" w:hAnsi="宋体" w:eastAsia="宋体"/>
                <w:b w:val="0"/>
                <w:i w:val="0"/>
                <w:color w:val="000000"/>
                <w:sz w:val="22"/>
                <w:u w:val="none"/>
                <w:lang w:eastAsia="zh-CN"/>
              </w:rPr>
              <w:br/>
            </w:r>
            <w:r>
              <w:rPr>
                <w:rFonts w:hint="default" w:ascii="宋体" w:hAnsi="宋体" w:eastAsia="宋体"/>
                <w:b w:val="0"/>
                <w:i w:val="0"/>
                <w:color w:val="000000"/>
                <w:sz w:val="22"/>
                <w:u w:val="none"/>
                <w:lang w:eastAsia="zh-CN"/>
              </w:rPr>
              <w:t xml:space="preserve">     资金</w:t>
            </w:r>
          </w:p>
        </w:tc>
        <w:tc>
          <w:tcPr>
            <w:tcW w:w="1002"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909.97</w:t>
            </w:r>
          </w:p>
        </w:tc>
        <w:tc>
          <w:tcPr>
            <w:tcW w:w="1211"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r>
      <w:tr>
        <w:trPr>
          <w:trHeight w:val="270" w:hRule="atLeast"/>
        </w:trPr>
        <w:tc>
          <w:tcPr>
            <w:tcW w:w="1364"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1275"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xml:space="preserve">     其他</w:t>
            </w:r>
          </w:p>
        </w:tc>
        <w:tc>
          <w:tcPr>
            <w:tcW w:w="849"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w:t>
            </w:r>
          </w:p>
        </w:tc>
        <w:tc>
          <w:tcPr>
            <w:tcW w:w="1206"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xml:space="preserve">     其他</w:t>
            </w:r>
          </w:p>
        </w:tc>
        <w:tc>
          <w:tcPr>
            <w:tcW w:w="1071"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w:t>
            </w:r>
          </w:p>
        </w:tc>
        <w:tc>
          <w:tcPr>
            <w:tcW w:w="1122"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xml:space="preserve">     其他</w:t>
            </w:r>
          </w:p>
        </w:tc>
        <w:tc>
          <w:tcPr>
            <w:tcW w:w="1002"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w:t>
            </w:r>
          </w:p>
        </w:tc>
        <w:tc>
          <w:tcPr>
            <w:tcW w:w="1211"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r>
      <w:tr>
        <w:trPr>
          <w:trHeight w:val="270" w:hRule="atLeast"/>
        </w:trPr>
        <w:tc>
          <w:tcPr>
            <w:tcW w:w="1364"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三、目标完成</w:t>
            </w:r>
            <w:r>
              <w:rPr>
                <w:rFonts w:hint="default" w:ascii="宋体" w:hAnsi="宋体" w:eastAsia="宋体"/>
                <w:b w:val="0"/>
                <w:i w:val="0"/>
                <w:color w:val="000000"/>
                <w:sz w:val="22"/>
                <w:u w:val="none"/>
                <w:lang w:eastAsia="zh-CN"/>
              </w:rPr>
              <w:br/>
            </w:r>
            <w:r>
              <w:rPr>
                <w:rFonts w:hint="default" w:ascii="宋体" w:hAnsi="宋体" w:eastAsia="宋体"/>
                <w:b w:val="0"/>
                <w:i w:val="0"/>
                <w:color w:val="000000"/>
                <w:sz w:val="22"/>
                <w:u w:val="none"/>
                <w:lang w:eastAsia="zh-CN"/>
              </w:rPr>
              <w:t>情况</w:t>
            </w:r>
          </w:p>
        </w:tc>
        <w:tc>
          <w:tcPr>
            <w:tcW w:w="3330" w:type="dxa"/>
            <w:gridSpan w:val="4"/>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年度预算目标</w:t>
            </w:r>
          </w:p>
        </w:tc>
        <w:tc>
          <w:tcPr>
            <w:tcW w:w="3195" w:type="dxa"/>
            <w:gridSpan w:val="5"/>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具体完成情况</w:t>
            </w:r>
          </w:p>
        </w:tc>
        <w:tc>
          <w:tcPr>
            <w:tcW w:w="1211"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总体完成率</w:t>
            </w:r>
          </w:p>
        </w:tc>
      </w:tr>
      <w:tr>
        <w:trPr>
          <w:trHeight w:val="435" w:hRule="atLeast"/>
        </w:trPr>
        <w:tc>
          <w:tcPr>
            <w:tcW w:w="1364"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3330" w:type="dxa"/>
            <w:gridSpan w:val="4"/>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按时足额发放</w:t>
            </w:r>
          </w:p>
        </w:tc>
        <w:tc>
          <w:tcPr>
            <w:tcW w:w="3195" w:type="dxa"/>
            <w:gridSpan w:val="5"/>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已全部足额发放完毕</w:t>
            </w:r>
          </w:p>
        </w:tc>
        <w:tc>
          <w:tcPr>
            <w:tcW w:w="1211"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r>
      <w:tr>
        <w:trPr>
          <w:trHeight w:val="615" w:hRule="atLeast"/>
        </w:trPr>
        <w:tc>
          <w:tcPr>
            <w:tcW w:w="1364" w:type="dxa"/>
            <w:tcBorders>
              <w:left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四、年度绩效指标完成情况</w:t>
            </w:r>
          </w:p>
        </w:tc>
        <w:tc>
          <w:tcPr>
            <w:tcW w:w="1275" w:type="dxa"/>
            <w:gridSpan w:val="2"/>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一级指标</w:t>
            </w:r>
          </w:p>
        </w:tc>
        <w:tc>
          <w:tcPr>
            <w:tcW w:w="849"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二级指标</w:t>
            </w:r>
          </w:p>
        </w:tc>
        <w:tc>
          <w:tcPr>
            <w:tcW w:w="1206"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三级指标</w:t>
            </w:r>
          </w:p>
        </w:tc>
        <w:tc>
          <w:tcPr>
            <w:tcW w:w="1071" w:type="dxa"/>
            <w:gridSpan w:val="2"/>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w:t>
            </w:r>
          </w:p>
        </w:tc>
        <w:tc>
          <w:tcPr>
            <w:tcW w:w="1121"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预期指标值</w:t>
            </w:r>
          </w:p>
        </w:tc>
        <w:tc>
          <w:tcPr>
            <w:tcW w:w="1003" w:type="dxa"/>
            <w:gridSpan w:val="2"/>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实际完成值</w:t>
            </w:r>
          </w:p>
        </w:tc>
        <w:tc>
          <w:tcPr>
            <w:tcW w:w="1211"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自评得分</w:t>
            </w:r>
          </w:p>
        </w:tc>
      </w:tr>
      <w:tr>
        <w:trPr>
          <w:trHeight w:val="1095" w:hRule="atLeast"/>
        </w:trPr>
        <w:tc>
          <w:tcPr>
            <w:tcW w:w="1364" w:type="dxa"/>
            <w:tcBorders>
              <w:left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w:t>
            </w:r>
          </w:p>
        </w:tc>
        <w:tc>
          <w:tcPr>
            <w:tcW w:w="1275" w:type="dxa"/>
            <w:gridSpan w:val="2"/>
            <w:vMerge w:val="restart"/>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产出指标</w:t>
            </w:r>
            <w:r>
              <w:rPr>
                <w:rFonts w:hint="default" w:ascii="宋体" w:hAnsi="宋体" w:eastAsia="宋体"/>
                <w:b w:val="0"/>
                <w:i w:val="0"/>
                <w:color w:val="000000"/>
                <w:sz w:val="22"/>
                <w:u w:val="none"/>
                <w:lang w:eastAsia="zh-CN"/>
              </w:rPr>
              <w:br/>
            </w:r>
            <w:r>
              <w:rPr>
                <w:rFonts w:hint="default" w:ascii="宋体" w:hAnsi="宋体" w:eastAsia="宋体"/>
                <w:b w:val="0"/>
                <w:i w:val="0"/>
                <w:color w:val="000000"/>
                <w:sz w:val="22"/>
                <w:u w:val="none"/>
                <w:lang w:eastAsia="zh-CN"/>
              </w:rPr>
              <w:t>（40分）</w:t>
            </w:r>
          </w:p>
        </w:tc>
        <w:tc>
          <w:tcPr>
            <w:tcW w:w="849"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数量指标</w:t>
            </w:r>
          </w:p>
        </w:tc>
        <w:tc>
          <w:tcPr>
            <w:tcW w:w="2277"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离休、1-6级伤残军人、省劳模、建国前老工人、军人所享受实报实销人员人数</w:t>
            </w:r>
          </w:p>
        </w:tc>
        <w:tc>
          <w:tcPr>
            <w:tcW w:w="1121" w:type="dxa"/>
            <w:tcBorders>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221</w:t>
            </w:r>
          </w:p>
        </w:tc>
        <w:tc>
          <w:tcPr>
            <w:tcW w:w="1003" w:type="dxa"/>
            <w:gridSpan w:val="2"/>
            <w:tcBorders>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221</w:t>
            </w:r>
          </w:p>
        </w:tc>
        <w:tc>
          <w:tcPr>
            <w:tcW w:w="1211" w:type="dxa"/>
            <w:tcBorders>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trPr>
          <w:trHeight w:val="795" w:hRule="atLeast"/>
        </w:trPr>
        <w:tc>
          <w:tcPr>
            <w:tcW w:w="1364" w:type="dxa"/>
            <w:tcBorders>
              <w:left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w:t>
            </w:r>
          </w:p>
        </w:tc>
        <w:tc>
          <w:tcPr>
            <w:tcW w:w="1275" w:type="dxa"/>
            <w:gridSpan w:val="2"/>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849"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2277"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已参保的医疗保障待遇到位率</w:t>
            </w:r>
          </w:p>
        </w:tc>
        <w:tc>
          <w:tcPr>
            <w:tcW w:w="1121" w:type="dxa"/>
            <w:tcBorders>
              <w:top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003" w:type="dxa"/>
            <w:gridSpan w:val="2"/>
            <w:tcBorders>
              <w:top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211" w:type="dxa"/>
            <w:tcBorders>
              <w:top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trPr>
          <w:trHeight w:val="795" w:hRule="atLeast"/>
        </w:trPr>
        <w:tc>
          <w:tcPr>
            <w:tcW w:w="1364" w:type="dxa"/>
            <w:tcBorders>
              <w:left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w:t>
            </w:r>
          </w:p>
        </w:tc>
        <w:tc>
          <w:tcPr>
            <w:tcW w:w="1275" w:type="dxa"/>
            <w:gridSpan w:val="2"/>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849"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质量指标</w:t>
            </w:r>
          </w:p>
        </w:tc>
        <w:tc>
          <w:tcPr>
            <w:tcW w:w="2277"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医疗保险基金监管覆盖率</w:t>
            </w:r>
          </w:p>
        </w:tc>
        <w:tc>
          <w:tcPr>
            <w:tcW w:w="1121" w:type="dxa"/>
            <w:tcBorders>
              <w:top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003" w:type="dxa"/>
            <w:gridSpan w:val="2"/>
            <w:tcBorders>
              <w:top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211" w:type="dxa"/>
            <w:tcBorders>
              <w:top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trPr>
          <w:trHeight w:val="645" w:hRule="atLeast"/>
        </w:trPr>
        <w:tc>
          <w:tcPr>
            <w:tcW w:w="1364" w:type="dxa"/>
            <w:tcBorders>
              <w:left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w:t>
            </w:r>
          </w:p>
        </w:tc>
        <w:tc>
          <w:tcPr>
            <w:tcW w:w="1275" w:type="dxa"/>
            <w:gridSpan w:val="2"/>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849"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时效指标</w:t>
            </w:r>
          </w:p>
        </w:tc>
        <w:tc>
          <w:tcPr>
            <w:tcW w:w="2277"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医疗保障报销及时率</w:t>
            </w:r>
          </w:p>
        </w:tc>
        <w:tc>
          <w:tcPr>
            <w:tcW w:w="1121" w:type="dxa"/>
            <w:tcBorders>
              <w:top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003" w:type="dxa"/>
            <w:gridSpan w:val="2"/>
            <w:tcBorders>
              <w:top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211" w:type="dxa"/>
            <w:tcBorders>
              <w:top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trPr>
          <w:trHeight w:val="540" w:hRule="atLeast"/>
        </w:trPr>
        <w:tc>
          <w:tcPr>
            <w:tcW w:w="1364" w:type="dxa"/>
            <w:tcBorders>
              <w:left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w:t>
            </w:r>
          </w:p>
        </w:tc>
        <w:tc>
          <w:tcPr>
            <w:tcW w:w="1275" w:type="dxa"/>
            <w:gridSpan w:val="2"/>
            <w:vMerge w:val="restart"/>
            <w:tcBorders>
              <w:left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效益指标</w:t>
            </w:r>
            <w:r>
              <w:rPr>
                <w:rFonts w:hint="default" w:ascii="宋体" w:hAnsi="宋体" w:eastAsia="宋体"/>
                <w:b w:val="0"/>
                <w:i w:val="0"/>
                <w:color w:val="000000"/>
                <w:sz w:val="22"/>
                <w:u w:val="none"/>
                <w:lang w:eastAsia="zh-CN"/>
              </w:rPr>
              <w:br/>
            </w:r>
            <w:r>
              <w:rPr>
                <w:rFonts w:hint="default" w:ascii="宋体" w:hAnsi="宋体" w:eastAsia="宋体"/>
                <w:b w:val="0"/>
                <w:i w:val="0"/>
                <w:color w:val="000000"/>
                <w:sz w:val="22"/>
                <w:u w:val="none"/>
                <w:lang w:eastAsia="zh-CN"/>
              </w:rPr>
              <w:t>（30分）</w:t>
            </w:r>
          </w:p>
        </w:tc>
        <w:tc>
          <w:tcPr>
            <w:tcW w:w="849" w:type="dxa"/>
            <w:tcBorders>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经济效益</w:t>
            </w:r>
            <w:r>
              <w:rPr>
                <w:rFonts w:hint="default" w:ascii="宋体" w:hAnsi="宋体" w:eastAsia="宋体"/>
                <w:b w:val="0"/>
                <w:i w:val="0"/>
                <w:color w:val="000000"/>
                <w:sz w:val="22"/>
                <w:u w:val="none"/>
                <w:lang w:eastAsia="zh-CN"/>
              </w:rPr>
              <w:br/>
            </w:r>
            <w:r>
              <w:rPr>
                <w:rFonts w:hint="default" w:ascii="宋体" w:hAnsi="宋体" w:eastAsia="宋体"/>
                <w:b w:val="0"/>
                <w:i w:val="0"/>
                <w:color w:val="000000"/>
                <w:sz w:val="22"/>
                <w:u w:val="none"/>
                <w:lang w:eastAsia="zh-CN"/>
              </w:rPr>
              <w:t>指标</w:t>
            </w:r>
          </w:p>
        </w:tc>
        <w:tc>
          <w:tcPr>
            <w:tcW w:w="2277"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资金发放到位率</w:t>
            </w:r>
          </w:p>
        </w:tc>
        <w:tc>
          <w:tcPr>
            <w:tcW w:w="1121" w:type="dxa"/>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003" w:type="dxa"/>
            <w:gridSpan w:val="2"/>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211" w:type="dxa"/>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trPr>
          <w:trHeight w:val="540" w:hRule="atLeast"/>
        </w:trPr>
        <w:tc>
          <w:tcPr>
            <w:tcW w:w="1364" w:type="dxa"/>
            <w:tcBorders>
              <w:left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w:t>
            </w:r>
          </w:p>
        </w:tc>
        <w:tc>
          <w:tcPr>
            <w:tcW w:w="1275" w:type="dxa"/>
            <w:gridSpan w:val="2"/>
            <w:vMerge w:val="continue"/>
            <w:tcBorders>
              <w:left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849"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社会效益</w:t>
            </w:r>
            <w:r>
              <w:rPr>
                <w:rFonts w:hint="default" w:ascii="宋体" w:hAnsi="宋体" w:eastAsia="宋体"/>
                <w:b w:val="0"/>
                <w:i w:val="0"/>
                <w:color w:val="000000"/>
                <w:sz w:val="22"/>
                <w:u w:val="none"/>
                <w:lang w:eastAsia="zh-CN"/>
              </w:rPr>
              <w:br/>
            </w:r>
            <w:r>
              <w:rPr>
                <w:rFonts w:hint="default" w:ascii="宋体" w:hAnsi="宋体" w:eastAsia="宋体"/>
                <w:b w:val="0"/>
                <w:i w:val="0"/>
                <w:color w:val="000000"/>
                <w:sz w:val="22"/>
                <w:u w:val="none"/>
                <w:lang w:eastAsia="zh-CN"/>
              </w:rPr>
              <w:t>指标</w:t>
            </w:r>
          </w:p>
        </w:tc>
        <w:tc>
          <w:tcPr>
            <w:tcW w:w="2277"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医疗补助发放精确度</w:t>
            </w:r>
          </w:p>
        </w:tc>
        <w:tc>
          <w:tcPr>
            <w:tcW w:w="1121"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003" w:type="dxa"/>
            <w:gridSpan w:val="2"/>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211"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trPr>
          <w:trHeight w:val="600" w:hRule="atLeast"/>
        </w:trPr>
        <w:tc>
          <w:tcPr>
            <w:tcW w:w="1364" w:type="dxa"/>
            <w:tcBorders>
              <w:left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w:t>
            </w:r>
          </w:p>
        </w:tc>
        <w:tc>
          <w:tcPr>
            <w:tcW w:w="1275" w:type="dxa"/>
            <w:gridSpan w:val="2"/>
            <w:vMerge w:val="continue"/>
            <w:tcBorders>
              <w:left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849"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sz w:val="24"/>
              </w:rPr>
            </w:pPr>
          </w:p>
        </w:tc>
        <w:tc>
          <w:tcPr>
            <w:tcW w:w="2277"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提高医疗保险保障水平</w:t>
            </w:r>
          </w:p>
        </w:tc>
        <w:tc>
          <w:tcPr>
            <w:tcW w:w="1121"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003" w:type="dxa"/>
            <w:gridSpan w:val="2"/>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211"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trPr>
          <w:trHeight w:val="600" w:hRule="atLeast"/>
        </w:trPr>
        <w:tc>
          <w:tcPr>
            <w:tcW w:w="1364" w:type="dxa"/>
            <w:tcBorders>
              <w:left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w:t>
            </w:r>
          </w:p>
        </w:tc>
        <w:tc>
          <w:tcPr>
            <w:tcW w:w="1275" w:type="dxa"/>
            <w:gridSpan w:val="2"/>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预算执行率指标（10分）</w:t>
            </w:r>
          </w:p>
        </w:tc>
        <w:tc>
          <w:tcPr>
            <w:tcW w:w="849"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预算</w:t>
            </w:r>
            <w:r>
              <w:rPr>
                <w:rFonts w:hint="default" w:ascii="宋体" w:hAnsi="宋体" w:eastAsia="宋体"/>
                <w:b w:val="0"/>
                <w:i w:val="0"/>
                <w:color w:val="000000"/>
                <w:sz w:val="22"/>
                <w:u w:val="none"/>
                <w:lang w:eastAsia="zh-CN"/>
              </w:rPr>
              <w:br/>
            </w:r>
            <w:r>
              <w:rPr>
                <w:rFonts w:hint="default" w:ascii="宋体" w:hAnsi="宋体" w:eastAsia="宋体"/>
                <w:b w:val="0"/>
                <w:i w:val="0"/>
                <w:color w:val="000000"/>
                <w:sz w:val="22"/>
                <w:u w:val="none"/>
                <w:lang w:eastAsia="zh-CN"/>
              </w:rPr>
              <w:t>执行率</w:t>
            </w:r>
          </w:p>
        </w:tc>
        <w:tc>
          <w:tcPr>
            <w:tcW w:w="2277"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预算执行进度</w:t>
            </w:r>
          </w:p>
        </w:tc>
        <w:tc>
          <w:tcPr>
            <w:tcW w:w="1121"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003" w:type="dxa"/>
            <w:gridSpan w:val="2"/>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211"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trPr>
          <w:trHeight w:val="675" w:hRule="atLeast"/>
        </w:trPr>
        <w:tc>
          <w:tcPr>
            <w:tcW w:w="1364" w:type="dxa"/>
            <w:tcBorders>
              <w:left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w:t>
            </w:r>
          </w:p>
        </w:tc>
        <w:tc>
          <w:tcPr>
            <w:tcW w:w="1275" w:type="dxa"/>
            <w:gridSpan w:val="2"/>
            <w:vMerge w:val="restart"/>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满意度指标</w:t>
            </w:r>
            <w:r>
              <w:rPr>
                <w:rFonts w:hint="default" w:ascii="宋体" w:hAnsi="宋体" w:eastAsia="宋体"/>
                <w:b w:val="0"/>
                <w:i w:val="0"/>
                <w:color w:val="000000"/>
                <w:sz w:val="22"/>
                <w:u w:val="none"/>
                <w:lang w:eastAsia="zh-CN"/>
              </w:rPr>
              <w:br/>
            </w:r>
            <w:r>
              <w:rPr>
                <w:rFonts w:hint="default" w:ascii="宋体" w:hAnsi="宋体" w:eastAsia="宋体"/>
                <w:b w:val="0"/>
                <w:i w:val="0"/>
                <w:color w:val="000000"/>
                <w:sz w:val="22"/>
                <w:u w:val="none"/>
                <w:lang w:eastAsia="zh-CN"/>
              </w:rPr>
              <w:t>（20分）</w:t>
            </w:r>
          </w:p>
        </w:tc>
        <w:tc>
          <w:tcPr>
            <w:tcW w:w="849"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满意度</w:t>
            </w:r>
            <w:r>
              <w:rPr>
                <w:rFonts w:hint="default" w:ascii="宋体" w:hAnsi="宋体" w:eastAsia="宋体"/>
                <w:b w:val="0"/>
                <w:i w:val="0"/>
                <w:color w:val="000000"/>
                <w:sz w:val="22"/>
                <w:u w:val="none"/>
                <w:lang w:eastAsia="zh-CN"/>
              </w:rPr>
              <w:br/>
            </w:r>
            <w:r>
              <w:rPr>
                <w:rFonts w:hint="default" w:ascii="宋体" w:hAnsi="宋体" w:eastAsia="宋体"/>
                <w:b w:val="0"/>
                <w:i w:val="0"/>
                <w:color w:val="000000"/>
                <w:sz w:val="22"/>
                <w:u w:val="none"/>
                <w:lang w:eastAsia="zh-CN"/>
              </w:rPr>
              <w:t>指标</w:t>
            </w:r>
          </w:p>
        </w:tc>
        <w:tc>
          <w:tcPr>
            <w:tcW w:w="1207"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享受待遇人员满意度</w:t>
            </w:r>
          </w:p>
        </w:tc>
        <w:tc>
          <w:tcPr>
            <w:tcW w:w="1070"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w:t>
            </w:r>
          </w:p>
        </w:tc>
        <w:tc>
          <w:tcPr>
            <w:tcW w:w="1121"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003" w:type="dxa"/>
            <w:gridSpan w:val="2"/>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211"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trPr>
          <w:trHeight w:val="675" w:hRule="atLeast"/>
        </w:trPr>
        <w:tc>
          <w:tcPr>
            <w:tcW w:w="1364" w:type="dxa"/>
            <w:tcBorders>
              <w:left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w:t>
            </w:r>
          </w:p>
        </w:tc>
        <w:tc>
          <w:tcPr>
            <w:tcW w:w="1275" w:type="dxa"/>
            <w:gridSpan w:val="2"/>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849"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sz w:val="24"/>
              </w:rPr>
            </w:pPr>
          </w:p>
        </w:tc>
        <w:tc>
          <w:tcPr>
            <w:tcW w:w="2277"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确保政策落地生效</w:t>
            </w:r>
          </w:p>
        </w:tc>
        <w:tc>
          <w:tcPr>
            <w:tcW w:w="1121"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003" w:type="dxa"/>
            <w:gridSpan w:val="2"/>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211"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trPr>
          <w:trHeight w:val="270" w:hRule="atLeast"/>
        </w:trPr>
        <w:tc>
          <w:tcPr>
            <w:tcW w:w="1364" w:type="dxa"/>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w:t>
            </w:r>
          </w:p>
        </w:tc>
        <w:tc>
          <w:tcPr>
            <w:tcW w:w="1275" w:type="dxa"/>
            <w:gridSpan w:val="2"/>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总分</w:t>
            </w:r>
          </w:p>
        </w:tc>
        <w:tc>
          <w:tcPr>
            <w:tcW w:w="6461" w:type="dxa"/>
            <w:gridSpan w:val="8"/>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r>
      <w:tr>
        <w:trPr>
          <w:trHeight w:val="1005" w:hRule="atLeast"/>
        </w:trPr>
        <w:tc>
          <w:tcPr>
            <w:tcW w:w="1364" w:type="dxa"/>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五、存在问题、原因及下一步整改措施</w:t>
            </w:r>
          </w:p>
        </w:tc>
        <w:tc>
          <w:tcPr>
            <w:tcW w:w="7736" w:type="dxa"/>
            <w:gridSpan w:val="10"/>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无</w:t>
            </w:r>
          </w:p>
        </w:tc>
      </w:tr>
      <w:tr>
        <w:trPr>
          <w:trHeight w:val="270" w:hRule="atLeast"/>
        </w:trPr>
        <w:tc>
          <w:tcPr>
            <w:tcW w:w="1364"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填报人：</w:t>
            </w:r>
          </w:p>
        </w:tc>
        <w:tc>
          <w:tcPr>
            <w:tcW w:w="1275" w:type="dxa"/>
            <w:gridSpan w:val="2"/>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魏风云</w:t>
            </w:r>
          </w:p>
        </w:tc>
        <w:tc>
          <w:tcPr>
            <w:tcW w:w="849"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1207" w:type="dxa"/>
            <w:gridSpan w:val="2"/>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1070"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联系电话：</w:t>
            </w:r>
          </w:p>
        </w:tc>
        <w:tc>
          <w:tcPr>
            <w:tcW w:w="1122" w:type="dxa"/>
            <w:gridSpan w:val="2"/>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88136610</w:t>
            </w:r>
          </w:p>
        </w:tc>
        <w:tc>
          <w:tcPr>
            <w:tcW w:w="1002"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1211"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r>
    </w:tbl>
    <w:p/>
    <w:sectPr>
      <w:pgSz w:w="11906" w:h="16838"/>
      <w:pgMar w:top="1440" w:right="1418" w:bottom="1440" w:left="1418" w:header="851" w:footer="992" w:gutter="0"/>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Calibri">
    <w:panose1 w:val="020F0502020204030204"/>
    <w:charset w:val="00"/>
    <w:family w:val="auto"/>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jc w:val="both"/>
    </w:pPr>
    <w:rPr>
      <w:rFonts w:ascii="Calibri" w:hAnsi="Calibri" w:eastAsia="宋体" w:cs="黑体"/>
      <w:kern w:val="2"/>
      <w:sz w:val="21"/>
      <w:szCs w:val="22"/>
      <w:lang w:val="en-US" w:eastAsia="zh-CN" w:bidi="ar-SA"/>
    </w:rPr>
  </w:style>
  <w:style w:type="character" w:default="1" w:styleId="4">
    <w:name w:val="Default Paragraph Font"/>
  </w:style>
  <w:style w:type="paragraph" w:styleId="2">
    <w:name w:val="footer"/>
    <w:basedOn w:val="1"/>
    <w:link w:val="3"/>
    <w:pPr>
      <w:tabs>
        <w:tab w:val="center" w:pos="4153"/>
        <w:tab w:val="right" w:pos="8306"/>
      </w:tabs>
      <w:snapToGrid w:val="0"/>
      <w:jc w:val="left"/>
    </w:pPr>
    <w:rPr>
      <w:sz w:val="18"/>
      <w:szCs w:val="18"/>
    </w:rPr>
  </w:style>
  <w:style w:type="character" w:customStyle="1" w:styleId="3">
    <w:name w:val="页脚 Char"/>
    <w:basedOn w:val="4"/>
    <w:link w:val="2"/>
    <w:semiHidden/>
    <w:rPr>
      <w:sz w:val="18"/>
      <w:szCs w:val="18"/>
    </w:rPr>
  </w:style>
  <w:style w:type="paragraph" w:styleId="5">
    <w:name w:val="header"/>
    <w:basedOn w:val="1"/>
    <w:link w:val="6"/>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4"/>
    <w:link w:val="5"/>
    <w:semiHidden/>
    <w:rPr>
      <w:sz w:val="18"/>
      <w:szCs w:val="18"/>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customXml" Target="../customXml/item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6</Pages>
  <Words>403</Words>
  <Characters>2300</Characters>
  <Lines>19</Lines>
  <Paragraphs>5</Paragraphs>
  <TotalTime>0</TotalTime>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2020-07-09T16:15:00Z</dcterms:created>
  <dc:creator>微软用户</dc:creator>
  <dcterms:modified xsi:type="dcterms:W3CDTF">2021-05-20T14:39:00Z</dcterms:modified>
  <dc:title>*</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