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r>
        <w:rPr>
          <w:rFonts w:hint="eastAsia"/>
          <w:lang w:val="en-US" w:eastAsia="zh-CN"/>
        </w:rPr>
        <w:t xml:space="preserve"> </w: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hint="eastAsia" w:ascii="黑体" w:hAnsi="黑体" w:eastAsia="黑体" w:cs="黑体"/>
          <w:sz w:val="56"/>
          <w:szCs w:val="72"/>
          <w:lang w:val="en-US" w:eastAsia="zh-CN"/>
        </w:rPr>
      </w:pPr>
      <w:r>
        <w:rPr>
          <w:rFonts w:hint="eastAsia" w:ascii="黑体" w:hAnsi="黑体" w:eastAsia="黑体" w:cs="黑体"/>
          <w:sz w:val="56"/>
          <w:szCs w:val="72"/>
          <w:lang w:val="en-US" w:eastAsia="zh-CN"/>
        </w:rPr>
        <w:t>石家庄市藁城区文学艺术界联合会</w:t>
      </w:r>
    </w:p>
    <w:p>
      <w:pPr>
        <w:snapToGrid w:val="0"/>
        <w:spacing w:line="480" w:lineRule="auto"/>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560"/>
        <w:rPr>
          <w:rFonts w:ascii="宋体" w:hAnsi="宋体" w:cs="宋体"/>
          <w:sz w:val="32"/>
          <w:szCs w:val="32"/>
        </w:rPr>
      </w:pPr>
      <w:r>
        <w:rPr>
          <w:rFonts w:hint="eastAsia" w:ascii="宋体" w:hAnsi="宋体" w:cs="宋体"/>
          <w:sz w:val="32"/>
          <w:szCs w:val="32"/>
        </w:rPr>
        <w:t>（一）贯彻落实党的文艺“二为”方向和“双百”工作方针，开展各类社会性文艺活动，为我区的改革开放、经济建设和社会发展服务。</w:t>
      </w:r>
    </w:p>
    <w:p>
      <w:pPr>
        <w:ind w:firstLine="560"/>
        <w:rPr>
          <w:rFonts w:ascii="宋体" w:hAnsi="宋体" w:cs="宋体"/>
          <w:sz w:val="32"/>
          <w:szCs w:val="32"/>
        </w:rPr>
      </w:pPr>
      <w:r>
        <w:rPr>
          <w:rFonts w:hint="eastAsia" w:ascii="宋体" w:hAnsi="宋体" w:cs="宋体"/>
          <w:sz w:val="32"/>
          <w:szCs w:val="32"/>
        </w:rPr>
        <w:t>（二）加强与所属各文艺家协会的联系，确保党和政府同文艺界协商渠道的畅通；负责向有关方面反映会员的情况和要求；承担协会需要统筹安排的事宜；负责对所属协会的管理。</w:t>
      </w:r>
    </w:p>
    <w:p>
      <w:pPr>
        <w:ind w:firstLine="560"/>
        <w:rPr>
          <w:rFonts w:ascii="宋体" w:hAnsi="宋体" w:cs="宋体"/>
          <w:sz w:val="32"/>
          <w:szCs w:val="32"/>
        </w:rPr>
      </w:pPr>
      <w:r>
        <w:rPr>
          <w:rFonts w:hint="eastAsia" w:ascii="宋体" w:hAnsi="宋体" w:cs="宋体"/>
          <w:sz w:val="32"/>
          <w:szCs w:val="32"/>
        </w:rPr>
        <w:t>（三）开展国内外文学艺术交流活动，联络和争取社会各界对文艺事业的关心和支持，出作品，出人才，为文艺创作营造良好的环境和氛围，促进藁城区文艺事业的繁荣。</w:t>
      </w:r>
    </w:p>
    <w:p>
      <w:pPr>
        <w:ind w:firstLine="560"/>
        <w:rPr>
          <w:rFonts w:ascii="宋体" w:hAnsi="宋体" w:cs="宋体"/>
          <w:sz w:val="32"/>
          <w:szCs w:val="32"/>
        </w:rPr>
      </w:pPr>
      <w:r>
        <w:rPr>
          <w:rFonts w:hint="eastAsia" w:ascii="宋体" w:hAnsi="宋体" w:cs="宋体"/>
          <w:sz w:val="32"/>
          <w:szCs w:val="32"/>
        </w:rPr>
        <w:t>（四）指导、协同各文学艺术家采取多种形式深入生活，积极开展创作和学术交流活动，不断提高作品的思想内涵和艺术品位。</w:t>
      </w:r>
    </w:p>
    <w:p>
      <w:pPr>
        <w:ind w:firstLine="560"/>
        <w:rPr>
          <w:rFonts w:ascii="宋体" w:hAnsi="宋体" w:cs="宋体"/>
          <w:sz w:val="32"/>
          <w:szCs w:val="32"/>
        </w:rPr>
      </w:pPr>
      <w:r>
        <w:rPr>
          <w:rFonts w:hint="eastAsia" w:ascii="宋体" w:hAnsi="宋体" w:cs="宋体"/>
          <w:sz w:val="32"/>
          <w:szCs w:val="32"/>
        </w:rPr>
        <w:t>（五）对各种优秀文学艺术成果予以奖励和表彰。</w:t>
      </w:r>
    </w:p>
    <w:p>
      <w:pPr>
        <w:ind w:firstLine="560"/>
        <w:rPr>
          <w:rFonts w:ascii="宋体" w:hAnsi="宋体" w:cs="宋体"/>
          <w:sz w:val="32"/>
          <w:szCs w:val="32"/>
        </w:rPr>
      </w:pPr>
      <w:r>
        <w:rPr>
          <w:rFonts w:hint="eastAsia" w:ascii="宋体" w:hAnsi="宋体" w:cs="宋体"/>
          <w:sz w:val="32"/>
          <w:szCs w:val="32"/>
        </w:rPr>
        <w:t>（六）创办文艺刊物，为文艺工作者提供创作园地；积极发现、扶持和培养文艺新人，不断壮大文艺队伍；开展各方面、多形式的服务工作，为文艺工作者提供良好的工作条件和创作环境。</w:t>
      </w:r>
    </w:p>
    <w:p>
      <w:pPr>
        <w:ind w:firstLine="560"/>
        <w:rPr>
          <w:rFonts w:ascii="宋体" w:hAnsi="宋体" w:cs="宋体"/>
          <w:sz w:val="32"/>
          <w:szCs w:val="32"/>
        </w:rPr>
      </w:pPr>
      <w:r>
        <w:rPr>
          <w:rFonts w:hint="eastAsia" w:ascii="宋体" w:hAnsi="宋体" w:cs="宋体"/>
          <w:sz w:val="32"/>
          <w:szCs w:val="32"/>
        </w:rPr>
        <w:t>（七）维护宪法赋予文艺工作者和文艺团体的合法权益。</w:t>
      </w:r>
    </w:p>
    <w:p>
      <w:pPr>
        <w:ind w:firstLine="560"/>
        <w:rPr>
          <w:rFonts w:ascii="宋体" w:hAnsi="宋体" w:cs="宋体"/>
          <w:sz w:val="32"/>
          <w:szCs w:val="32"/>
        </w:rPr>
      </w:pPr>
      <w:r>
        <w:rPr>
          <w:rFonts w:hint="eastAsia" w:ascii="宋体" w:hAnsi="宋体" w:cs="宋体"/>
          <w:sz w:val="32"/>
          <w:szCs w:val="32"/>
        </w:rPr>
        <w:t>（八）探索、参与兴办文化产业，促进文艺事业的发展。</w:t>
      </w:r>
    </w:p>
    <w:p>
      <w:pPr>
        <w:ind w:firstLine="560"/>
        <w:rPr>
          <w:rFonts w:ascii="宋体" w:hAnsi="宋体" w:cs="宋体"/>
          <w:sz w:val="32"/>
          <w:szCs w:val="32"/>
        </w:rPr>
      </w:pPr>
      <w:r>
        <w:rPr>
          <w:rFonts w:hint="eastAsia" w:ascii="宋体" w:hAnsi="宋体" w:cs="宋体"/>
          <w:sz w:val="32"/>
          <w:szCs w:val="32"/>
        </w:rPr>
        <w:t>（九）承担区委、区政府交办的有关事项。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p>
      <w:pPr>
        <w:spacing w:line="580" w:lineRule="exact"/>
        <w:ind w:firstLine="640" w:firstLineChars="200"/>
        <w:rPr>
          <w:rFonts w:hint="eastAsia" w:ascii="仿宋_GB2312" w:hAnsi="Calibri" w:eastAsia="仿宋_GB2312" w:cs="ArialUnicodeMS"/>
          <w:kern w:val="0"/>
          <w:sz w:val="32"/>
          <w:szCs w:val="32"/>
        </w:rPr>
      </w:pP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石家庄市藁城区文学艺术界联合会</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45.15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w:t>
      </w:r>
      <w:r>
        <w:rPr>
          <w:rFonts w:hint="eastAsia" w:ascii="仿宋" w:hAnsi="仿宋" w:eastAsia="仿宋" w:cs="仿宋"/>
          <w:kern w:val="0"/>
          <w:sz w:val="32"/>
          <w:szCs w:val="32"/>
          <w:lang w:val="en-US" w:eastAsia="zh-CN"/>
        </w:rPr>
        <w:t>3月份从区妇联调入1名人员，9月份四级联考招录1名人员，工资支出及交通补、通讯补增多</w:t>
      </w:r>
      <w:r>
        <w:rPr>
          <w:rFonts w:hint="eastAsia" w:ascii="仿宋" w:hAnsi="仿宋" w:eastAsia="仿宋" w:cs="仿宋"/>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44.33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81.59</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18.41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580" w:lineRule="exac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935" distR="114935" simplePos="0" relativeHeight="251693056" behindDoc="0" locked="0" layoutInCell="1" allowOverlap="1">
            <wp:simplePos x="0" y="0"/>
            <wp:positionH relativeFrom="column">
              <wp:posOffset>84455</wp:posOffset>
            </wp:positionH>
            <wp:positionV relativeFrom="paragraph">
              <wp:posOffset>270510</wp:posOffset>
            </wp:positionV>
            <wp:extent cx="5476240" cy="3000375"/>
            <wp:effectExtent l="4445" t="4445" r="5715" b="5080"/>
            <wp:wrapNone/>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2019年3月份从区妇联调入1名人员，9月份四级联考招录1名人员，工资支出及交通补、通讯补增多</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2019年3月份从区妇联调入1名人员，9月份四级联考招录1名人员，工资支出及交通补、通讯补增多。</w:t>
      </w:r>
    </w:p>
    <w:p>
      <w:pPr>
        <w:adjustRightInd w:val="0"/>
        <w:snapToGrid w:val="0"/>
        <w:spacing w:line="580" w:lineRule="exact"/>
        <w:ind w:firstLine="643" w:firstLineChars="200"/>
        <w:rPr>
          <w:rFonts w:hint="eastAsia" w:ascii="仿宋_GB2312" w:hAnsi="Times New Roman" w:eastAsia="仿宋_GB2312" w:cs="DengXian-Regular"/>
          <w:sz w:val="32"/>
          <w:szCs w:val="32"/>
          <w:highlight w:val="yellow"/>
          <w:lang w:eastAsia="zh-CN"/>
        </w:rPr>
      </w:pPr>
      <w:r>
        <w:rPr>
          <w:rFonts w:hint="eastAsia" w:ascii="楷体_GB2312" w:hAnsi="Times New Roman" w:eastAsia="楷体_GB2312" w:cs="DengXian-Bold"/>
          <w:b/>
          <w:bCs/>
          <w:sz w:val="32"/>
          <w:szCs w:val="32"/>
          <w:lang w:eastAsia="zh-CN"/>
        </w:rPr>
        <w:drawing>
          <wp:anchor distT="0" distB="0" distL="114935" distR="114935" simplePos="0" relativeHeight="251694080" behindDoc="0" locked="0" layoutInCell="1" allowOverlap="1">
            <wp:simplePos x="0" y="0"/>
            <wp:positionH relativeFrom="column">
              <wp:posOffset>567055</wp:posOffset>
            </wp:positionH>
            <wp:positionV relativeFrom="paragraph">
              <wp:posOffset>210185</wp:posOffset>
            </wp:positionV>
            <wp:extent cx="4495800" cy="3371850"/>
            <wp:effectExtent l="4445" t="4445" r="14605" b="1460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napToGrid w:val="0"/>
        <w:spacing w:line="580" w:lineRule="exact"/>
        <w:rPr>
          <w:rFonts w:hint="eastAsia" w:ascii="楷体_GB2312" w:hAnsi="Times New Roman" w:eastAsia="楷体_GB2312" w:cs="DengXian-Bold"/>
          <w:b/>
          <w:bCs/>
          <w:sz w:val="32"/>
          <w:szCs w:val="32"/>
          <w:lang w:eastAsia="zh-CN"/>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 w:hAnsi="仿宋" w:eastAsia="仿宋" w:cs="仿宋"/>
          <w:kern w:val="0"/>
          <w:sz w:val="32"/>
          <w:szCs w:val="32"/>
          <w:lang w:val="en-US"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121.79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2019年</w:t>
      </w:r>
      <w:r>
        <w:rPr>
          <w:rFonts w:hint="eastAsia" w:ascii="仿宋" w:hAnsi="仿宋" w:eastAsia="仿宋" w:cs="仿宋"/>
          <w:kern w:val="0"/>
          <w:sz w:val="32"/>
          <w:szCs w:val="32"/>
          <w:lang w:val="en-US" w:eastAsia="zh-CN"/>
        </w:rPr>
        <w:t>3月份从区妇联调入1名人员，9月份四级联考招录1名人员，工资支出及交通补、通讯补增多</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121.79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2019年</w:t>
      </w:r>
      <w:r>
        <w:rPr>
          <w:rFonts w:hint="eastAsia" w:ascii="仿宋" w:hAnsi="仿宋" w:eastAsia="仿宋" w:cs="仿宋"/>
          <w:kern w:val="0"/>
          <w:sz w:val="32"/>
          <w:szCs w:val="32"/>
          <w:lang w:val="en-US" w:eastAsia="zh-CN"/>
        </w:rPr>
        <w:t>3月份从区妇联调入1名人员，9月份四级联考招录1名人员，工资支出及交通补、通讯补增多。</w:t>
      </w:r>
    </w:p>
    <w:p>
      <w:pPr>
        <w:adjustRightInd w:val="0"/>
        <w:snapToGrid w:val="0"/>
        <w:spacing w:line="580" w:lineRule="exact"/>
        <w:rPr>
          <w:rFonts w:hint="eastAsia" w:ascii="仿宋" w:hAnsi="仿宋" w:eastAsia="仿宋" w:cs="仿宋"/>
          <w:kern w:val="0"/>
          <w:sz w:val="32"/>
          <w:szCs w:val="32"/>
          <w:lang w:val="en-US" w:eastAsia="zh-CN"/>
        </w:rPr>
      </w:pPr>
    </w:p>
    <w:p>
      <w:pPr>
        <w:adjustRightInd w:val="0"/>
        <w:snapToGrid w:val="0"/>
        <w:spacing w:line="580" w:lineRule="exact"/>
        <w:ind w:firstLine="643" w:firstLineChars="200"/>
        <w:rPr>
          <w:rFonts w:hint="eastAsia" w:ascii="仿宋" w:hAnsi="仿宋" w:eastAsia="仿宋" w:cs="仿宋"/>
          <w:kern w:val="0"/>
          <w:sz w:val="32"/>
          <w:szCs w:val="32"/>
          <w:lang w:val="en-US" w:eastAsia="zh-CN"/>
        </w:rPr>
      </w:pPr>
      <w:r>
        <w:rPr>
          <w:rFonts w:hint="eastAsia" w:ascii="楷体_GB2312" w:hAnsi="Times New Roman" w:eastAsia="楷体_GB2312" w:cs="DengXian-Bold"/>
          <w:b/>
          <w:bCs/>
          <w:sz w:val="32"/>
          <w:szCs w:val="32"/>
          <w:lang w:eastAsia="zh-CN"/>
        </w:rPr>
        <w:drawing>
          <wp:anchor distT="0" distB="0" distL="114935" distR="114935" simplePos="0" relativeHeight="251695104" behindDoc="0" locked="0" layoutInCell="1" allowOverlap="1">
            <wp:simplePos x="0" y="0"/>
            <wp:positionH relativeFrom="column">
              <wp:posOffset>544195</wp:posOffset>
            </wp:positionH>
            <wp:positionV relativeFrom="paragraph">
              <wp:posOffset>42545</wp:posOffset>
            </wp:positionV>
            <wp:extent cx="4495800" cy="3371850"/>
            <wp:effectExtent l="4445" t="4445" r="14605" b="1460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54.33</w:t>
      </w:r>
      <w:r>
        <w:rPr>
          <w:rFonts w:hint="eastAsia" w:ascii="仿宋_GB2312" w:hAnsi="Times New Roman" w:eastAsia="仿宋_GB2312" w:cs="DengXian-Regular"/>
          <w:sz w:val="32"/>
          <w:szCs w:val="32"/>
        </w:rPr>
        <w:t>万元，主要用</w:t>
      </w:r>
      <w:r>
        <w:rPr>
          <w:rFonts w:hint="eastAsia" w:ascii="仿宋_GB2312" w:eastAsia="仿宋_GB2312" w:cs="DengXian-Regular"/>
          <w:sz w:val="32"/>
          <w:szCs w:val="32"/>
        </w:rPr>
        <w:t>于文化体育与传媒支出</w:t>
      </w:r>
      <w:r>
        <w:rPr>
          <w:rFonts w:hint="eastAsia" w:ascii="仿宋_GB2312" w:eastAsia="仿宋_GB2312" w:cs="DengXian-Regular"/>
          <w:sz w:val="32"/>
          <w:szCs w:val="32"/>
          <w:lang w:val="en-US" w:eastAsia="zh-CN"/>
        </w:rPr>
        <w:t>54.33</w:t>
      </w:r>
      <w:r>
        <w:rPr>
          <w:rFonts w:hint="eastAsia" w:ascii="仿宋_GB2312" w:eastAsia="仿宋_GB2312" w:cs="DengXian-Regular"/>
          <w:sz w:val="32"/>
          <w:szCs w:val="32"/>
        </w:rPr>
        <w:t>万元，占100%.</w:t>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44.33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39.7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 预算绩效管理工作开展情况。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根据预算绩效管理要求，本部门组织对2019年度一般公共预算项目支出全面开展绩效自评，其中</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二级项目1个，共涉及资金10万元，占一般公共预算项目支出总额的100%。组织对“文艺联络交流经费”1个项目开展了部门评价，涉及一般公共预算支出10万元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从评价情况来看，2019 年我单位积极履职，通过加强预算收支管理，不断梳理内部管理流程，建立健全内部管理制度，部门整体支出管理水平得到提升。经过自评，“文艺联络交流经费”项目自评得分90 分，较好得完成了年度工作目标，综合评价等级为“优秀”。</w:t>
      </w:r>
    </w:p>
    <w:p>
      <w:pPr>
        <w:adjustRightInd w:val="0"/>
        <w:snapToGrid w:val="0"/>
        <w:spacing w:line="580" w:lineRule="exact"/>
        <w:ind w:firstLine="321" w:firstLineChars="1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62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本部门在今年部门决算公开中反映 “文艺联络交流经费”项目1个项目绩效自评结果。</w:t>
      </w:r>
    </w:p>
    <w:p>
      <w:pPr>
        <w:adjustRightInd w:val="0"/>
        <w:snapToGrid w:val="0"/>
        <w:spacing w:line="62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文艺联络交流经费”项目自评综述：根据年初设定的绩效目标，文艺联络交流经费项目绩效自评得分为90分（绩效自评表附后）。全年预算数为10万元，执行数为10万元，完成预算的100%。项目绩效目标完成情况：在开展预算自评工作时，针对区文联的工作实际，设计能够体现项目特点绩效评价指标体系。绩效指标权重根据本项目实际情况确定，总分设定为100分。产出指标40分（包括文艺研修教育人数5分、文艺人才资源库人数5分、组织活动的场次6分、组织艺术家创作次数5分、组织研讨推介活动次数5分、媒体宣传、信息数量（篇）5分、组织对外交流次数、组织民间文化交流次数6分、综合事务完成率3分）、预算执行率指标10分（包括预算资金使用到位100% 10分）、</w:t>
      </w:r>
      <w:r>
        <w:rPr>
          <w:rFonts w:hint="eastAsia" w:ascii="仿宋_GB2312" w:hAnsi="Times New Roman" w:eastAsia="仿宋_GB2312" w:cs="DengXian-Regular"/>
          <w:sz w:val="32"/>
          <w:szCs w:val="32"/>
        </w:rPr>
        <w:t>效益指标40分（包含</w:t>
      </w:r>
      <w:r>
        <w:rPr>
          <w:rFonts w:hint="eastAsia" w:ascii="仿宋_GB2312" w:hAnsi="Times New Roman" w:eastAsia="仿宋_GB2312" w:cs="DengXian-Regular"/>
          <w:sz w:val="32"/>
          <w:szCs w:val="32"/>
          <w:lang w:val="en-US" w:eastAsia="zh-CN"/>
        </w:rPr>
        <w:t>文艺精品生产数量40分</w:t>
      </w:r>
      <w:r>
        <w:rPr>
          <w:rFonts w:hint="eastAsia" w:ascii="仿宋_GB2312" w:hAnsi="Times New Roman" w:eastAsia="仿宋_GB2312" w:cs="DengXian-Regular"/>
          <w:sz w:val="32"/>
          <w:szCs w:val="32"/>
        </w:rPr>
        <w:t>）、满意度指标10分</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lang w:eastAsia="zh-CN"/>
        </w:rPr>
        <w:t>包括群众满意数量占总数的比例</w:t>
      </w:r>
      <w:r>
        <w:rPr>
          <w:rFonts w:hint="eastAsia" w:ascii="仿宋_GB2312" w:hAnsi="Times New Roman" w:eastAsia="仿宋_GB2312" w:cs="DengXian-Regular"/>
          <w:sz w:val="32"/>
          <w:szCs w:val="32"/>
          <w:lang w:val="en-US" w:eastAsia="zh-CN"/>
        </w:rPr>
        <w:t>10分)</w:t>
      </w:r>
      <w:r>
        <w:rPr>
          <w:rFonts w:hint="eastAsia" w:ascii="仿宋_GB2312" w:hAnsi="Times New Roman" w:eastAsia="仿宋_GB2312" w:cs="DengXian-Regular"/>
          <w:sz w:val="32"/>
          <w:szCs w:val="32"/>
        </w:rPr>
        <w:t>。发现的主要问题及原因：一是基层文联组织机构亟待建立。文联组织作为群团组织对下联络机关不健全，没有镇级、村级文联组织不能实现全区文联组织全覆盖。二是文联活动场地不足。三是全区文艺交流平台需要进一步扩大。下一步改进措施：加强基层文联组织建设，完善各乡镇、村级文联组织建设；加强全区文艺交流，增设文艺内刊。</w:t>
      </w:r>
    </w:p>
    <w:tbl>
      <w:tblPr>
        <w:tblW w:w="5000" w:type="pct"/>
        <w:tblInd w:w="0" w:type="dxa"/>
        <w:shd w:val="clear"/>
        <w:tblLayout w:type="fixed"/>
        <w:tblCellMar>
          <w:top w:w="0" w:type="dxa"/>
          <w:left w:w="108" w:type="dxa"/>
          <w:bottom w:w="0" w:type="dxa"/>
          <w:right w:w="108" w:type="dxa"/>
        </w:tblCellMar>
      </w:tblPr>
      <w:tblGrid>
        <w:gridCol w:w="1469"/>
        <w:gridCol w:w="1500"/>
        <w:gridCol w:w="732"/>
        <w:gridCol w:w="1092"/>
        <w:gridCol w:w="1173"/>
        <w:gridCol w:w="1149"/>
        <w:gridCol w:w="812"/>
        <w:gridCol w:w="1133"/>
      </w:tblGrid>
      <w:tr>
        <w:tblPrEx>
          <w:tblCellMar>
            <w:top w:w="0" w:type="dxa"/>
            <w:left w:w="108" w:type="dxa"/>
            <w:bottom w:w="0" w:type="dxa"/>
            <w:right w:w="108" w:type="dxa"/>
          </w:tblCellMar>
        </w:tblPrEx>
        <w:trPr>
          <w:trHeight w:val="270" w:hRule="atLeast"/>
        </w:trPr>
        <w:tc>
          <w:tcPr>
            <w:tcW w:w="81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附件1</w:t>
            </w:r>
          </w:p>
        </w:tc>
        <w:tc>
          <w:tcPr>
            <w:tcW w:w="82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403"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02"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4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34"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448"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25"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5000" w:type="pct"/>
            <w:gridSpan w:val="8"/>
            <w:vMerge w:val="restar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bdr w:val="none" w:color="auto" w:sz="0" w:space="0"/>
                <w:lang w:val="en-US" w:eastAsia="zh-CN" w:bidi="ar"/>
              </w:rPr>
              <w:t>区级部门预算项目绩效自评表</w:t>
            </w:r>
          </w:p>
        </w:tc>
      </w:tr>
      <w:tr>
        <w:tblPrEx>
          <w:tblCellMar>
            <w:top w:w="0" w:type="dxa"/>
            <w:left w:w="108" w:type="dxa"/>
            <w:bottom w:w="0" w:type="dxa"/>
            <w:right w:w="108" w:type="dxa"/>
          </w:tblCellMar>
        </w:tblPrEx>
        <w:trPr>
          <w:trHeight w:val="270" w:hRule="atLeast"/>
        </w:trPr>
        <w:tc>
          <w:tcPr>
            <w:tcW w:w="5000" w:type="pct"/>
            <w:gridSpan w:val="8"/>
            <w:vMerge w:val="continue"/>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36"/>
                <w:szCs w:val="36"/>
                <w:u w:val="none"/>
              </w:rPr>
            </w:pPr>
          </w:p>
        </w:tc>
      </w:tr>
      <w:tr>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   2019  年度）</w:t>
            </w:r>
          </w:p>
        </w:tc>
      </w:tr>
      <w:tr>
        <w:tblPrEx>
          <w:tblCellMar>
            <w:top w:w="0" w:type="dxa"/>
            <w:left w:w="108" w:type="dxa"/>
            <w:bottom w:w="0" w:type="dxa"/>
            <w:right w:w="108" w:type="dxa"/>
          </w:tblCellMar>
        </w:tblPrEx>
        <w:trPr>
          <w:trHeight w:val="270" w:hRule="atLeast"/>
        </w:trPr>
        <w:tc>
          <w:tcPr>
            <w:tcW w:w="81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填报单位：藁城区文联</w:t>
            </w:r>
          </w:p>
        </w:tc>
        <w:tc>
          <w:tcPr>
            <w:tcW w:w="82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403"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02"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4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34"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1073" w:type="pct"/>
            <w:gridSpan w:val="2"/>
            <w:tcBorders>
              <w:top w:val="nil"/>
              <w:left w:val="nil"/>
              <w:bottom w:val="single" w:color="000000" w:sz="4" w:space="0"/>
              <w:right w:val="nil"/>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单位金额：万元</w:t>
            </w:r>
          </w:p>
        </w:tc>
      </w:tr>
      <w:tr>
        <w:tblPrEx>
          <w:tblCellMar>
            <w:top w:w="0" w:type="dxa"/>
            <w:left w:w="108" w:type="dxa"/>
            <w:bottom w:w="0" w:type="dxa"/>
            <w:right w:w="108" w:type="dxa"/>
          </w:tblCellMar>
        </w:tblPrEx>
        <w:trPr>
          <w:trHeight w:val="540" w:hRule="atLeast"/>
        </w:trPr>
        <w:tc>
          <w:tcPr>
            <w:tcW w:w="810"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一、基本情况</w:t>
            </w:r>
          </w:p>
        </w:tc>
        <w:tc>
          <w:tcPr>
            <w:tcW w:w="82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项目名称</w:t>
            </w:r>
          </w:p>
        </w:tc>
        <w:tc>
          <w:tcPr>
            <w:tcW w:w="1006"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文艺联络交流经费</w:t>
            </w:r>
          </w:p>
        </w:tc>
        <w:tc>
          <w:tcPr>
            <w:tcW w:w="6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实施（主管单位）</w:t>
            </w:r>
          </w:p>
        </w:tc>
        <w:tc>
          <w:tcPr>
            <w:tcW w:w="1707" w:type="pct"/>
            <w:gridSpan w:val="3"/>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石家庄市藁城区文学艺术界联合会</w:t>
            </w:r>
          </w:p>
        </w:tc>
      </w:tr>
      <w:tr>
        <w:tblPrEx>
          <w:tblCellMar>
            <w:top w:w="0" w:type="dxa"/>
            <w:left w:w="108" w:type="dxa"/>
            <w:bottom w:w="0" w:type="dxa"/>
            <w:right w:w="108" w:type="dxa"/>
          </w:tblCellMar>
        </w:tblPrEx>
        <w:trPr>
          <w:trHeight w:val="270" w:hRule="atLeast"/>
        </w:trPr>
        <w:tc>
          <w:tcPr>
            <w:tcW w:w="81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二、预算执行</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情况</w:t>
            </w:r>
          </w:p>
        </w:tc>
        <w:tc>
          <w:tcPr>
            <w:tcW w:w="1231"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预算安排情况（调整后）</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资金到位情况</w:t>
            </w:r>
          </w:p>
        </w:tc>
        <w:tc>
          <w:tcPr>
            <w:tcW w:w="1082"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资金执行情况</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预算执行进度</w:t>
            </w:r>
          </w:p>
        </w:tc>
      </w:tr>
      <w:tr>
        <w:tblPrEx>
          <w:shd w:val="clear"/>
          <w:tblCellMar>
            <w:top w:w="0" w:type="dxa"/>
            <w:left w:w="108" w:type="dxa"/>
            <w:bottom w:w="0" w:type="dxa"/>
            <w:right w:w="108" w:type="dxa"/>
          </w:tblCellMar>
        </w:tblPrEx>
        <w:trPr>
          <w:trHeight w:val="27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预算数：</w:t>
            </w:r>
          </w:p>
        </w:tc>
        <w:tc>
          <w:tcPr>
            <w:tcW w:w="40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02"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到位数：</w:t>
            </w:r>
          </w:p>
        </w:tc>
        <w:tc>
          <w:tcPr>
            <w:tcW w:w="64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执行数：</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2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r>
      <w:tr>
        <w:tblPrEx>
          <w:shd w:val="clear"/>
          <w:tblCellMar>
            <w:top w:w="0" w:type="dxa"/>
            <w:left w:w="108" w:type="dxa"/>
            <w:bottom w:w="0" w:type="dxa"/>
            <w:right w:w="108" w:type="dxa"/>
          </w:tblCellMar>
        </w:tblPrEx>
        <w:trPr>
          <w:trHeight w:val="54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其中：财政</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 xml:space="preserve">     资金</w:t>
            </w:r>
          </w:p>
        </w:tc>
        <w:tc>
          <w:tcPr>
            <w:tcW w:w="40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其中：财政</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 xml:space="preserve">     资金</w:t>
            </w:r>
          </w:p>
        </w:tc>
        <w:tc>
          <w:tcPr>
            <w:tcW w:w="64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其中：财政</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 xml:space="preserve">     资金</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62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r>
      <w:tr>
        <w:tblPrEx>
          <w:shd w:val="clear"/>
          <w:tblCellMar>
            <w:top w:w="0" w:type="dxa"/>
            <w:left w:w="108" w:type="dxa"/>
            <w:bottom w:w="0" w:type="dxa"/>
            <w:right w:w="108" w:type="dxa"/>
          </w:tblCellMar>
        </w:tblPrEx>
        <w:trPr>
          <w:trHeight w:val="27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 xml:space="preserve">     其他</w:t>
            </w:r>
          </w:p>
        </w:tc>
        <w:tc>
          <w:tcPr>
            <w:tcW w:w="40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602"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 xml:space="preserve">     其他</w:t>
            </w:r>
          </w:p>
        </w:tc>
        <w:tc>
          <w:tcPr>
            <w:tcW w:w="647"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 xml:space="preserve">     其他</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270" w:hRule="atLeast"/>
        </w:trPr>
        <w:tc>
          <w:tcPr>
            <w:tcW w:w="81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三、目标完成</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情况</w:t>
            </w:r>
          </w:p>
        </w:tc>
        <w:tc>
          <w:tcPr>
            <w:tcW w:w="1834" w:type="pct"/>
            <w:gridSpan w:val="3"/>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年度预算目标</w:t>
            </w:r>
          </w:p>
        </w:tc>
        <w:tc>
          <w:tcPr>
            <w:tcW w:w="1729" w:type="pct"/>
            <w:gridSpan w:val="3"/>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具体完成情况</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总体完成率</w:t>
            </w:r>
          </w:p>
        </w:tc>
      </w:tr>
      <w:tr>
        <w:tblPrEx>
          <w:shd w:val="clear"/>
          <w:tblCellMar>
            <w:top w:w="0" w:type="dxa"/>
            <w:left w:w="108" w:type="dxa"/>
            <w:bottom w:w="0" w:type="dxa"/>
            <w:right w:w="108" w:type="dxa"/>
          </w:tblCellMar>
        </w:tblPrEx>
        <w:trPr>
          <w:trHeight w:val="66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1834"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bdr w:val="none" w:color="auto" w:sz="0" w:space="0"/>
                <w:lang w:val="en-US" w:eastAsia="zh-CN" w:bidi="ar"/>
              </w:rPr>
              <w:t>组织联络会议，组织会员活动，培训会员。组织各种文艺活动。组织文艺家深入生活，创作优秀作品。组织文艺理论研讨和学术交流工作。</w:t>
            </w:r>
          </w:p>
        </w:tc>
        <w:tc>
          <w:tcPr>
            <w:tcW w:w="1729" w:type="pct"/>
            <w:gridSpan w:val="3"/>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完成</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80" w:hRule="atLeast"/>
        </w:trPr>
        <w:tc>
          <w:tcPr>
            <w:tcW w:w="81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四、年度绩效指标完成情况</w:t>
            </w:r>
          </w:p>
        </w:tc>
        <w:tc>
          <w:tcPr>
            <w:tcW w:w="827"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一级指标</w:t>
            </w:r>
          </w:p>
        </w:tc>
        <w:tc>
          <w:tcPr>
            <w:tcW w:w="40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二级指标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三级指标</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预期指标值</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实际完成值</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自评得分</w:t>
            </w:r>
          </w:p>
        </w:tc>
      </w:tr>
      <w:tr>
        <w:tblPrEx>
          <w:tblCellMar>
            <w:top w:w="0" w:type="dxa"/>
            <w:left w:w="108" w:type="dxa"/>
            <w:bottom w:w="0" w:type="dxa"/>
            <w:right w:w="108" w:type="dxa"/>
          </w:tblCellMar>
        </w:tblPrEx>
        <w:trPr>
          <w:trHeight w:val="54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产出指标</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（40分）</w:t>
            </w:r>
          </w:p>
        </w:tc>
        <w:tc>
          <w:tcPr>
            <w:tcW w:w="403" w:type="pct"/>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数量指标</w:t>
            </w: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文艺研修教育人数(人次)</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44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r>
      <w:tr>
        <w:tblPrEx>
          <w:shd w:val="clear"/>
          <w:tblCellMar>
            <w:top w:w="0" w:type="dxa"/>
            <w:left w:w="108" w:type="dxa"/>
            <w:bottom w:w="0" w:type="dxa"/>
            <w:right w:w="108" w:type="dxa"/>
          </w:tblCellMar>
        </w:tblPrEx>
        <w:trPr>
          <w:trHeight w:val="48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文艺人才资源库人数（人次）</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44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r>
      <w:tr>
        <w:tblPrEx>
          <w:tblCellMar>
            <w:top w:w="0" w:type="dxa"/>
            <w:left w:w="108" w:type="dxa"/>
            <w:bottom w:w="0" w:type="dxa"/>
            <w:right w:w="108" w:type="dxa"/>
          </w:tblCellMar>
        </w:tblPrEx>
        <w:trPr>
          <w:trHeight w:val="48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组织活动的场次（场次）</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44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r>
      <w:tr>
        <w:tblPrEx>
          <w:tblCellMar>
            <w:top w:w="0" w:type="dxa"/>
            <w:left w:w="108" w:type="dxa"/>
            <w:bottom w:w="0" w:type="dxa"/>
            <w:right w:w="108" w:type="dxa"/>
          </w:tblCellMar>
        </w:tblPrEx>
        <w:trPr>
          <w:trHeight w:val="48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组织艺术家创作次数</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44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r>
      <w:tr>
        <w:tblPrEx>
          <w:shd w:val="clear"/>
          <w:tblCellMar>
            <w:top w:w="0" w:type="dxa"/>
            <w:left w:w="108" w:type="dxa"/>
            <w:bottom w:w="0" w:type="dxa"/>
            <w:right w:w="108" w:type="dxa"/>
          </w:tblCellMar>
        </w:tblPrEx>
        <w:trPr>
          <w:trHeight w:val="42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组织研讨推介活动次数</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44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r>
      <w:tr>
        <w:tblPrEx>
          <w:tblCellMar>
            <w:top w:w="0" w:type="dxa"/>
            <w:left w:w="108" w:type="dxa"/>
            <w:bottom w:w="0" w:type="dxa"/>
            <w:right w:w="108" w:type="dxa"/>
          </w:tblCellMar>
        </w:tblPrEx>
        <w:trPr>
          <w:trHeight w:val="27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媒体宣传、信息数量（篇）</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r>
      <w:tr>
        <w:tblPrEx>
          <w:tblCellMar>
            <w:top w:w="0" w:type="dxa"/>
            <w:left w:w="108" w:type="dxa"/>
            <w:bottom w:w="0" w:type="dxa"/>
            <w:right w:w="108" w:type="dxa"/>
          </w:tblCellMar>
        </w:tblPrEx>
        <w:trPr>
          <w:trHeight w:val="32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i w:val="0"/>
                <w:iCs w:val="0"/>
                <w:color w:val="000000"/>
                <w:sz w:val="22"/>
                <w:szCs w:val="22"/>
                <w:u w:val="none"/>
              </w:rPr>
            </w:pP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组织民间文化交流次数（次）</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r>
      <w:tr>
        <w:tblPrEx>
          <w:tblCellMar>
            <w:top w:w="0" w:type="dxa"/>
            <w:left w:w="108" w:type="dxa"/>
            <w:bottom w:w="0" w:type="dxa"/>
            <w:right w:w="108" w:type="dxa"/>
          </w:tblCellMar>
        </w:tblPrEx>
        <w:trPr>
          <w:trHeight w:val="27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质量指标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综合事务完成率</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r>
      <w:tr>
        <w:tblPrEx>
          <w:tblCellMar>
            <w:top w:w="0" w:type="dxa"/>
            <w:left w:w="108" w:type="dxa"/>
            <w:bottom w:w="0" w:type="dxa"/>
            <w:right w:w="108" w:type="dxa"/>
          </w:tblCellMar>
        </w:tblPrEx>
        <w:trPr>
          <w:trHeight w:val="54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预算执行率指标（10分）</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执行率</w:t>
            </w:r>
          </w:p>
        </w:tc>
        <w:tc>
          <w:tcPr>
            <w:tcW w:w="125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预算资金使用到位100%</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r>
      <w:tr>
        <w:tblPrEx>
          <w:tblCellMar>
            <w:top w:w="0" w:type="dxa"/>
            <w:left w:w="108" w:type="dxa"/>
            <w:bottom w:w="0" w:type="dxa"/>
            <w:right w:w="108" w:type="dxa"/>
          </w:tblCellMar>
        </w:tblPrEx>
        <w:trPr>
          <w:trHeight w:val="32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效益指标</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（10分）</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经济效益</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指标1</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30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社会效益</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指标1</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4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40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可持续影响指标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文艺精品生产数量</w:t>
            </w:r>
          </w:p>
        </w:tc>
        <w:tc>
          <w:tcPr>
            <w:tcW w:w="6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w:t>
            </w:r>
          </w:p>
        </w:tc>
      </w:tr>
      <w:tr>
        <w:tblPrEx>
          <w:tblCellMar>
            <w:top w:w="0" w:type="dxa"/>
            <w:left w:w="108" w:type="dxa"/>
            <w:bottom w:w="0" w:type="dxa"/>
            <w:right w:w="108" w:type="dxa"/>
          </w:tblCellMar>
        </w:tblPrEx>
        <w:trPr>
          <w:trHeight w:val="54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8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满意度指标</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（10分）</w:t>
            </w:r>
          </w:p>
        </w:tc>
        <w:tc>
          <w:tcPr>
            <w:tcW w:w="40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满意度</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指标</w:t>
            </w:r>
          </w:p>
        </w:tc>
        <w:tc>
          <w:tcPr>
            <w:tcW w:w="1250" w:type="pct"/>
            <w:gridSpan w:val="2"/>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服务对象满意度</w:t>
            </w:r>
          </w:p>
        </w:tc>
        <w:tc>
          <w:tcPr>
            <w:tcW w:w="63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448"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95%</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r>
      <w:tr>
        <w:tblPrEx>
          <w:tblCellMar>
            <w:top w:w="0" w:type="dxa"/>
            <w:left w:w="108" w:type="dxa"/>
            <w:bottom w:w="0" w:type="dxa"/>
            <w:right w:w="108" w:type="dxa"/>
          </w:tblCellMar>
        </w:tblPrEx>
        <w:trPr>
          <w:trHeight w:val="420" w:hRule="atLeast"/>
        </w:trPr>
        <w:tc>
          <w:tcPr>
            <w:tcW w:w="81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2"/>
                <w:szCs w:val="22"/>
                <w:u w:val="none"/>
              </w:rPr>
            </w:pPr>
          </w:p>
        </w:tc>
        <w:tc>
          <w:tcPr>
            <w:tcW w:w="3564" w:type="pct"/>
            <w:gridSpan w:val="6"/>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总分</w:t>
            </w:r>
          </w:p>
        </w:tc>
        <w:tc>
          <w:tcPr>
            <w:tcW w:w="625"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r>
      <w:tr>
        <w:tblPrEx>
          <w:shd w:val="clear"/>
          <w:tblCellMar>
            <w:top w:w="0" w:type="dxa"/>
            <w:left w:w="108" w:type="dxa"/>
            <w:bottom w:w="0" w:type="dxa"/>
            <w:right w:w="108" w:type="dxa"/>
          </w:tblCellMar>
        </w:tblPrEx>
        <w:trPr>
          <w:trHeight w:val="1005" w:hRule="atLeast"/>
        </w:trPr>
        <w:tc>
          <w:tcPr>
            <w:tcW w:w="81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五、存在问题、原因及下一步整改措施</w:t>
            </w:r>
          </w:p>
        </w:tc>
        <w:tc>
          <w:tcPr>
            <w:tcW w:w="4189"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镇级村级文联组织不健全，活动场地不足，文艺交流平台需进一步扩大。加强基层文联组织建设，完善各乡镇、村级文联组织建设；加强全区文艺交流，增设文艺内刊。</w:t>
            </w:r>
          </w:p>
        </w:tc>
      </w:tr>
      <w:tr>
        <w:tblPrEx>
          <w:shd w:val="clear"/>
          <w:tblCellMar>
            <w:top w:w="0" w:type="dxa"/>
            <w:left w:w="108" w:type="dxa"/>
            <w:bottom w:w="0" w:type="dxa"/>
            <w:right w:w="108" w:type="dxa"/>
          </w:tblCellMar>
        </w:tblPrEx>
        <w:trPr>
          <w:trHeight w:val="270" w:hRule="atLeast"/>
        </w:trPr>
        <w:tc>
          <w:tcPr>
            <w:tcW w:w="81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填报人：</w:t>
            </w:r>
          </w:p>
        </w:tc>
        <w:tc>
          <w:tcPr>
            <w:tcW w:w="827"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李荣霞</w:t>
            </w:r>
          </w:p>
        </w:tc>
        <w:tc>
          <w:tcPr>
            <w:tcW w:w="403"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02"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47"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联系电话：</w:t>
            </w:r>
          </w:p>
        </w:tc>
        <w:tc>
          <w:tcPr>
            <w:tcW w:w="634" w:type="pct"/>
            <w:tcBorders>
              <w:top w:val="nil"/>
              <w:left w:val="nil"/>
              <w:bottom w:val="nil"/>
              <w:right w:val="nil"/>
            </w:tcBorders>
            <w:shd w:val="clear"/>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82123756</w:t>
            </w:r>
          </w:p>
        </w:tc>
        <w:tc>
          <w:tcPr>
            <w:tcW w:w="448"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25"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r>
    </w:tbl>
    <w:p>
      <w:pPr>
        <w:adjustRightInd w:val="0"/>
        <w:snapToGrid w:val="0"/>
        <w:spacing w:line="620" w:lineRule="exact"/>
        <w:ind w:firstLine="640" w:firstLineChars="200"/>
        <w:rPr>
          <w:rFonts w:hint="eastAsia" w:ascii="仿宋_GB2312" w:hAnsi="Times New Roman" w:eastAsia="仿宋_GB2312" w:cs="DengXian-Regular"/>
          <w:sz w:val="32"/>
          <w:szCs w:val="32"/>
        </w:rPr>
      </w:pPr>
      <w:bookmarkStart w:id="0" w:name="_GoBack"/>
      <w:bookmarkEnd w:id="0"/>
    </w:p>
    <w:p>
      <w:pPr>
        <w:keepNext/>
        <w:keepLines/>
        <w:numPr>
          <w:ilvl w:val="0"/>
          <w:numId w:val="2"/>
        </w:numPr>
        <w:snapToGrid w:val="0"/>
        <w:spacing w:line="580" w:lineRule="exact"/>
        <w:ind w:left="840" w:leftChars="0"/>
        <w:jc w:val="lef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jc w:val="left"/>
        <w:outlineLvl w:val="1"/>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本部门无</w:t>
      </w:r>
      <w:r>
        <w:rPr>
          <w:rFonts w:hint="eastAsia" w:ascii="仿宋_GB2312" w:hAnsi="仿宋_GB2312" w:eastAsia="仿宋_GB2312" w:cs="仿宋_GB2312"/>
          <w:b w:val="0"/>
          <w:bCs w:val="0"/>
          <w:sz w:val="32"/>
          <w:szCs w:val="32"/>
        </w:rPr>
        <w:t>财政评价项目</w:t>
      </w:r>
    </w:p>
    <w:p>
      <w:pPr>
        <w:keepNext/>
        <w:keepLines/>
        <w:snapToGrid w:val="0"/>
        <w:spacing w:line="580" w:lineRule="exact"/>
        <w:ind w:firstLine="640" w:firstLineChars="200"/>
        <w:jc w:val="left"/>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1.40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43.21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w:t>
      </w:r>
      <w:r>
        <w:rPr>
          <w:rFonts w:hint="eastAsia" w:ascii="仿宋" w:hAnsi="仿宋" w:eastAsia="仿宋" w:cs="仿宋"/>
          <w:kern w:val="0"/>
          <w:sz w:val="32"/>
          <w:szCs w:val="32"/>
          <w:lang w:val="en-US" w:eastAsia="zh-CN"/>
        </w:rPr>
        <w:t>3月份从区妇联调入1名人员，9月份四级联考招录1名人员，交通补、通讯补增多</w:t>
      </w:r>
      <w:r>
        <w:rPr>
          <w:rFonts w:hint="eastAsia" w:ascii="仿宋" w:hAnsi="仿宋" w:eastAsia="仿宋" w:cs="仿宋"/>
          <w:sz w:val="32"/>
          <w:szCs w:val="32"/>
        </w:rPr>
        <w:t>。</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宋体" w:eastAsia="仿宋_GB2312" w:cs="Times New Roman"/>
          <w:color w:val="000000"/>
          <w:kern w:val="0"/>
          <w:sz w:val="32"/>
          <w:szCs w:val="32"/>
        </w:rPr>
        <w:t>本部门2019年度政府采购支出总额</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万元，从采购类型来看，政府采购货物支出</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 xml:space="preserve"> 万元、政府采购工程支出</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 xml:space="preserve">万元、政府采购服务支出 </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万元。授予中小企业合同金</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万元，占政府采购支出总额的</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%，其中授予小微企业合同金额</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万元，占政</w:t>
      </w:r>
      <w:r>
        <w:rPr>
          <w:rFonts w:ascii="仿宋_GB2312" w:hAnsi="仿宋_GB2312" w:eastAsia="仿宋_GB2312" w:cs="仿宋_GB2312"/>
          <w:color w:val="000000"/>
          <w:kern w:val="0"/>
          <w:sz w:val="32"/>
          <w:szCs w:val="32"/>
          <w:lang w:bidi="ar"/>
        </w:rPr>
        <w:t xml:space="preserve">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截至2019年12月31日，本部门共有车辆</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r>
        <w:rPr>
          <w:rFonts w:hint="eastAsia" w:ascii="仿宋_GB2312" w:hAnsi="宋体" w:eastAsia="仿宋_GB2312" w:cs="Times New Roman"/>
          <w:color w:val="000000"/>
          <w:kern w:val="0"/>
          <w:sz w:val="32"/>
          <w:szCs w:val="32"/>
        </w:rPr>
        <w:t>。其中，副部（省）级及以上领导用车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辆，主要领导干部用车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辆，机要通信用车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辆，应急保障用车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辆，执法执勤用车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辆，特种专业技术用车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辆，离退休干部用车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辆，其他用车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辆；单位价值50万元以上通用设备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r>
        <w:rPr>
          <w:rFonts w:hint="eastAsia" w:ascii="仿宋_GB2312" w:hAnsi="宋体" w:eastAsia="仿宋_GB2312" w:cs="Times New Roman"/>
          <w:color w:val="000000"/>
          <w:kern w:val="0"/>
          <w:sz w:val="32"/>
          <w:szCs w:val="32"/>
        </w:rPr>
        <w:t>，单位价值100万元以上专用设备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1. 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年度一般公共预算财政拨款“三公”经费无收支及结转结余情况，故一般公共预算财政拨款“三公”经费支出决算表以空表列示。本部门201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年度政府采购无收支及结转结余情况，故政府采购情况表以空表列示。</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2. 由于决算公开表格中金额数值应当保留两位小数，公开数据为四舍五入计算结果，个别数据合计项与分项之和存在小数点后差额，特此说明。</w:t>
      </w:r>
    </w:p>
    <w:p>
      <w:pPr>
        <w:widowControl/>
        <w:spacing w:line="560" w:lineRule="exact"/>
        <w:ind w:firstLine="640" w:firstLineChars="200"/>
        <w:rPr>
          <w:rFonts w:hint="eastAsia" w:ascii="仿宋_GB2312" w:hAnsi="宋体" w:eastAsia="仿宋_GB2312" w:cs="Times New Roman"/>
          <w:color w:val="000000"/>
          <w:kern w:val="0"/>
          <w:sz w:val="32"/>
          <w:szCs w:val="32"/>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left"/>
        <w:rPr>
          <w:rFonts w:ascii="黑体" w:hAnsi="黑体" w:eastAsia="黑体" w:cs="黑体"/>
          <w:sz w:val="56"/>
          <w:szCs w:val="72"/>
        </w:rPr>
      </w:pPr>
    </w:p>
    <w:p>
      <w:pPr>
        <w:jc w:val="left"/>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jc w:val="left"/>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tbl>
      <w:tblPr>
        <w:tblStyle w:val="6"/>
        <w:tblW w:w="100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317"/>
        <w:gridCol w:w="570"/>
        <w:gridCol w:w="1020"/>
        <w:gridCol w:w="3375"/>
        <w:gridCol w:w="570"/>
        <w:gridCol w:w="733"/>
        <w:gridCol w:w="4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10022"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31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70"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8282"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部门：石家庄市藁城区文学艺术界联合会</w:t>
            </w: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70"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907" w:type="dxa"/>
            <w:gridSpan w:val="3"/>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收入</w:t>
            </w:r>
          </w:p>
        </w:tc>
        <w:tc>
          <w:tcPr>
            <w:tcW w:w="5115" w:type="dxa"/>
            <w:gridSpan w:val="4"/>
            <w:tcBorders>
              <w:top w:val="single" w:color="000000" w:sz="4" w:space="0"/>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三、上级补助收入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四、事业收入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五、经营收入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六、附属单位上缴收入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七、其他收入</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七、文化旅游体育与传媒支出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九、卫生健康支出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十四、资源勘探信息等支出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十八、自然资源海洋气象等支出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二十一、灾害防治及应急管理支出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二十二、其他支出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二十四、债务付息支出</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用事业基金弥补收支差额</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结余分配</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317" w:type="dxa"/>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102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c>
          <w:tcPr>
            <w:tcW w:w="337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570"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117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37" w:type="dxa"/>
          <w:trHeight w:val="308" w:hRule="atLeast"/>
        </w:trPr>
        <w:tc>
          <w:tcPr>
            <w:tcW w:w="9585"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注：本表反映部门本年度取得的各项收入情况。</w:t>
            </w:r>
          </w:p>
        </w:tc>
      </w:tr>
    </w:tbl>
    <w:p>
      <w:pPr>
        <w:jc w:val="left"/>
      </w:pPr>
    </w:p>
    <w:p>
      <w:pPr>
        <w:jc w:val="left"/>
      </w:pPr>
    </w:p>
    <w:tbl>
      <w:tblPr>
        <w:tblStyle w:val="6"/>
        <w:tblW w:w="9580" w:type="dxa"/>
        <w:jc w:val="center"/>
        <w:tblLayout w:type="fixed"/>
        <w:tblCellMar>
          <w:top w:w="0" w:type="dxa"/>
          <w:left w:w="0" w:type="dxa"/>
          <w:bottom w:w="0" w:type="dxa"/>
          <w:right w:w="0" w:type="dxa"/>
        </w:tblCellMar>
      </w:tblPr>
      <w:tblGrid>
        <w:gridCol w:w="9580"/>
      </w:tblGrid>
      <w:tr>
        <w:tblPrEx>
          <w:tblCellMar>
            <w:top w:w="0" w:type="dxa"/>
            <w:left w:w="0" w:type="dxa"/>
            <w:bottom w:w="0" w:type="dxa"/>
            <w:right w:w="0" w:type="dxa"/>
          </w:tblCellMar>
        </w:tblPrEx>
        <w:trPr>
          <w:trHeight w:val="670" w:hRule="atLeast"/>
          <w:jc w:val="center"/>
        </w:trPr>
        <w:tc>
          <w:tcPr>
            <w:tcW w:w="9580" w:type="dxa"/>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tbl>
            <w:tblPr>
              <w:tblStyle w:val="6"/>
              <w:tblW w:w="9565"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325"/>
              <w:gridCol w:w="330"/>
              <w:gridCol w:w="330"/>
              <w:gridCol w:w="5"/>
              <w:gridCol w:w="2170"/>
              <w:gridCol w:w="5"/>
              <w:gridCol w:w="845"/>
              <w:gridCol w:w="995"/>
              <w:gridCol w:w="5"/>
              <w:gridCol w:w="685"/>
              <w:gridCol w:w="5"/>
              <w:gridCol w:w="730"/>
              <w:gridCol w:w="5"/>
              <w:gridCol w:w="730"/>
              <w:gridCol w:w="5"/>
              <w:gridCol w:w="850"/>
              <w:gridCol w:w="5"/>
              <w:gridCol w:w="1120"/>
              <w:gridCol w:w="5"/>
              <w:gridCol w:w="4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575" w:type="dxa"/>
                  <w:gridSpan w:val="1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2"/>
                <w:wAfter w:w="415" w:type="dxa"/>
                <w:trHeight w:val="255"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7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5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5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2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2"/>
                <w:wAfter w:w="415" w:type="dxa"/>
                <w:trHeight w:val="819" w:hRule="atLeast"/>
              </w:trPr>
              <w:tc>
                <w:tcPr>
                  <w:tcW w:w="9150" w:type="dxa"/>
                  <w:gridSpan w:val="1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部门：石家庄市藁城区文学艺术界联合会</w:t>
                  </w:r>
                </w:p>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6" w:hRule="atLeast"/>
              </w:trPr>
              <w:tc>
                <w:tcPr>
                  <w:tcW w:w="3165" w:type="dxa"/>
                  <w:gridSpan w:val="6"/>
                  <w:tcBorders>
                    <w:top w:val="single" w:color="000000" w:sz="4" w:space="0"/>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项目</w:t>
                  </w:r>
                </w:p>
              </w:tc>
              <w:tc>
                <w:tcPr>
                  <w:tcW w:w="84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本年收入合计</w:t>
                  </w:r>
                </w:p>
              </w:tc>
              <w:tc>
                <w:tcPr>
                  <w:tcW w:w="1000"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财政拨款收入</w:t>
                  </w:r>
                </w:p>
              </w:tc>
              <w:tc>
                <w:tcPr>
                  <w:tcW w:w="690"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上级补助收入</w:t>
                  </w:r>
                </w:p>
              </w:tc>
              <w:tc>
                <w:tcPr>
                  <w:tcW w:w="735"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事业收入</w:t>
                  </w:r>
                </w:p>
              </w:tc>
              <w:tc>
                <w:tcPr>
                  <w:tcW w:w="735"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经营收入</w:t>
                  </w:r>
                </w:p>
              </w:tc>
              <w:tc>
                <w:tcPr>
                  <w:tcW w:w="855"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附属单位上缴收入</w:t>
                  </w:r>
                </w:p>
              </w:tc>
              <w:tc>
                <w:tcPr>
                  <w:tcW w:w="1125" w:type="dxa"/>
                  <w:gridSpan w:val="2"/>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12" w:hRule="atLeast"/>
              </w:trPr>
              <w:tc>
                <w:tcPr>
                  <w:tcW w:w="990" w:type="dxa"/>
                  <w:gridSpan w:val="4"/>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功能分类科目编码</w:t>
                  </w:r>
                </w:p>
              </w:tc>
              <w:tc>
                <w:tcPr>
                  <w:tcW w:w="2175" w:type="dxa"/>
                  <w:gridSpan w:val="2"/>
                  <w:vMerge w:val="restart"/>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科目名称</w:t>
                  </w:r>
                </w:p>
              </w:tc>
              <w:tc>
                <w:tcPr>
                  <w:tcW w:w="84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00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85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12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12"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2175" w:type="dxa"/>
                  <w:gridSpan w:val="2"/>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84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00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85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12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12"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2175" w:type="dxa"/>
                  <w:gridSpan w:val="2"/>
                  <w:vMerge w:val="continue"/>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84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00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73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85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c>
                <w:tcPr>
                  <w:tcW w:w="1125" w:type="dxa"/>
                  <w:gridSpan w:val="2"/>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hint="eastAsia" w:ascii="宋体" w:hAnsi="宋体" w:eastAsia="宋体" w:cs="宋体"/>
                      <w:i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6" w:hRule="atLeast"/>
              </w:trPr>
              <w:tc>
                <w:tcPr>
                  <w:tcW w:w="3165" w:type="dxa"/>
                  <w:gridSpan w:val="6"/>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栏次</w:t>
                  </w:r>
                </w:p>
              </w:tc>
              <w:tc>
                <w:tcPr>
                  <w:tcW w:w="84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1</w:t>
                  </w:r>
                </w:p>
              </w:tc>
              <w:tc>
                <w:tcPr>
                  <w:tcW w:w="100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2</w:t>
                  </w:r>
                </w:p>
              </w:tc>
              <w:tc>
                <w:tcPr>
                  <w:tcW w:w="69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3</w:t>
                  </w:r>
                </w:p>
              </w:tc>
              <w:tc>
                <w:tcPr>
                  <w:tcW w:w="735"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4</w:t>
                  </w:r>
                </w:p>
              </w:tc>
              <w:tc>
                <w:tcPr>
                  <w:tcW w:w="735"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5</w:t>
                  </w:r>
                </w:p>
              </w:tc>
              <w:tc>
                <w:tcPr>
                  <w:tcW w:w="855"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6</w:t>
                  </w:r>
                </w:p>
              </w:tc>
              <w:tc>
                <w:tcPr>
                  <w:tcW w:w="1125"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3165" w:type="dxa"/>
                  <w:gridSpan w:val="6"/>
                  <w:tcBorders>
                    <w:top w:val="nil"/>
                    <w:left w:val="single" w:color="000000" w:sz="4" w:space="0"/>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合计</w:t>
                  </w:r>
                </w:p>
              </w:tc>
              <w:tc>
                <w:tcPr>
                  <w:tcW w:w="845" w:type="dxa"/>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54.33</w:t>
                  </w:r>
                </w:p>
              </w:tc>
              <w:tc>
                <w:tcPr>
                  <w:tcW w:w="100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54.33</w:t>
                  </w:r>
                </w:p>
              </w:tc>
              <w:tc>
                <w:tcPr>
                  <w:tcW w:w="690"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p>
              </w:tc>
              <w:tc>
                <w:tcPr>
                  <w:tcW w:w="735"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p>
              </w:tc>
              <w:tc>
                <w:tcPr>
                  <w:tcW w:w="735"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p>
              </w:tc>
              <w:tc>
                <w:tcPr>
                  <w:tcW w:w="855"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p>
              </w:tc>
              <w:tc>
                <w:tcPr>
                  <w:tcW w:w="1125" w:type="dxa"/>
                  <w:gridSpan w:val="2"/>
                  <w:tcBorders>
                    <w:top w:val="nil"/>
                    <w:left w:val="nil"/>
                    <w:bottom w:val="single" w:color="000000" w:sz="4" w:space="0"/>
                    <w:right w:val="single" w:color="000000" w:sz="4" w:space="0"/>
                  </w:tcBorders>
                  <w:shd w:val="clear" w:color="auto" w:fill="FFFFFF" w:themeFill="background1"/>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w:t>
                  </w: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文化旅游体育与传媒支出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54.33</w:t>
                  </w: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54.33</w:t>
                  </w: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20701</w:t>
                  </w: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文化和旅游</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54.33</w:t>
                  </w: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54.33</w:t>
                  </w: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2070101</w:t>
                  </w: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行政运行</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44.33</w:t>
                  </w: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44.33</w:t>
                  </w: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2070199</w:t>
                  </w: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其他文化和旅游支出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Before w:val="1"/>
                <w:gridAfter w:val="1"/>
                <w:wBefore w:w="5" w:type="dxa"/>
                <w:wAfter w:w="410"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0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2"/>
                <w:wAfter w:w="415" w:type="dxa"/>
                <w:trHeight w:val="308" w:hRule="atLeast"/>
              </w:trPr>
              <w:tc>
                <w:tcPr>
                  <w:tcW w:w="9150" w:type="dxa"/>
                  <w:gridSpan w:val="1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widowControl/>
              <w:jc w:val="both"/>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p>
          <w:p>
            <w:pPr>
              <w:widowControl/>
              <w:jc w:val="center"/>
              <w:textAlignment w:val="bottom"/>
              <w:rPr>
                <w:rFonts w:ascii="黑体" w:hAnsi="宋体" w:eastAsia="黑体" w:cs="黑体"/>
                <w:color w:val="000000"/>
                <w:sz w:val="32"/>
                <w:szCs w:val="32"/>
              </w:rPr>
            </w:pP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606"/>
        <w:gridCol w:w="388"/>
        <w:gridCol w:w="240"/>
        <w:gridCol w:w="2072"/>
        <w:gridCol w:w="855"/>
        <w:gridCol w:w="855"/>
        <w:gridCol w:w="93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6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330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5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85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基本</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c>
          <w:tcPr>
            <w:tcW w:w="93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上缴上级</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23" w:hRule="atLeast"/>
          <w:jc w:val="center"/>
        </w:trPr>
        <w:tc>
          <w:tcPr>
            <w:tcW w:w="330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330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44.33</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w:t>
            </w: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文化旅游体育与传媒支出</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w:t>
            </w: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文化和旅游</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2070101</w:t>
            </w: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 xml:space="preserve">  行政运行</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2070199</w:t>
            </w: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 xml:space="preserve">  其他文化和旅游支出</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335"/>
        <w:gridCol w:w="525"/>
        <w:gridCol w:w="735"/>
        <w:gridCol w:w="2955"/>
        <w:gridCol w:w="600"/>
        <w:gridCol w:w="726"/>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3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7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35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92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33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33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一、一般公共预算财政拨款</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一、一般公共服务支出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二、政府性基金预算财政拨款</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二、外交支出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三、国防支出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四、公共安全支出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五、教育支出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六、科学技术支出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七、文化旅游体育与传媒支出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八、社会保障和就业支出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九、卫生健康支出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十、节能环保支出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十一、城乡社区支出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十二、农林水支出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十三、交通运输支出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十四、资源勘探信息等支出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十五、商业服务业等支出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十六、金融支出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十七、援助其他地区支出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十八、自然资源海洋气象等支出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十九、住房保障支出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二十、粮油物资储备支出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二十一、灾害防治及应急管理支出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二十二、其他支出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二十四、债务付息支出</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年初财政拨款结转和结余</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25</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年末财政拨款结转和结余</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一、一般公共预算财政拨款</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26</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二、政府性基金预算财政拨款</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27</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33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29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506"/>
        <w:gridCol w:w="240"/>
        <w:gridCol w:w="240"/>
        <w:gridCol w:w="2017"/>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5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98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1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98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8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10.00</w:t>
            </w: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w:t>
            </w: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文化旅游体育与传媒支出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w:t>
            </w: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文化和旅游</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2070101</w:t>
            </w: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44.33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2070199</w:t>
            </w: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18"/>
                <w:szCs w:val="18"/>
                <w:u w:val="none"/>
                <w:lang w:val="en-US" w:eastAsia="zh-CN" w:bidi="ar"/>
              </w:rPr>
              <w:t xml:space="preserve">  其他文化和旅游支出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8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sz w:val="22"/>
          <w:szCs w:val="22"/>
        </w:rPr>
        <w:t>注：本表反映部门本年度一般公共预算财政拨款支出情况。</w:t>
      </w:r>
      <w:r>
        <w:br w:type="page"/>
      </w:r>
    </w:p>
    <w:tbl>
      <w:tblPr>
        <w:tblStyle w:val="6"/>
        <w:tblW w:w="9235" w:type="dxa"/>
        <w:jc w:val="center"/>
        <w:tblLayout w:type="fixed"/>
        <w:tblCellMar>
          <w:top w:w="0" w:type="dxa"/>
          <w:left w:w="0" w:type="dxa"/>
          <w:bottom w:w="0" w:type="dxa"/>
          <w:right w:w="0" w:type="dxa"/>
        </w:tblCellMar>
      </w:tblPr>
      <w:tblGrid>
        <w:gridCol w:w="618"/>
        <w:gridCol w:w="1845"/>
        <w:gridCol w:w="855"/>
        <w:gridCol w:w="765"/>
        <w:gridCol w:w="1395"/>
        <w:gridCol w:w="750"/>
        <w:gridCol w:w="615"/>
        <w:gridCol w:w="1815"/>
        <w:gridCol w:w="577"/>
      </w:tblGrid>
      <w:tr>
        <w:tblPrEx>
          <w:tblCellMar>
            <w:top w:w="0" w:type="dxa"/>
            <w:left w:w="0" w:type="dxa"/>
            <w:bottom w:w="0" w:type="dxa"/>
            <w:right w:w="0" w:type="dxa"/>
          </w:tblCellMar>
        </w:tblPrEx>
        <w:trPr>
          <w:trHeight w:val="444" w:hRule="atLeast"/>
          <w:jc w:val="center"/>
        </w:trPr>
        <w:tc>
          <w:tcPr>
            <w:tcW w:w="9235"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162" w:hRule="atLeast"/>
          <w:jc w:val="center"/>
        </w:trPr>
        <w:tc>
          <w:tcPr>
            <w:tcW w:w="6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9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99" w:hRule="atLeast"/>
          <w:jc w:val="center"/>
        </w:trPr>
        <w:tc>
          <w:tcPr>
            <w:tcW w:w="9235" w:type="dxa"/>
            <w:gridSpan w:val="9"/>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22" w:hRule="atLeast"/>
          <w:jc w:val="center"/>
        </w:trPr>
        <w:tc>
          <w:tcPr>
            <w:tcW w:w="33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5917"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61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科目</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编码</w:t>
            </w:r>
          </w:p>
        </w:tc>
        <w:tc>
          <w:tcPr>
            <w:tcW w:w="18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科目</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编码</w:t>
            </w:r>
          </w:p>
        </w:tc>
        <w:tc>
          <w:tcPr>
            <w:tcW w:w="13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7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c>
          <w:tcPr>
            <w:tcW w:w="61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科目</w:t>
            </w:r>
          </w:p>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编码</w:t>
            </w:r>
          </w:p>
        </w:tc>
        <w:tc>
          <w:tcPr>
            <w:tcW w:w="181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科目名称</w:t>
            </w:r>
          </w:p>
        </w:tc>
        <w:tc>
          <w:tcPr>
            <w:tcW w:w="5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决算数</w:t>
            </w:r>
          </w:p>
        </w:tc>
      </w:tr>
      <w:tr>
        <w:tblPrEx>
          <w:tblCellMar>
            <w:top w:w="0" w:type="dxa"/>
            <w:left w:w="0" w:type="dxa"/>
            <w:bottom w:w="0" w:type="dxa"/>
            <w:right w:w="0" w:type="dxa"/>
          </w:tblCellMar>
        </w:tblPrEx>
        <w:trPr>
          <w:trHeight w:val="312" w:hRule="atLeast"/>
          <w:jc w:val="center"/>
        </w:trPr>
        <w:tc>
          <w:tcPr>
            <w:tcW w:w="61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工资福利支出</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39.70</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商品和服务支出</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4.64</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债务利息及费用支出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30101</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基本工资</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11.83</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30201</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办公费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0.60</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30701</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国内债务付息</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30102</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津贴补贴</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10.49</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30202</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印刷费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30702</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国外债务付息</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30103</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奖金</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0.71</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30203</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咨询费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资本性支出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30106</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伙食补助费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30204</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手续费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31001</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房屋建筑物购建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30107</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绩效工资</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30205</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水费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31002</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办公设备购置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95"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30108</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机关事业单位基本养老保险缴费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3.29</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30206</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电费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31003</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专用设备购置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30109</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职业年金缴费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30207</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邮电费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1.70</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31005</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基础设施建设</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80"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30110</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职工基本医疗保险缴费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1.58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30208</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取暖费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31006</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大型修缮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47"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30111</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公务员医疗补助缴费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1.28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30209</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物业管理费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31007</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信息网络及软件购置更新</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30112</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其他社会保障缴费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0.17</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30211</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差旅费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31008</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物资储备</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65"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30113</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住房公积金</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2.87</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30212</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因公出国（境）费用</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31009</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土地补偿</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30114</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医疗费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30213</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维修（护）费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31010</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安置补助</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65"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30199</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其他工资福利支出</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7.48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30214</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租赁费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31011</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地上附着物和青苗补偿</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对个人和家庭的补助</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30215</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会议费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31012</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拆迁补偿</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30301</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离休费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30216</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培训费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31013</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公务用车购置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37"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30302</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退休费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公务接待费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31019</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其他交通工具购置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30303</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退职（役）费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30218</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专用材料费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31021</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文物和陈列品购置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5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30304</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抚恤金</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30224</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被装购置费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31022</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无形资产购置</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30305</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生活补助</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30225</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专用燃料费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31099</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其他资本性支出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30306</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救济费</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30226</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劳务费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30307</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医疗费补助</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30227</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委托业务费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39906</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赠与</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30308</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助学金</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30228</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工会经费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0.19</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39907</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国家赔偿费用支出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0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30309</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奖励金</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30229</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福利费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0.19</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39908</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对民间非营利组织和群众性自治组织补贴</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48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30310</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个人农业生产补贴</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30231</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公务用车运行维护费</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39999</w:t>
            </w: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其他支出</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62"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30399</w:t>
            </w: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其他对个人和家庭的补助</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30239</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其他交通费用</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1.96</w:t>
            </w: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87"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30240</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税金及附加费用</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260" w:hRule="atLeast"/>
          <w:jc w:val="center"/>
        </w:trPr>
        <w:tc>
          <w:tcPr>
            <w:tcW w:w="61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30299</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其他商品和服务支出</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6"/>
                <w:szCs w:val="16"/>
              </w:rPr>
            </w:pPr>
          </w:p>
        </w:tc>
        <w:tc>
          <w:tcPr>
            <w:tcW w:w="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18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16"/>
                <w:szCs w:val="16"/>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17" w:hRule="atLeast"/>
          <w:jc w:val="center"/>
        </w:trPr>
        <w:tc>
          <w:tcPr>
            <w:tcW w:w="246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szCs w:val="22"/>
              </w:rPr>
            </w:pPr>
            <w:r>
              <w:rPr>
                <w:rFonts w:hint="eastAsia" w:ascii="宋体" w:hAnsi="宋体" w:eastAsia="宋体" w:cs="宋体"/>
                <w:i w:val="0"/>
                <w:color w:val="000000"/>
                <w:kern w:val="0"/>
                <w:sz w:val="22"/>
                <w:szCs w:val="22"/>
                <w:u w:val="none"/>
                <w:lang w:val="en-US" w:eastAsia="zh-CN" w:bidi="ar"/>
              </w:rPr>
              <w:t>39.70</w:t>
            </w:r>
          </w:p>
        </w:tc>
        <w:tc>
          <w:tcPr>
            <w:tcW w:w="5340"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jc w:val="center"/>
        </w:trPr>
        <w:tc>
          <w:tcPr>
            <w:tcW w:w="9235" w:type="dxa"/>
            <w:gridSpan w:val="9"/>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w:t>
      </w:r>
      <w:r>
        <w:rPr>
          <w:rFonts w:hint="eastAsia" w:ascii="宋体" w:hAnsi="宋体" w:eastAsia="宋体" w:cs="宋体"/>
          <w:b w:val="0"/>
          <w:bCs w:val="0"/>
        </w:rPr>
        <w:t>排的实际支出</w:t>
      </w:r>
      <w:r>
        <w:rPr>
          <w:rFonts w:hint="eastAsia" w:ascii="宋体" w:hAnsi="宋体" w:eastAsia="宋体" w:cs="宋体"/>
          <w:b w:val="0"/>
          <w:bCs w:val="0"/>
          <w:lang w:eastAsia="zh-CN"/>
        </w:rPr>
        <w:t>。本部门本年度无“三公”经费支出预决算情况，按要求以空表列示。</w:t>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i w:val="0"/>
                <w:color w:val="000000"/>
                <w:kern w:val="0"/>
                <w:sz w:val="20"/>
                <w:szCs w:val="20"/>
                <w:u w:val="none"/>
                <w:lang w:val="en-US" w:eastAsia="zh-CN" w:bidi="ar"/>
              </w:rPr>
              <w:t>石家庄市藁城区文学艺术界联合会</w:t>
            </w:r>
          </w:p>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val="0"/>
                <w:bCs w:val="0"/>
                <w:color w:val="000000"/>
                <w:sz w:val="22"/>
              </w:rPr>
            </w:pPr>
            <w:r>
              <w:rPr>
                <w:rFonts w:hint="eastAsia" w:ascii="宋体" w:hAnsi="宋体" w:eastAsia="宋体" w:cs="宋体"/>
                <w:b w:val="0"/>
                <w:bCs w:val="0"/>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val="0"/>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val="0"/>
                <w:bCs w:val="0"/>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val="0"/>
                <w:bCs w:val="0"/>
                <w:color w:val="000000"/>
                <w:sz w:val="22"/>
                <w:lang w:val="en-US" w:eastAsia="zh-CN"/>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6D96B4A8"/>
    <w:multiLevelType w:val="singleLevel"/>
    <w:tmpl w:val="6D96B4A8"/>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BC208F"/>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C0530C"/>
    <w:rsid w:val="01C443AE"/>
    <w:rsid w:val="04A07EE7"/>
    <w:rsid w:val="04D66679"/>
    <w:rsid w:val="05B00A30"/>
    <w:rsid w:val="070E0296"/>
    <w:rsid w:val="08A42F3B"/>
    <w:rsid w:val="09300475"/>
    <w:rsid w:val="0B011416"/>
    <w:rsid w:val="0E9D5BCE"/>
    <w:rsid w:val="0F365934"/>
    <w:rsid w:val="10026A93"/>
    <w:rsid w:val="13404492"/>
    <w:rsid w:val="1361290C"/>
    <w:rsid w:val="15983BAE"/>
    <w:rsid w:val="174F0D9E"/>
    <w:rsid w:val="17B34A32"/>
    <w:rsid w:val="18566F73"/>
    <w:rsid w:val="185D08B3"/>
    <w:rsid w:val="19555AAF"/>
    <w:rsid w:val="1CBB7F42"/>
    <w:rsid w:val="201015C0"/>
    <w:rsid w:val="213C76CF"/>
    <w:rsid w:val="21DA107B"/>
    <w:rsid w:val="222553DC"/>
    <w:rsid w:val="24F35C87"/>
    <w:rsid w:val="25FC6F11"/>
    <w:rsid w:val="260C7887"/>
    <w:rsid w:val="290735FE"/>
    <w:rsid w:val="2AC00A29"/>
    <w:rsid w:val="2B0D1A24"/>
    <w:rsid w:val="2C850E26"/>
    <w:rsid w:val="2CCF24CD"/>
    <w:rsid w:val="2F4E7EE0"/>
    <w:rsid w:val="2FBC52AE"/>
    <w:rsid w:val="2FC87069"/>
    <w:rsid w:val="30C8355F"/>
    <w:rsid w:val="319E21F4"/>
    <w:rsid w:val="31C2036A"/>
    <w:rsid w:val="320D02A5"/>
    <w:rsid w:val="32B142E6"/>
    <w:rsid w:val="32E96052"/>
    <w:rsid w:val="34176D95"/>
    <w:rsid w:val="348E566F"/>
    <w:rsid w:val="34977AC8"/>
    <w:rsid w:val="34B3092A"/>
    <w:rsid w:val="362C4AEC"/>
    <w:rsid w:val="393D065C"/>
    <w:rsid w:val="398A717F"/>
    <w:rsid w:val="39AF111C"/>
    <w:rsid w:val="3A226944"/>
    <w:rsid w:val="3AEA518D"/>
    <w:rsid w:val="3AEE6A48"/>
    <w:rsid w:val="3BFC13CB"/>
    <w:rsid w:val="3C1620AA"/>
    <w:rsid w:val="3D8F080F"/>
    <w:rsid w:val="3DB52857"/>
    <w:rsid w:val="3DCB6192"/>
    <w:rsid w:val="3DE15DEE"/>
    <w:rsid w:val="3DE64827"/>
    <w:rsid w:val="3F4D17AE"/>
    <w:rsid w:val="40573086"/>
    <w:rsid w:val="4063654F"/>
    <w:rsid w:val="416572EF"/>
    <w:rsid w:val="43054526"/>
    <w:rsid w:val="44CE1FA4"/>
    <w:rsid w:val="45615B7B"/>
    <w:rsid w:val="485861C9"/>
    <w:rsid w:val="485F1992"/>
    <w:rsid w:val="487F73ED"/>
    <w:rsid w:val="4A347EAE"/>
    <w:rsid w:val="4BD86CE5"/>
    <w:rsid w:val="4D384907"/>
    <w:rsid w:val="4E8F285E"/>
    <w:rsid w:val="4FF86824"/>
    <w:rsid w:val="519D6BDB"/>
    <w:rsid w:val="52600405"/>
    <w:rsid w:val="529B4319"/>
    <w:rsid w:val="531B0356"/>
    <w:rsid w:val="53264FC4"/>
    <w:rsid w:val="54674A3B"/>
    <w:rsid w:val="55961AF9"/>
    <w:rsid w:val="559F6E78"/>
    <w:rsid w:val="55A17CAF"/>
    <w:rsid w:val="562D39BE"/>
    <w:rsid w:val="57773DD6"/>
    <w:rsid w:val="578B79AB"/>
    <w:rsid w:val="57BA3405"/>
    <w:rsid w:val="58F643AB"/>
    <w:rsid w:val="59512CA4"/>
    <w:rsid w:val="5CCD3FD5"/>
    <w:rsid w:val="5DB228E8"/>
    <w:rsid w:val="5E29157D"/>
    <w:rsid w:val="60007752"/>
    <w:rsid w:val="605106FB"/>
    <w:rsid w:val="61B61031"/>
    <w:rsid w:val="61DD4996"/>
    <w:rsid w:val="61FA5F9D"/>
    <w:rsid w:val="631D4871"/>
    <w:rsid w:val="634D2CA6"/>
    <w:rsid w:val="6437319D"/>
    <w:rsid w:val="64CD6910"/>
    <w:rsid w:val="65140D5A"/>
    <w:rsid w:val="65C44196"/>
    <w:rsid w:val="66B94B62"/>
    <w:rsid w:val="677C67DC"/>
    <w:rsid w:val="6789158D"/>
    <w:rsid w:val="67D81BA4"/>
    <w:rsid w:val="6AAF1C96"/>
    <w:rsid w:val="6BC95F05"/>
    <w:rsid w:val="6C8F7AAB"/>
    <w:rsid w:val="6DEA130C"/>
    <w:rsid w:val="6ED5722F"/>
    <w:rsid w:val="75681757"/>
    <w:rsid w:val="75A346A8"/>
    <w:rsid w:val="7863469D"/>
    <w:rsid w:val="79194C96"/>
    <w:rsid w:val="798D0C8E"/>
    <w:rsid w:val="799018EB"/>
    <w:rsid w:val="79B9382C"/>
    <w:rsid w:val="7A673F8A"/>
    <w:rsid w:val="7A6845DE"/>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图1：支出构成情况（按支出 性质）</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15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8</a:t>
                    </a:r>
                    <a:r>
                      <a:rPr lang="en-US" altLang="zh-CN"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1.59</a:t>
                    </a:r>
                    <a:r>
                      <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a:t>
                    </a:r>
                    <a:endPar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endParaRP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manualLayout>
                  <c:x val="0.0803809567086737"/>
                  <c:y val="0.179535060038921"/>
                </c:manualLayout>
              </c:layout>
              <c:tx>
                <c:rich>
                  <a:bodyPr rot="0" spcFirstLastPara="0" vertOverflow="ellipsis" vert="horz" wrap="square" lIns="38100" tIns="19050" rIns="38100" bIns="19050" anchor="ctr" anchorCtr="1"/>
                  <a:lstStyle/>
                  <a:p>
                    <a:pPr defTabSz="914400">
                      <a:defRPr lang="zh-CN" sz="15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18</a:t>
                    </a:r>
                    <a:r>
                      <a:rPr lang="en-US" altLang="zh-CN"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.41</a:t>
                    </a:r>
                    <a:r>
                      <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rPr>
                      <a:t>%</a:t>
                    </a:r>
                    <a:endParaRPr sz="150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endParaRP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5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44.33</c:v>
                </c:pt>
                <c:pt idx="1">
                  <c:v>10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latin typeface="微软雅黑" panose="020B0503020204020204" pitchFamily="2" charset="-122"/>
                <a:ea typeface="微软雅黑" panose="020B0503020204020204" pitchFamily="2" charset="-122"/>
                <a:cs typeface="微软雅黑" panose="020B0503020204020204" pitchFamily="2" charset="-122"/>
              </a:rPr>
              <a:t>图</a:t>
            </a:r>
            <a:r>
              <a:rPr lang="en-US" altLang="zh-CN" sz="1200">
                <a:latin typeface="微软雅黑" panose="020B0503020204020204" pitchFamily="2" charset="-122"/>
                <a:ea typeface="微软雅黑" panose="020B0503020204020204" pitchFamily="2" charset="-122"/>
                <a:cs typeface="微软雅黑" panose="020B0503020204020204" pitchFamily="2" charset="-122"/>
              </a:rPr>
              <a:t>2</a:t>
            </a:r>
            <a:r>
              <a:rPr altLang="en-US" sz="1200">
                <a:latin typeface="微软雅黑" panose="020B0503020204020204" pitchFamily="2" charset="-122"/>
                <a:ea typeface="微软雅黑" panose="020B0503020204020204" pitchFamily="2" charset="-122"/>
                <a:cs typeface="微软雅黑" panose="020B0503020204020204" pitchFamily="2" charset="-122"/>
              </a:rPr>
              <a:t>：</a:t>
            </a:r>
            <a:r>
              <a:rPr lang="en-US" altLang="zh-CN" sz="1200">
                <a:latin typeface="微软雅黑" panose="020B0503020204020204" pitchFamily="2" charset="-122"/>
                <a:ea typeface="微软雅黑" panose="020B0503020204020204" pitchFamily="2" charset="-122"/>
                <a:cs typeface="微软雅黑" panose="020B0503020204020204" pitchFamily="2" charset="-122"/>
              </a:rPr>
              <a:t>2018-2019</a:t>
            </a:r>
            <a:r>
              <a:rPr altLang="en-US" sz="1200">
                <a:latin typeface="微软雅黑" panose="020B0503020204020204" pitchFamily="2" charset="-122"/>
                <a:ea typeface="微软雅黑" panose="020B0503020204020204" pitchFamily="2" charset="-122"/>
                <a:cs typeface="微软雅黑" panose="020B0503020204020204" pitchFamily="2" charset="-122"/>
              </a:rPr>
              <a:t>年度财政拨款收支对比</a:t>
            </a:r>
            <a:r>
              <a:rPr altLang="en-US"/>
              <a:t> （</a:t>
            </a:r>
            <a:r>
              <a:rPr altLang="en-US" sz="1050">
                <a:latin typeface="微软雅黑" panose="020B0503020204020204" pitchFamily="2" charset="-122"/>
                <a:ea typeface="微软雅黑" panose="020B0503020204020204" pitchFamily="2" charset="-122"/>
              </a:rPr>
              <a:t>单位：万）</a:t>
            </a:r>
            <a:endParaRPr altLang="en-US" sz="1050">
              <a:latin typeface="微软雅黑" panose="020B0503020204020204" pitchFamily="2" charset="-122"/>
              <a:ea typeface="微软雅黑" panose="020B0503020204020204" pitchFamily="2"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37.43</c:v>
                </c:pt>
                <c:pt idx="1">
                  <c:v>37.43</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54.33</c:v>
                </c:pt>
                <c:pt idx="1">
                  <c:v>54.33</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latin typeface="微软雅黑" panose="020B0503020204020204" pitchFamily="2" charset="-122"/>
                <a:ea typeface="微软雅黑" panose="020B0503020204020204" pitchFamily="2" charset="-122"/>
                <a:cs typeface="微软雅黑" panose="020B0503020204020204" pitchFamily="2" charset="-122"/>
              </a:rPr>
              <a:t>图</a:t>
            </a:r>
            <a:r>
              <a:rPr lang="en-US" altLang="zh-CN" sz="1200">
                <a:latin typeface="微软雅黑" panose="020B0503020204020204" pitchFamily="2" charset="-122"/>
                <a:ea typeface="微软雅黑" panose="020B0503020204020204" pitchFamily="2" charset="-122"/>
                <a:cs typeface="微软雅黑" panose="020B0503020204020204" pitchFamily="2" charset="-122"/>
              </a:rPr>
              <a:t>3</a:t>
            </a:r>
            <a:r>
              <a:rPr altLang="en-US" sz="1200">
                <a:latin typeface="微软雅黑" panose="020B0503020204020204" pitchFamily="2" charset="-122"/>
                <a:ea typeface="微软雅黑" panose="020B0503020204020204" pitchFamily="2" charset="-122"/>
                <a:cs typeface="微软雅黑" panose="020B0503020204020204" pitchFamily="2" charset="-122"/>
              </a:rPr>
              <a:t>：财政拨款收支与预算对比</a:t>
            </a:r>
            <a:r>
              <a:rPr altLang="en-US"/>
              <a:t>        （</a:t>
            </a:r>
            <a:r>
              <a:rPr altLang="en-US" sz="1050">
                <a:latin typeface="微软雅黑" panose="020B0503020204020204" pitchFamily="2" charset="-122"/>
                <a:ea typeface="微软雅黑" panose="020B0503020204020204" pitchFamily="2" charset="-122"/>
              </a:rPr>
              <a:t>单位：万）</a:t>
            </a:r>
            <a:endParaRPr altLang="en-US" sz="1050">
              <a:latin typeface="微软雅黑" panose="020B0503020204020204" pitchFamily="2" charset="-122"/>
              <a:ea typeface="微软雅黑" panose="020B0503020204020204" pitchFamily="2"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44.61</c:v>
                </c:pt>
                <c:pt idx="1">
                  <c:v>44.61</c:v>
                </c:pt>
              </c:numCache>
            </c:numRef>
          </c:val>
        </c:ser>
        <c:ser>
          <c:idx val="1"/>
          <c:order val="1"/>
          <c:tx>
            <c:strRef>
              <c:f>Sheet1!$C$1</c:f>
              <c:strCache>
                <c:ptCount val="1"/>
                <c:pt idx="0">
                  <c:v>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54.33</c:v>
                </c:pt>
                <c:pt idx="1">
                  <c:v>54.33</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32</TotalTime>
  <ScaleCrop>false</ScaleCrop>
  <LinksUpToDate>false</LinksUpToDate>
  <CharactersWithSpaces>11119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2021-05-20T06:30:49Z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F197F6DEE3C84266B43BBF7E22373B82</vt:lpwstr>
  </property>
</Properties>
</file>