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藁城区南营镇人民政府</w:t>
      </w:r>
    </w:p>
    <w:p>
      <w:pPr>
        <w:snapToGrid w:val="0"/>
        <w:jc w:val="center"/>
        <w:rPr>
          <w:rFonts w:ascii="楷体_GB2312" w:hAnsi="楷体_GB2312" w:eastAsia="楷体_GB2312" w:cs="楷体_GB2312"/>
          <w:color w:val="000000" w:themeColor="text1"/>
          <w:kern w:val="0"/>
          <w:sz w:val="44"/>
          <w:szCs w:val="44"/>
          <w:highlight w:val="none"/>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highlight w:val="none"/>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highlight w:val="none"/>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6"/>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2</w:t>
      </w:r>
      <w:r>
        <w:rPr>
          <w:rFonts w:hint="eastAsia" w:ascii="仿宋_GB2312" w:hAnsi="Calibri" w:eastAsia="仿宋_GB2312" w:cs="ArialUnicodeMS"/>
          <w:kern w:val="0"/>
          <w:sz w:val="32"/>
          <w:szCs w:val="32"/>
        </w:rPr>
        <w:t>个，具体情况如下：一、部门职责</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(一)</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政务管理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依法依规履行机关日常管理职责。依法依规履行机关日常管理职责，确保政府工作正常运行。</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(二)</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应急管理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保证镇政府值班工作，及时报告重要情况，传达和督促落实镇党委、政府领导指示。有效保证镇政府日常应急值守和突发事件应对处置工作；完善应急预案体系建设，确保遇突发事件能够有效应对。</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(三)</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维护社会稳定和国家安全</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(四)</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推动经济发展，完善基础设施，惠及民生。承担经济发展和民生改善培育支柱产业，加强基础设施建设和新型农村服务体系建设。落实安全生产责任制，搞好农业新技术示范推广。</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(五)</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社会救助政策及管理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承担社会救助体系建设，负责农村居民最低生活保障、五保供养、医疗救助。完善农村社会救助制度，实施分类救助，应保尽保,动态管理。</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(六)</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计生政策落实</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提供各类计划生育技术服务，建立利益导向机制，开展出生人口性别比治理以及流动人口计划生育管理等各项工作。保障计生法律法规落实。</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稳定适度的低生育水平，有效保障计划生育家庭生活水平，提高妇女生殖健康水平，降低出生缺陷的发生，有效遏制出生人口性别比偏高问题。保障计生法律法规落实。</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(七)</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计生服务</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开展计划生育各种知识宣传和咨询服务</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以提高育龄群众对计划生育认知能力为目标，开展计划生育各种知识宣传和咨询服务。</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(八)</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预算管理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负责镇财政预算管理与执行保证镇机关正常运转</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(九)</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财务管理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负责镇机关收支活动，组织实施镇财务核算及监督工作</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以收定支，合理安排支出，严防出现资金支出不规范现象发生。</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(十)</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村财镇代管</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负责村级财务核算及监督工作</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对村级财务进行规范化管理，严防支出票据不规范现象发生。</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(十一)</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涉农资金</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负责涉农资金的落实，将各项涉农资金兑付落实，监督管理资金的合理有效使用。</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(十二)</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国有资产管理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负责管理镇国有资产，加强国有资产管理，严防国有资产流失</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(十三)</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债权债务管理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实施债权债务监督管理，实施债权债务监督管理，杜绝增加政府债务</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(十四)</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完善农村土地经营管理体制</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推进农村集体产权制度改革，完善农村土地承包制度，引导农村土地合理流转。创新农业经营主体。规范流转行为，优化资源配置，促进农民专业合作经济组织健康发展，加快新农村建设和城镇化进程。</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(十五)</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推动文化发展</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运用多种文化艺术手段，开展丰富多彩群众活动。运用多种文化艺术手段，丰富群众文化、提高农民基本素质</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(十六)</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农村管理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对各行政村村容村貌及卫生维护提升，农村卫生长效管理机制</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(十七)</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政务管理</w:t>
      </w:r>
      <w:r>
        <w:rPr>
          <w:rFonts w:hint="eastAsia" w:ascii="仿宋_GB2312" w:hAnsi="Calibri" w:eastAsia="仿宋_GB2312" w:cs="ArialUnicodeMS"/>
          <w:kern w:val="0"/>
          <w:sz w:val="32"/>
          <w:szCs w:val="32"/>
        </w:rPr>
        <w:tab/>
      </w:r>
      <w:r>
        <w:rPr>
          <w:rFonts w:hint="eastAsia" w:ascii="仿宋_GB2312" w:hAnsi="Calibri" w:eastAsia="仿宋_GB2312" w:cs="ArialUnicodeMS"/>
          <w:kern w:val="0"/>
          <w:sz w:val="32"/>
          <w:szCs w:val="32"/>
        </w:rPr>
        <w:t>加强对社会关注关系民生的社会事管理，抓好土地、环保、安全生产、食品安全、社会环境等的治理</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8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center"/>
          </w:tcPr>
          <w:p>
            <w:pPr>
              <w:spacing w:line="300" w:lineRule="exact"/>
              <w:jc w:val="left"/>
              <w:rPr>
                <w:rFonts w:ascii="仿宋_GB2312" w:hAnsi="Calibri" w:eastAsia="仿宋_GB2312" w:cs="ArialUnicodeMS"/>
                <w:kern w:val="0"/>
                <w:sz w:val="28"/>
                <w:szCs w:val="28"/>
              </w:rPr>
            </w:pPr>
            <w:r>
              <w:rPr>
                <w:rFonts w:hint="eastAsia" w:ascii="方正书宋_GBK" w:eastAsia="方正书宋_GBK"/>
              </w:rPr>
              <w:t>石家庄市藁城区南营镇人民政府</w:t>
            </w:r>
          </w:p>
        </w:tc>
        <w:tc>
          <w:tcPr>
            <w:tcW w:w="2445" w:type="dxa"/>
            <w:vAlign w:val="center"/>
          </w:tcPr>
          <w:p>
            <w:pPr>
              <w:spacing w:line="300" w:lineRule="exact"/>
              <w:jc w:val="center"/>
              <w:rPr>
                <w:rFonts w:ascii="仿宋_GB2312" w:hAnsi="Calibri" w:eastAsia="仿宋_GB2312" w:cs="ArialUnicodeMS"/>
                <w:kern w:val="0"/>
                <w:sz w:val="28"/>
                <w:szCs w:val="28"/>
              </w:rPr>
            </w:pPr>
            <w:r>
              <w:rPr>
                <w:rFonts w:hint="eastAsia" w:ascii="方正书宋_GBK" w:eastAsia="方正书宋_GBK"/>
              </w:rPr>
              <w:t>行政</w:t>
            </w:r>
          </w:p>
        </w:tc>
        <w:tc>
          <w:tcPr>
            <w:tcW w:w="2665" w:type="dxa"/>
            <w:vAlign w:val="center"/>
          </w:tcPr>
          <w:p>
            <w:pPr>
              <w:spacing w:line="300" w:lineRule="exact"/>
              <w:jc w:val="center"/>
              <w:rPr>
                <w:rFonts w:ascii="仿宋_GB2312" w:hAnsi="Calibri" w:eastAsia="仿宋_GB2312" w:cs="ArialUnicodeMS"/>
                <w:kern w:val="0"/>
                <w:sz w:val="28"/>
                <w:szCs w:val="28"/>
              </w:rPr>
            </w:pPr>
            <w:r>
              <w:rPr>
                <w:rFonts w:hint="eastAsia" w:ascii="方正书宋_GBK" w:eastAsia="方正书宋_GBK"/>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vAlign w:val="center"/>
          </w:tcPr>
          <w:p>
            <w:pPr>
              <w:spacing w:line="300" w:lineRule="exact"/>
              <w:jc w:val="left"/>
              <w:rPr>
                <w:rFonts w:ascii="仿宋_GB2312" w:hAnsi="Calibri" w:eastAsia="仿宋_GB2312" w:cs="ArialUnicodeMS"/>
                <w:kern w:val="0"/>
                <w:sz w:val="28"/>
                <w:szCs w:val="28"/>
              </w:rPr>
            </w:pPr>
            <w:r>
              <w:rPr>
                <w:rFonts w:hint="eastAsia" w:ascii="方正书宋_GBK" w:eastAsia="方正书宋_GBK"/>
              </w:rPr>
              <w:t>石家庄市藁城区南营镇中心校</w:t>
            </w:r>
          </w:p>
        </w:tc>
        <w:tc>
          <w:tcPr>
            <w:tcW w:w="2445" w:type="dxa"/>
            <w:vAlign w:val="center"/>
          </w:tcPr>
          <w:p>
            <w:pPr>
              <w:spacing w:line="300" w:lineRule="exact"/>
              <w:jc w:val="center"/>
              <w:rPr>
                <w:rFonts w:ascii="仿宋_GB2312" w:hAnsi="Calibri" w:eastAsia="仿宋_GB2312" w:cs="ArialUnicodeMS"/>
                <w:kern w:val="0"/>
                <w:sz w:val="28"/>
                <w:szCs w:val="28"/>
              </w:rPr>
            </w:pPr>
            <w:r>
              <w:rPr>
                <w:rFonts w:hint="eastAsia" w:ascii="方正书宋_GBK" w:eastAsia="方正书宋_GBK"/>
              </w:rPr>
              <w:t>事业</w:t>
            </w:r>
          </w:p>
        </w:tc>
        <w:tc>
          <w:tcPr>
            <w:tcW w:w="2665" w:type="dxa"/>
            <w:vAlign w:val="center"/>
          </w:tcPr>
          <w:p>
            <w:pPr>
              <w:spacing w:line="300" w:lineRule="exact"/>
              <w:jc w:val="center"/>
              <w:rPr>
                <w:rFonts w:ascii="仿宋_GB2312" w:hAnsi="Calibri" w:eastAsia="仿宋_GB2312" w:cs="ArialUnicodeMS"/>
                <w:kern w:val="0"/>
                <w:sz w:val="28"/>
                <w:szCs w:val="28"/>
              </w:rPr>
            </w:pPr>
            <w:r>
              <w:rPr>
                <w:rFonts w:hint="eastAsia" w:ascii="方正书宋_GBK" w:eastAsia="方正书宋_GBK"/>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highlight w:val="none"/>
              </w:rPr>
            </w:pPr>
            <w:r>
              <w:rPr>
                <w:rFonts w:hint="eastAsia" w:ascii="仿宋_GB2312" w:hAnsi="Calibri" w:eastAsia="仿宋_GB2312" w:cs="ArialUnicodeMS"/>
                <w:kern w:val="0"/>
                <w:sz w:val="28"/>
                <w:szCs w:val="28"/>
                <w:highlight w:val="none"/>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highlight w:val="none"/>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440" w:firstLineChars="200"/>
        <w:rPr>
          <w:sz w:val="72"/>
        </w:r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after="160" w:line="580" w:lineRule="exact"/>
        <w:ind w:firstLine="1440" w:firstLineChars="200"/>
        <w:rPr>
          <w:rFonts w:ascii="黑体" w:hAnsi="黑体" w:eastAsia="黑体" w:cs="黑体"/>
          <w:sz w:val="56"/>
          <w:szCs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052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4216.99</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1701.99</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28.75</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财政收入减少，人员及项目支出减少。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4216.99</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4216.99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74624" behindDoc="0" locked="0" layoutInCell="1" allowOverlap="1">
            <wp:simplePos x="0" y="0"/>
            <wp:positionH relativeFrom="column">
              <wp:posOffset>716915</wp:posOffset>
            </wp:positionH>
            <wp:positionV relativeFrom="paragraph">
              <wp:posOffset>38100</wp:posOffset>
            </wp:positionV>
            <wp:extent cx="3953510" cy="1953895"/>
            <wp:effectExtent l="4445" t="4445" r="23495" b="22860"/>
            <wp:wrapNone/>
            <wp:docPr id="2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4091.36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3981.36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97.3</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110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2.7</w:t>
      </w:r>
      <w:r>
        <w:rPr>
          <w:rFonts w:hint="eastAsia" w:ascii="仿宋_GB2312" w:hAnsi="Times New Roman"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75648" behindDoc="0" locked="0" layoutInCell="1" allowOverlap="1">
            <wp:simplePos x="0" y="0"/>
            <wp:positionH relativeFrom="column">
              <wp:posOffset>586740</wp:posOffset>
            </wp:positionH>
            <wp:positionV relativeFrom="paragraph">
              <wp:posOffset>54610</wp:posOffset>
            </wp:positionV>
            <wp:extent cx="4030345" cy="2078990"/>
            <wp:effectExtent l="4445" t="4445" r="22860" b="12065"/>
            <wp:wrapNone/>
            <wp:docPr id="6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76672" behindDoc="0" locked="0" layoutInCell="1" allowOverlap="1">
            <wp:simplePos x="0" y="0"/>
            <wp:positionH relativeFrom="column">
              <wp:posOffset>162560</wp:posOffset>
            </wp:positionH>
            <wp:positionV relativeFrom="paragraph">
              <wp:posOffset>1835785</wp:posOffset>
            </wp:positionV>
            <wp:extent cx="5007610" cy="2087245"/>
            <wp:effectExtent l="5080" t="4445" r="16510" b="22860"/>
            <wp:wrapNone/>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4216.99</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1701.99</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28.75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一般公共预算收入减少，财力减少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4216.99</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1701.99</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28.75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人员及项目支出减少。</w:t>
      </w: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4600.06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91.6</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383.07</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一般公共预算收入减少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4600.06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91.6</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383.07</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人员及项目支出减少</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77696" behindDoc="0" locked="0" layoutInCell="1" allowOverlap="1">
            <wp:simplePos x="0" y="0"/>
            <wp:positionH relativeFrom="column">
              <wp:posOffset>563880</wp:posOffset>
            </wp:positionH>
            <wp:positionV relativeFrom="paragraph">
              <wp:posOffset>41275</wp:posOffset>
            </wp:positionV>
            <wp:extent cx="4572000" cy="2743200"/>
            <wp:effectExtent l="4445" t="4445" r="14605" b="14605"/>
            <wp:wrapNone/>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4091.36</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830.66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3260.7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78720" behindDoc="0" locked="0" layoutInCell="1" allowOverlap="1">
            <wp:simplePos x="0" y="0"/>
            <wp:positionH relativeFrom="column">
              <wp:posOffset>1004570</wp:posOffset>
            </wp:positionH>
            <wp:positionV relativeFrom="paragraph">
              <wp:posOffset>25400</wp:posOffset>
            </wp:positionV>
            <wp:extent cx="2707005" cy="2098675"/>
            <wp:effectExtent l="4445" t="4445" r="12700" b="11430"/>
            <wp:wrapNone/>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3981.36</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3833.97</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147.39</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3.42</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63</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1.98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37</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0.12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严格控制三公支出</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增长0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无相关</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Bold"/>
          <w:b/>
          <w:bCs/>
          <w:sz w:val="32"/>
          <w:szCs w:val="32"/>
          <w:lang w:eastAsia="zh-CN"/>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3.42</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0.98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严格控制公车使用，降低相关支出</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严格控制公车使用，降低公车支出。</w:t>
      </w:r>
    </w:p>
    <w:p>
      <w:pPr>
        <w:adjustRightInd w:val="0"/>
        <w:snapToGrid w:val="0"/>
        <w:spacing w:line="580" w:lineRule="exact"/>
        <w:ind w:firstLine="643" w:firstLineChars="200"/>
        <w:rPr>
          <w:rFonts w:hint="default" w:ascii="仿宋_GB2312" w:hAnsi="Times New Roman" w:eastAsia="仿宋_GB2312" w:cs="DengXian-Regular"/>
          <w:color w:val="000000"/>
          <w:sz w:val="32"/>
          <w:szCs w:val="32"/>
          <w:lang w:val="en-US" w:eastAsia="zh-CN"/>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w:t>
      </w:r>
      <w:r>
        <w:rPr>
          <w:rFonts w:hint="eastAsia" w:ascii="仿宋_GB2312" w:hAnsi="Times New Roman" w:eastAsia="仿宋_GB2312" w:cs="DengXian-Regular"/>
          <w:color w:val="auto"/>
          <w:sz w:val="32"/>
          <w:szCs w:val="32"/>
          <w:highlight w:val="none"/>
        </w:rPr>
        <w:t>长</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增长0</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auto"/>
          <w:sz w:val="32"/>
          <w:szCs w:val="32"/>
          <w:highlight w:val="none"/>
        </w:rPr>
        <w:t>主要是未发</w:t>
      </w:r>
      <w:r>
        <w:rPr>
          <w:rFonts w:hint="eastAsia" w:ascii="仿宋_GB2312" w:hAnsi="Times New Roman" w:eastAsia="仿宋_GB2312" w:cs="DengXian-Regular"/>
          <w:color w:val="auto"/>
          <w:sz w:val="32"/>
          <w:szCs w:val="32"/>
          <w:highlight w:val="none"/>
          <w:lang w:eastAsia="zh-CN"/>
        </w:rPr>
        <w:t>生公车购置</w:t>
      </w:r>
      <w:r>
        <w:rPr>
          <w:rFonts w:hint="eastAsia" w:ascii="仿宋_GB2312" w:hAnsi="Times New Roman" w:eastAsia="仿宋_GB2312" w:cs="DengXian-Regular"/>
          <w:color w:val="auto"/>
          <w:sz w:val="32"/>
          <w:szCs w:val="32"/>
          <w:highlight w:val="none"/>
          <w:lang w:val="en-US" w:eastAsia="zh-CN"/>
        </w:rPr>
        <w:t>。</w:t>
      </w:r>
    </w:p>
    <w:p>
      <w:pPr>
        <w:adjustRightInd w:val="0"/>
        <w:snapToGrid w:val="0"/>
        <w:spacing w:line="580" w:lineRule="exact"/>
        <w:ind w:firstLine="643" w:firstLineChars="200"/>
        <w:rPr>
          <w:rFonts w:hint="eastAsia" w:ascii="仿宋_GB2312" w:hAnsi="Times New Roman" w:eastAsia="仿宋_GB2312" w:cs="DengXian-Bold"/>
          <w:b/>
          <w:bCs/>
          <w:sz w:val="32"/>
          <w:szCs w:val="32"/>
          <w:lang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0.98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23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严格控制公车使用，降低相关支出</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rPr>
        <w:t>较</w:t>
      </w:r>
      <w:r>
        <w:rPr>
          <w:rFonts w:hint="eastAsia" w:ascii="仿宋_GB2312" w:hAnsi="Times New Roman" w:eastAsia="仿宋_GB2312" w:cs="DengXian-Regular"/>
          <w:sz w:val="32"/>
          <w:szCs w:val="32"/>
          <w:lang w:val="en-US" w:eastAsia="zh-CN"/>
        </w:rPr>
        <w:t>2018</w:t>
      </w:r>
      <w:r>
        <w:rPr>
          <w:rFonts w:hint="eastAsia" w:ascii="仿宋_GB2312" w:hAnsi="Times New Roman" w:eastAsia="仿宋_GB2312" w:cs="DengXian-Regular"/>
          <w:sz w:val="32"/>
          <w:szCs w:val="32"/>
        </w:rPr>
        <w:t>年减少</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严格控制公车使用，降低公车支出。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本年度无发生</w:t>
      </w:r>
      <w:r>
        <w:rPr>
          <w:rFonts w:hint="eastAsia" w:ascii="仿宋_GB2312" w:hAnsi="Times New Roman" w:eastAsia="仿宋_GB2312" w:cs="DengXian-Regular"/>
          <w:sz w:val="32"/>
          <w:szCs w:val="32"/>
        </w:rPr>
        <w:t>；较</w:t>
      </w:r>
      <w:r>
        <w:rPr>
          <w:rFonts w:hint="eastAsia" w:ascii="仿宋_GB2312" w:hAnsi="Times New Roman" w:eastAsia="仿宋_GB2312" w:cs="DengXian-Regular"/>
          <w:sz w:val="32"/>
          <w:szCs w:val="32"/>
          <w:lang w:val="en-US" w:eastAsia="zh-CN"/>
        </w:rPr>
        <w:t>2018年</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两年均为发生公务招待</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110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南营镇综合公用经费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学区工会费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110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eastAsia="zh-CN"/>
        </w:rPr>
        <w:t>南营镇绩效评价工作能够按照规定进行开展，各项指标设定能够符合项目实际，对提升项目绩效管理水平、预算管理水平起到一定支撑保障作用。</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本部门在今年部门决算公开中反映 </w:t>
      </w:r>
      <w:r>
        <w:rPr>
          <w:rFonts w:hint="eastAsia" w:ascii="仿宋_GB2312" w:hAnsi="仿宋_GB2312" w:eastAsia="仿宋_GB2312" w:cs="仿宋_GB2312"/>
          <w:sz w:val="32"/>
          <w:szCs w:val="32"/>
          <w:lang w:eastAsia="zh-CN"/>
        </w:rPr>
        <w:t>南营镇综合公用经费</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eastAsia="zh-CN"/>
        </w:rPr>
        <w:t>学区工会费</w:t>
      </w:r>
      <w:r>
        <w:rPr>
          <w:rFonts w:hint="eastAsia" w:ascii="仿宋_GB2312" w:hAnsi="仿宋_GB2312" w:eastAsia="仿宋_GB2312" w:cs="仿宋_GB2312"/>
          <w:sz w:val="32"/>
          <w:szCs w:val="32"/>
        </w:rPr>
        <w:t xml:space="preserve"> 项目等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南营镇综合公用经费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南营镇综合公用经费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提升村民生活水平</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改善农村环境、提高生态水平</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因彩礼有限，综合公用经费涵盖内容广，内容不够细化具体</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加强经费保障水平，二是，细化项目内容</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学区工会费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学区工会费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保障工会有效运转</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提高工会工作水平</w:t>
      </w:r>
      <w:r>
        <w:rPr>
          <w:rFonts w:hint="eastAsia" w:ascii="仿宋_GB2312" w:hAnsi="仿宋_GB2312" w:eastAsia="仿宋_GB2312" w:cs="仿宋_GB2312"/>
          <w:sz w:val="32"/>
          <w:szCs w:val="32"/>
        </w:rPr>
        <w:t>。发现的主要问题及原因：工会工作形式相对单一，活动内容活动形式需要提升。下一步改进措施：</w:t>
      </w:r>
      <w:r>
        <w:rPr>
          <w:rFonts w:hint="eastAsia" w:ascii="仿宋_GB2312" w:hAnsi="仿宋_GB2312" w:eastAsia="仿宋_GB2312" w:cs="仿宋_GB2312"/>
          <w:sz w:val="32"/>
          <w:szCs w:val="32"/>
          <w:lang w:eastAsia="zh-CN"/>
        </w:rPr>
        <w:t>改进工作做法、提升工会工作水平。</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政府工会费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政府工会费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保障工会有效运转</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提高工会工作水平</w:t>
      </w:r>
      <w:r>
        <w:rPr>
          <w:rFonts w:hint="eastAsia" w:ascii="仿宋_GB2312" w:hAnsi="仿宋_GB2312" w:eastAsia="仿宋_GB2312" w:cs="仿宋_GB2312"/>
          <w:sz w:val="32"/>
          <w:szCs w:val="32"/>
        </w:rPr>
        <w:t>。发现的主要问题及原因：工会工作形式相对单一，活动内容活动形式需要提升。下一步改进措施：</w:t>
      </w:r>
      <w:r>
        <w:rPr>
          <w:rFonts w:hint="eastAsia" w:ascii="仿宋_GB2312" w:hAnsi="仿宋_GB2312" w:eastAsia="仿宋_GB2312" w:cs="仿宋_GB2312"/>
          <w:sz w:val="32"/>
          <w:szCs w:val="32"/>
          <w:lang w:eastAsia="zh-CN"/>
        </w:rPr>
        <w:t>改进工作做法、提升工会工作水平。</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p>
    <w:tbl>
      <w:tblPr>
        <w:tblStyle w:val="6"/>
        <w:tblW w:w="8960" w:type="dxa"/>
        <w:tblInd w:w="93" w:type="dxa"/>
        <w:shd w:val="clear" w:color="auto" w:fill="auto"/>
        <w:tblLayout w:type="fixed"/>
        <w:tblCellMar>
          <w:top w:w="0" w:type="dxa"/>
          <w:left w:w="108" w:type="dxa"/>
          <w:bottom w:w="0" w:type="dxa"/>
          <w:right w:w="108" w:type="dxa"/>
        </w:tblCellMar>
      </w:tblPr>
      <w:tblGrid>
        <w:gridCol w:w="1056"/>
        <w:gridCol w:w="1287"/>
        <w:gridCol w:w="853"/>
        <w:gridCol w:w="1272"/>
        <w:gridCol w:w="1332"/>
        <w:gridCol w:w="1228"/>
        <w:gridCol w:w="656"/>
        <w:gridCol w:w="1276"/>
      </w:tblGrid>
      <w:tr>
        <w:tblPrEx>
          <w:shd w:val="clear" w:color="auto" w:fill="auto"/>
          <w:tblCellMar>
            <w:top w:w="0" w:type="dxa"/>
            <w:left w:w="108" w:type="dxa"/>
            <w:bottom w:w="0" w:type="dxa"/>
            <w:right w:w="108" w:type="dxa"/>
          </w:tblCellMar>
        </w:tblPrEx>
        <w:trPr>
          <w:trHeight w:val="326" w:hRule="atLeast"/>
        </w:trPr>
        <w:tc>
          <w:tcPr>
            <w:tcW w:w="8960" w:type="dxa"/>
            <w:gridSpan w:val="8"/>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tblPrEx>
          <w:tblCellMar>
            <w:top w:w="0" w:type="dxa"/>
            <w:left w:w="108" w:type="dxa"/>
            <w:bottom w:w="0" w:type="dxa"/>
            <w:right w:w="108" w:type="dxa"/>
          </w:tblCellMar>
        </w:tblPrEx>
        <w:trPr>
          <w:trHeight w:val="326" w:hRule="atLeast"/>
        </w:trPr>
        <w:tc>
          <w:tcPr>
            <w:tcW w:w="8960" w:type="dxa"/>
            <w:gridSpan w:val="8"/>
            <w:vMerge w:val="continue"/>
            <w:tcBorders>
              <w:top w:val="nil"/>
              <w:left w:val="nil"/>
              <w:bottom w:val="nil"/>
              <w:right w:val="nil"/>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tblCellMar>
            <w:top w:w="0" w:type="dxa"/>
            <w:left w:w="108" w:type="dxa"/>
            <w:bottom w:w="0" w:type="dxa"/>
            <w:right w:w="108" w:type="dxa"/>
          </w:tblCellMar>
        </w:tblPrEx>
        <w:trPr>
          <w:trHeight w:val="326" w:hRule="atLeast"/>
        </w:trPr>
        <w:tc>
          <w:tcPr>
            <w:tcW w:w="896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Style w:val="12"/>
                <w:lang w:val="en-US" w:eastAsia="zh-CN" w:bidi="ar"/>
              </w:rPr>
              <w:t>（  2019 年度）</w:t>
            </w:r>
          </w:p>
        </w:tc>
      </w:tr>
      <w:tr>
        <w:tblPrEx>
          <w:tblCellMar>
            <w:top w:w="0" w:type="dxa"/>
            <w:left w:w="108" w:type="dxa"/>
            <w:bottom w:w="0" w:type="dxa"/>
            <w:right w:w="108" w:type="dxa"/>
          </w:tblCellMar>
        </w:tblPrEx>
        <w:trPr>
          <w:trHeight w:val="977" w:hRule="atLeast"/>
        </w:trPr>
        <w:tc>
          <w:tcPr>
            <w:tcW w:w="105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w:t>
            </w:r>
          </w:p>
        </w:tc>
        <w:tc>
          <w:tcPr>
            <w:tcW w:w="128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南营镇人民政府</w:t>
            </w:r>
          </w:p>
        </w:tc>
        <w:tc>
          <w:tcPr>
            <w:tcW w:w="85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272"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332"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228"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932" w:type="dxa"/>
            <w:gridSpan w:val="2"/>
            <w:tcBorders>
              <w:top w:val="nil"/>
              <w:left w:val="nil"/>
              <w:bottom w:val="single" w:color="000000" w:sz="4" w:space="0"/>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tblPrEx>
          <w:tblCellMar>
            <w:top w:w="0" w:type="dxa"/>
            <w:left w:w="108" w:type="dxa"/>
            <w:bottom w:w="0" w:type="dxa"/>
            <w:right w:w="108" w:type="dxa"/>
          </w:tblCellMar>
        </w:tblPrEx>
        <w:trPr>
          <w:trHeight w:val="997" w:hRule="atLeast"/>
        </w:trPr>
        <w:tc>
          <w:tcPr>
            <w:tcW w:w="10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341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南营镇综合业务经费    </w:t>
            </w:r>
          </w:p>
        </w:tc>
        <w:tc>
          <w:tcPr>
            <w:tcW w:w="13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316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南营镇人民政府</w:t>
            </w:r>
          </w:p>
        </w:tc>
      </w:tr>
      <w:tr>
        <w:tblPrEx>
          <w:tblCellMar>
            <w:top w:w="0" w:type="dxa"/>
            <w:left w:w="108" w:type="dxa"/>
            <w:bottom w:w="0" w:type="dxa"/>
            <w:right w:w="108" w:type="dxa"/>
          </w:tblCellMar>
        </w:tblPrEx>
        <w:trPr>
          <w:trHeight w:val="671" w:hRule="atLeast"/>
        </w:trPr>
        <w:tc>
          <w:tcPr>
            <w:tcW w:w="10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21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260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tblPrEx>
          <w:tblCellMar>
            <w:top w:w="0" w:type="dxa"/>
            <w:left w:w="108" w:type="dxa"/>
            <w:bottom w:w="0" w:type="dxa"/>
            <w:right w:w="108" w:type="dxa"/>
          </w:tblCellMar>
        </w:tblPrEx>
        <w:trPr>
          <w:trHeight w:val="671"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12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12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CellMar>
            <w:top w:w="0" w:type="dxa"/>
            <w:left w:w="108" w:type="dxa"/>
            <w:bottom w:w="0" w:type="dxa"/>
            <w:right w:w="108" w:type="dxa"/>
          </w:tblCellMar>
        </w:tblPrEx>
        <w:trPr>
          <w:trHeight w:val="1322"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671"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671" w:hRule="atLeast"/>
        </w:trPr>
        <w:tc>
          <w:tcPr>
            <w:tcW w:w="10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341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32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tblPrEx>
          <w:tblCellMar>
            <w:top w:w="0" w:type="dxa"/>
            <w:left w:w="108" w:type="dxa"/>
            <w:bottom w:w="0" w:type="dxa"/>
            <w:right w:w="108" w:type="dxa"/>
          </w:tblCellMar>
        </w:tblPrEx>
        <w:trPr>
          <w:trHeight w:val="997"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412"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及时拨付南营镇顺中村征地项目征地补偿及青苗补偿。</w:t>
            </w:r>
          </w:p>
        </w:tc>
        <w:tc>
          <w:tcPr>
            <w:tcW w:w="321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南营镇顺中村征地项目征地补偿及青苗补偿已经拨付到位。</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CellMar>
            <w:top w:w="0" w:type="dxa"/>
            <w:left w:w="108" w:type="dxa"/>
            <w:bottom w:w="0" w:type="dxa"/>
            <w:right w:w="108" w:type="dxa"/>
          </w:tblCellMar>
        </w:tblPrEx>
        <w:trPr>
          <w:trHeight w:val="1648" w:hRule="atLeast"/>
        </w:trPr>
        <w:tc>
          <w:tcPr>
            <w:tcW w:w="10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260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tblPrEx>
          <w:tblCellMar>
            <w:top w:w="0" w:type="dxa"/>
            <w:left w:w="108" w:type="dxa"/>
            <w:bottom w:w="0" w:type="dxa"/>
            <w:right w:w="108" w:type="dxa"/>
          </w:tblCellMar>
        </w:tblPrEx>
        <w:trPr>
          <w:trHeight w:val="1322"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26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经费保障率</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Style w:val="12"/>
                <w:lang w:val="en-US" w:eastAsia="zh-CN" w:bidi="ar"/>
              </w:rPr>
              <w:t>&gt;95</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CellMar>
            <w:top w:w="0" w:type="dxa"/>
            <w:left w:w="108" w:type="dxa"/>
            <w:bottom w:w="0" w:type="dxa"/>
            <w:right w:w="108" w:type="dxa"/>
          </w:tblCellMar>
        </w:tblPrEx>
        <w:trPr>
          <w:trHeight w:val="1322"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260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经费拨付准确率</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&gt;90</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CellMar>
            <w:top w:w="0" w:type="dxa"/>
            <w:left w:w="108" w:type="dxa"/>
            <w:bottom w:w="0" w:type="dxa"/>
            <w:right w:w="108" w:type="dxa"/>
          </w:tblCellMar>
        </w:tblPrEx>
        <w:trPr>
          <w:trHeight w:val="604"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经费拨付及时率</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&gt;90</w:t>
            </w: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CellMar>
            <w:top w:w="0" w:type="dxa"/>
            <w:left w:w="108" w:type="dxa"/>
            <w:bottom w:w="0" w:type="dxa"/>
            <w:right w:w="108" w:type="dxa"/>
          </w:tblCellMar>
        </w:tblPrEx>
        <w:trPr>
          <w:trHeight w:val="1648"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预算执行率指标（10分）</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12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是否按预算计划执行</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12月全部完成</w:t>
            </w: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完成</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CellMar>
            <w:top w:w="0" w:type="dxa"/>
            <w:left w:w="108" w:type="dxa"/>
            <w:bottom w:w="0" w:type="dxa"/>
            <w:right w:w="108" w:type="dxa"/>
          </w:tblCellMar>
        </w:tblPrEx>
        <w:trPr>
          <w:trHeight w:val="2299"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7"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12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提升村民生活水平</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生活水平改善</w:t>
            </w: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完成</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r>
      <w:tr>
        <w:tblPrEx>
          <w:tblCellMar>
            <w:top w:w="0" w:type="dxa"/>
            <w:left w:w="108" w:type="dxa"/>
            <w:bottom w:w="0" w:type="dxa"/>
            <w:right w:w="108" w:type="dxa"/>
          </w:tblCellMar>
        </w:tblPrEx>
        <w:trPr>
          <w:trHeight w:val="1974"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7"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生态效益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12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改善生态环境</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村庄环境提升</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完成</w:t>
            </w:r>
          </w:p>
        </w:tc>
        <w:tc>
          <w:tcPr>
            <w:tcW w:w="193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r>
      <w:tr>
        <w:tblPrEx>
          <w:tblCellMar>
            <w:top w:w="0" w:type="dxa"/>
            <w:left w:w="108" w:type="dxa"/>
            <w:bottom w:w="0" w:type="dxa"/>
            <w:right w:w="108" w:type="dxa"/>
          </w:tblCellMar>
        </w:tblPrEx>
        <w:trPr>
          <w:trHeight w:val="1648"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（10分）</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上级部门对南营工作是否满意</w:t>
            </w:r>
          </w:p>
        </w:tc>
        <w:tc>
          <w:tcPr>
            <w:tcW w:w="13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称职</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完成</w:t>
            </w:r>
          </w:p>
        </w:tc>
        <w:tc>
          <w:tcPr>
            <w:tcW w:w="193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CellMar>
            <w:top w:w="0" w:type="dxa"/>
            <w:left w:w="108" w:type="dxa"/>
            <w:bottom w:w="0" w:type="dxa"/>
            <w:right w:w="108" w:type="dxa"/>
          </w:tblCellMar>
        </w:tblPrEx>
        <w:trPr>
          <w:trHeight w:val="346" w:hRule="atLeast"/>
        </w:trPr>
        <w:tc>
          <w:tcPr>
            <w:tcW w:w="10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972"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93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r>
      <w:tr>
        <w:tblPrEx>
          <w:tblCellMar>
            <w:top w:w="0" w:type="dxa"/>
            <w:left w:w="108" w:type="dxa"/>
            <w:bottom w:w="0" w:type="dxa"/>
            <w:right w:w="108" w:type="dxa"/>
          </w:tblCellMar>
        </w:tblPrEx>
        <w:trPr>
          <w:trHeight w:val="2644" w:hRule="atLeast"/>
        </w:trPr>
        <w:tc>
          <w:tcPr>
            <w:tcW w:w="10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790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南营镇综合公用经费项目涵盖内容较多，需要进一步细化、量化。</w:t>
            </w:r>
          </w:p>
        </w:tc>
      </w:tr>
    </w:tbl>
    <w:p>
      <w:pPr>
        <w:adjustRightInd w:val="0"/>
        <w:snapToGrid w:val="0"/>
        <w:spacing w:line="580" w:lineRule="exact"/>
        <w:rPr>
          <w:rFonts w:hint="eastAsia" w:ascii="仿宋_GB2312" w:hAnsi="仿宋_GB2312" w:eastAsia="仿宋_GB2312" w:cs="仿宋_GB2312"/>
          <w:sz w:val="32"/>
          <w:szCs w:val="32"/>
          <w:lang w:eastAsia="zh-CN"/>
        </w:rPr>
      </w:pPr>
    </w:p>
    <w:tbl>
      <w:tblPr>
        <w:tblStyle w:val="6"/>
        <w:tblW w:w="8620" w:type="dxa"/>
        <w:tblInd w:w="93" w:type="dxa"/>
        <w:shd w:val="clear" w:color="auto" w:fill="auto"/>
        <w:tblLayout w:type="autofit"/>
        <w:tblCellMar>
          <w:top w:w="0" w:type="dxa"/>
          <w:left w:w="108" w:type="dxa"/>
          <w:bottom w:w="0" w:type="dxa"/>
          <w:right w:w="108" w:type="dxa"/>
        </w:tblCellMar>
      </w:tblPr>
      <w:tblGrid>
        <w:gridCol w:w="1155"/>
        <w:gridCol w:w="1311"/>
        <w:gridCol w:w="842"/>
        <w:gridCol w:w="1435"/>
        <w:gridCol w:w="877"/>
        <w:gridCol w:w="1194"/>
        <w:gridCol w:w="998"/>
        <w:gridCol w:w="1155"/>
      </w:tblGrid>
      <w:tr>
        <w:tblPrEx>
          <w:shd w:val="clear" w:color="auto" w:fill="auto"/>
          <w:tblCellMar>
            <w:top w:w="0" w:type="dxa"/>
            <w:left w:w="108" w:type="dxa"/>
            <w:bottom w:w="0" w:type="dxa"/>
            <w:right w:w="108" w:type="dxa"/>
          </w:tblCellMar>
        </w:tblPrEx>
        <w:trPr>
          <w:trHeight w:val="375" w:hRule="atLeast"/>
        </w:trPr>
        <w:tc>
          <w:tcPr>
            <w:tcW w:w="8620" w:type="dxa"/>
            <w:gridSpan w:val="8"/>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tblPrEx>
          <w:tblCellMar>
            <w:top w:w="0" w:type="dxa"/>
            <w:left w:w="108" w:type="dxa"/>
            <w:bottom w:w="0" w:type="dxa"/>
            <w:right w:w="108" w:type="dxa"/>
          </w:tblCellMar>
        </w:tblPrEx>
        <w:trPr>
          <w:trHeight w:val="492" w:hRule="atLeast"/>
        </w:trPr>
        <w:tc>
          <w:tcPr>
            <w:tcW w:w="8620" w:type="dxa"/>
            <w:gridSpan w:val="8"/>
            <w:vMerge w:val="continue"/>
            <w:tcBorders>
              <w:top w:val="nil"/>
              <w:left w:val="nil"/>
              <w:bottom w:val="nil"/>
              <w:right w:val="nil"/>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tblCellMar>
            <w:top w:w="0" w:type="dxa"/>
            <w:left w:w="108" w:type="dxa"/>
            <w:bottom w:w="0" w:type="dxa"/>
            <w:right w:w="108" w:type="dxa"/>
          </w:tblCellMar>
        </w:tblPrEx>
        <w:trPr>
          <w:trHeight w:val="433" w:hRule="atLeast"/>
        </w:trPr>
        <w:tc>
          <w:tcPr>
            <w:tcW w:w="0" w:type="auto"/>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2019 年度）</w:t>
            </w:r>
          </w:p>
        </w:tc>
      </w:tr>
      <w:tr>
        <w:tblPrEx>
          <w:tblCellMar>
            <w:top w:w="0" w:type="dxa"/>
            <w:left w:w="108" w:type="dxa"/>
            <w:bottom w:w="0" w:type="dxa"/>
            <w:right w:w="108" w:type="dxa"/>
          </w:tblCellMar>
        </w:tblPrEx>
        <w:trPr>
          <w:trHeight w:val="867"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南营镇人民政府</w:t>
            </w:r>
          </w:p>
        </w:tc>
        <w:tc>
          <w:tcPr>
            <w:tcW w:w="0" w:type="auto"/>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gridSpan w:val="2"/>
            <w:tcBorders>
              <w:top w:val="nil"/>
              <w:left w:val="nil"/>
              <w:bottom w:val="single" w:color="000000" w:sz="4" w:space="0"/>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tblPrEx>
          <w:tblCellMar>
            <w:top w:w="0" w:type="dxa"/>
            <w:left w:w="108" w:type="dxa"/>
            <w:bottom w:w="0" w:type="dxa"/>
            <w:right w:w="108" w:type="dxa"/>
          </w:tblCellMar>
        </w:tblPrEx>
        <w:trPr>
          <w:trHeight w:val="14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2019年度南营镇学区工会费</w:t>
            </w:r>
          </w:p>
        </w:tc>
        <w:tc>
          <w:tcPr>
            <w:tcW w:w="8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南营镇人民政府</w:t>
            </w:r>
          </w:p>
        </w:tc>
      </w:tr>
      <w:tr>
        <w:tblPrEx>
          <w:tblCellMar>
            <w:top w:w="0" w:type="dxa"/>
            <w:left w:w="108" w:type="dxa"/>
            <w:bottom w:w="0" w:type="dxa"/>
            <w:right w:w="108" w:type="dxa"/>
          </w:tblCellMar>
        </w:tblPrEx>
        <w:trPr>
          <w:trHeight w:val="1277" w:hRule="atLeast"/>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tblPrEx>
          <w:tblCellMar>
            <w:top w:w="0" w:type="dxa"/>
            <w:left w:w="108" w:type="dxa"/>
            <w:bottom w:w="0" w:type="dxa"/>
            <w:right w:w="108" w:type="dxa"/>
          </w:tblCellMar>
        </w:tblPrEx>
        <w:trPr>
          <w:trHeight w:val="1277"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1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CellMar>
            <w:top w:w="0" w:type="dxa"/>
            <w:left w:w="108" w:type="dxa"/>
            <w:bottom w:w="0" w:type="dxa"/>
            <w:right w:w="108" w:type="dxa"/>
          </w:tblCellMar>
        </w:tblPrEx>
        <w:trPr>
          <w:trHeight w:val="1763"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1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1277"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1277" w:hRule="atLeast"/>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tblPrEx>
          <w:tblCellMar>
            <w:top w:w="0" w:type="dxa"/>
            <w:left w:w="108" w:type="dxa"/>
            <w:bottom w:w="0" w:type="dxa"/>
            <w:right w:w="108" w:type="dxa"/>
          </w:tblCellMar>
        </w:tblPrEx>
        <w:trPr>
          <w:trHeight w:val="1328"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455"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及时上缴工会费，切实提高南营镇学区工会工作水平，保障学区工会工作顺利开展。</w:t>
            </w:r>
          </w:p>
        </w:tc>
        <w:tc>
          <w:tcPr>
            <w:tcW w:w="29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工会费及时、足额上缴区总工会，学区工会工作开展顺利，达到预期目标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CellMar>
            <w:top w:w="0" w:type="dxa"/>
            <w:left w:w="108" w:type="dxa"/>
            <w:bottom w:w="0" w:type="dxa"/>
            <w:right w:w="108" w:type="dxa"/>
          </w:tblCellMar>
        </w:tblPrEx>
        <w:trPr>
          <w:trHeight w:val="1277" w:hRule="atLeast"/>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tblPrEx>
          <w:tblCellMar>
            <w:top w:w="0" w:type="dxa"/>
            <w:left w:w="108" w:type="dxa"/>
            <w:bottom w:w="0" w:type="dxa"/>
            <w:right w:w="108" w:type="dxa"/>
          </w:tblCellMar>
        </w:tblPrEx>
        <w:trPr>
          <w:trHeight w:val="1277"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222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工会经费保障率 </w:t>
            </w:r>
          </w:p>
        </w:tc>
        <w:tc>
          <w:tcPr>
            <w:tcW w:w="11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tblCellMar>
            <w:top w:w="0" w:type="dxa"/>
            <w:left w:w="108" w:type="dxa"/>
            <w:bottom w:w="0" w:type="dxa"/>
            <w:right w:w="108" w:type="dxa"/>
          </w:tblCellMar>
        </w:tblPrEx>
        <w:trPr>
          <w:trHeight w:val="1277"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工会经费拨付及时率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tblCellMar>
            <w:top w:w="0" w:type="dxa"/>
            <w:left w:w="108" w:type="dxa"/>
            <w:bottom w:w="0" w:type="dxa"/>
            <w:right w:w="108" w:type="dxa"/>
          </w:tblCellMar>
        </w:tblPrEx>
        <w:trPr>
          <w:trHeight w:val="1328"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预算执行率指标（10分）</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项目是否按进度执行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12月全部完成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CellMar>
            <w:top w:w="0" w:type="dxa"/>
            <w:left w:w="108" w:type="dxa"/>
            <w:bottom w:w="0" w:type="dxa"/>
            <w:right w:w="108" w:type="dxa"/>
          </w:tblCellMar>
        </w:tblPrEx>
        <w:trPr>
          <w:trHeight w:val="1763"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综合影响力</w:t>
            </w:r>
          </w:p>
        </w:tc>
        <w:tc>
          <w:tcPr>
            <w:tcW w:w="11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通过工会活动提升社会影响力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r>
      <w:tr>
        <w:tblPrEx>
          <w:tblCellMar>
            <w:top w:w="0" w:type="dxa"/>
            <w:left w:w="108" w:type="dxa"/>
            <w:bottom w:w="0" w:type="dxa"/>
            <w:right w:w="108" w:type="dxa"/>
          </w:tblCellMar>
        </w:tblPrEx>
        <w:trPr>
          <w:trHeight w:val="1328"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（10分）</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单位群众对工会工作的满意率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&gt;90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tblCellMar>
            <w:top w:w="0" w:type="dxa"/>
            <w:left w:w="108" w:type="dxa"/>
            <w:bottom w:w="0" w:type="dxa"/>
            <w:right w:w="108" w:type="dxa"/>
          </w:tblCellMar>
        </w:tblPrEx>
        <w:trPr>
          <w:trHeight w:val="1277" w:hRule="atLeast"/>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0" w:type="auto"/>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r>
      <w:tr>
        <w:tblPrEx>
          <w:tblCellMar>
            <w:top w:w="0" w:type="dxa"/>
            <w:left w:w="108" w:type="dxa"/>
            <w:bottom w:w="0" w:type="dxa"/>
            <w:right w:w="108" w:type="dxa"/>
          </w:tblCellMar>
        </w:tblPrEx>
        <w:trPr>
          <w:trHeight w:val="2222" w:hRule="atLeast"/>
        </w:trPr>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75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工会工作形式相对单一，活动内容活动形式需要提升</w:t>
            </w:r>
          </w:p>
        </w:tc>
      </w:tr>
    </w:tbl>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p>
    <w:tbl>
      <w:tblPr>
        <w:tblStyle w:val="6"/>
        <w:tblW w:w="8920" w:type="dxa"/>
        <w:tblInd w:w="93" w:type="dxa"/>
        <w:shd w:val="clear" w:color="auto" w:fill="auto"/>
        <w:tblLayout w:type="autofit"/>
        <w:tblCellMar>
          <w:top w:w="0" w:type="dxa"/>
          <w:left w:w="108" w:type="dxa"/>
          <w:bottom w:w="0" w:type="dxa"/>
          <w:right w:w="108" w:type="dxa"/>
        </w:tblCellMar>
      </w:tblPr>
      <w:tblGrid>
        <w:gridCol w:w="1244"/>
        <w:gridCol w:w="1415"/>
        <w:gridCol w:w="901"/>
        <w:gridCol w:w="1155"/>
        <w:gridCol w:w="650"/>
        <w:gridCol w:w="1286"/>
        <w:gridCol w:w="1072"/>
        <w:gridCol w:w="1244"/>
      </w:tblGrid>
      <w:tr>
        <w:tblPrEx>
          <w:shd w:val="clear" w:color="auto" w:fill="auto"/>
          <w:tblCellMar>
            <w:top w:w="0" w:type="dxa"/>
            <w:left w:w="108" w:type="dxa"/>
            <w:bottom w:w="0" w:type="dxa"/>
            <w:right w:w="108" w:type="dxa"/>
          </w:tblCellMar>
        </w:tblPrEx>
        <w:trPr>
          <w:trHeight w:val="419" w:hRule="atLeast"/>
        </w:trPr>
        <w:tc>
          <w:tcPr>
            <w:tcW w:w="8920" w:type="dxa"/>
            <w:gridSpan w:val="8"/>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tblPrEx>
          <w:tblCellMar>
            <w:top w:w="0" w:type="dxa"/>
            <w:left w:w="108" w:type="dxa"/>
            <w:bottom w:w="0" w:type="dxa"/>
            <w:right w:w="108" w:type="dxa"/>
          </w:tblCellMar>
        </w:tblPrEx>
        <w:trPr>
          <w:trHeight w:val="419" w:hRule="atLeast"/>
        </w:trPr>
        <w:tc>
          <w:tcPr>
            <w:tcW w:w="8920" w:type="dxa"/>
            <w:gridSpan w:val="8"/>
            <w:vMerge w:val="continue"/>
            <w:tcBorders>
              <w:top w:val="nil"/>
              <w:left w:val="nil"/>
              <w:bottom w:val="nil"/>
              <w:right w:val="nil"/>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tblCellMar>
            <w:top w:w="0" w:type="dxa"/>
            <w:left w:w="108" w:type="dxa"/>
            <w:bottom w:w="0" w:type="dxa"/>
            <w:right w:w="108" w:type="dxa"/>
          </w:tblCellMar>
        </w:tblPrEx>
        <w:trPr>
          <w:trHeight w:val="419" w:hRule="atLeast"/>
        </w:trPr>
        <w:tc>
          <w:tcPr>
            <w:tcW w:w="0" w:type="auto"/>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2019 年度）</w:t>
            </w:r>
          </w:p>
        </w:tc>
      </w:tr>
      <w:tr>
        <w:tblPrEx>
          <w:tblCellMar>
            <w:top w:w="0" w:type="dxa"/>
            <w:left w:w="108" w:type="dxa"/>
            <w:bottom w:w="0" w:type="dxa"/>
            <w:right w:w="108" w:type="dxa"/>
          </w:tblCellMar>
        </w:tblPrEx>
        <w:trPr>
          <w:trHeight w:val="838"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南营镇人民政府</w:t>
            </w:r>
          </w:p>
        </w:tc>
        <w:tc>
          <w:tcPr>
            <w:tcW w:w="0" w:type="auto"/>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gridSpan w:val="2"/>
            <w:tcBorders>
              <w:top w:val="nil"/>
              <w:left w:val="nil"/>
              <w:bottom w:val="single" w:color="000000" w:sz="4" w:space="0"/>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tblPrEx>
          <w:tblCellMar>
            <w:top w:w="0" w:type="dxa"/>
            <w:left w:w="108" w:type="dxa"/>
            <w:bottom w:w="0" w:type="dxa"/>
            <w:right w:w="108" w:type="dxa"/>
          </w:tblCellMar>
        </w:tblPrEx>
        <w:trPr>
          <w:trHeight w:val="296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2019年度南营镇政府工会费</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南营镇人民政府</w:t>
            </w:r>
          </w:p>
        </w:tc>
      </w:tr>
      <w:tr>
        <w:tblPrEx>
          <w:tblCellMar>
            <w:top w:w="0" w:type="dxa"/>
            <w:left w:w="108" w:type="dxa"/>
            <w:bottom w:w="0" w:type="dxa"/>
            <w:right w:w="108" w:type="dxa"/>
          </w:tblCellMar>
        </w:tblPrEx>
        <w:trPr>
          <w:trHeight w:val="1134" w:hRule="atLeast"/>
        </w:trPr>
        <w:tc>
          <w:tcPr>
            <w:tcW w:w="12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tblPrEx>
          <w:tblCellMar>
            <w:top w:w="0" w:type="dxa"/>
            <w:left w:w="108" w:type="dxa"/>
            <w:bottom w:w="0" w:type="dxa"/>
            <w:right w:w="108" w:type="dxa"/>
          </w:tblCellMar>
        </w:tblPrEx>
        <w:trPr>
          <w:trHeight w:val="1134" w:hRule="atLeast"/>
        </w:trPr>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CellMar>
            <w:top w:w="0" w:type="dxa"/>
            <w:left w:w="108" w:type="dxa"/>
            <w:bottom w:w="0" w:type="dxa"/>
            <w:right w:w="108" w:type="dxa"/>
          </w:tblCellMar>
        </w:tblPrEx>
        <w:trPr>
          <w:trHeight w:val="1701" w:hRule="atLeast"/>
        </w:trPr>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1134" w:hRule="atLeast"/>
        </w:trPr>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1134" w:hRule="atLeast"/>
        </w:trPr>
        <w:tc>
          <w:tcPr>
            <w:tcW w:w="12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tblPrEx>
          <w:tblCellMar>
            <w:top w:w="0" w:type="dxa"/>
            <w:left w:w="108" w:type="dxa"/>
            <w:bottom w:w="0" w:type="dxa"/>
            <w:right w:w="108" w:type="dxa"/>
          </w:tblCellMar>
        </w:tblPrEx>
        <w:trPr>
          <w:trHeight w:val="1282" w:hRule="atLeast"/>
        </w:trPr>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451"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及时上缴工会费，切实提高南营镇学区工会工作水平，保障工会工作顺利开展。</w:t>
            </w:r>
          </w:p>
        </w:tc>
        <w:tc>
          <w:tcPr>
            <w:tcW w:w="299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工会费及时、足额上缴区总工会，工会工作开展顺利，达到预期目标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CellMar>
            <w:top w:w="0" w:type="dxa"/>
            <w:left w:w="108" w:type="dxa"/>
            <w:bottom w:w="0" w:type="dxa"/>
            <w:right w:w="108" w:type="dxa"/>
          </w:tblCellMar>
        </w:tblPrEx>
        <w:trPr>
          <w:trHeight w:val="1134" w:hRule="atLeast"/>
        </w:trPr>
        <w:tc>
          <w:tcPr>
            <w:tcW w:w="12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tblPrEx>
          <w:tblCellMar>
            <w:top w:w="0" w:type="dxa"/>
            <w:left w:w="108" w:type="dxa"/>
            <w:bottom w:w="0" w:type="dxa"/>
            <w:right w:w="108" w:type="dxa"/>
          </w:tblCellMar>
        </w:tblPrEx>
        <w:trPr>
          <w:trHeight w:val="1134" w:hRule="atLeast"/>
        </w:trPr>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工会经费保障率 </w:t>
            </w:r>
          </w:p>
        </w:tc>
        <w:tc>
          <w:tcPr>
            <w:tcW w:w="1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tblCellMar>
            <w:top w:w="0" w:type="dxa"/>
            <w:left w:w="108" w:type="dxa"/>
            <w:bottom w:w="0" w:type="dxa"/>
            <w:right w:w="108" w:type="dxa"/>
          </w:tblCellMar>
        </w:tblPrEx>
        <w:trPr>
          <w:trHeight w:val="1134" w:hRule="atLeast"/>
        </w:trPr>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工会经费拨付及时率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tblCellMar>
            <w:top w:w="0" w:type="dxa"/>
            <w:left w:w="108" w:type="dxa"/>
            <w:bottom w:w="0" w:type="dxa"/>
            <w:right w:w="108" w:type="dxa"/>
          </w:tblCellMar>
        </w:tblPrEx>
        <w:trPr>
          <w:trHeight w:val="1134" w:hRule="atLeast"/>
        </w:trPr>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预算执行率指标（10分）</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项目是否按进度执行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12月全部完成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CellMar>
            <w:top w:w="0" w:type="dxa"/>
            <w:left w:w="108" w:type="dxa"/>
            <w:bottom w:w="0" w:type="dxa"/>
            <w:right w:w="108" w:type="dxa"/>
          </w:tblCellMar>
        </w:tblPrEx>
        <w:trPr>
          <w:trHeight w:val="1701" w:hRule="atLeast"/>
        </w:trPr>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07"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综合影响力</w:t>
            </w:r>
          </w:p>
        </w:tc>
        <w:tc>
          <w:tcPr>
            <w:tcW w:w="1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通过工会活动提升社会影响力</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社会影响力提升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r>
      <w:tr>
        <w:tblPrEx>
          <w:tblCellMar>
            <w:top w:w="0" w:type="dxa"/>
            <w:left w:w="108" w:type="dxa"/>
            <w:bottom w:w="0" w:type="dxa"/>
            <w:right w:w="108" w:type="dxa"/>
          </w:tblCellMar>
        </w:tblPrEx>
        <w:trPr>
          <w:trHeight w:val="1134" w:hRule="atLeast"/>
        </w:trPr>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（10分）</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单位群众对工会工作的满意率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&gt;90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tblCellMar>
            <w:top w:w="0" w:type="dxa"/>
            <w:left w:w="108" w:type="dxa"/>
            <w:bottom w:w="0" w:type="dxa"/>
            <w:right w:w="108" w:type="dxa"/>
          </w:tblCellMar>
        </w:tblPrEx>
        <w:trPr>
          <w:trHeight w:val="1134" w:hRule="atLeast"/>
        </w:trPr>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0" w:type="auto"/>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r>
      <w:tr>
        <w:tblPrEx>
          <w:tblCellMar>
            <w:top w:w="0" w:type="dxa"/>
            <w:left w:w="108" w:type="dxa"/>
            <w:bottom w:w="0" w:type="dxa"/>
            <w:right w:w="108" w:type="dxa"/>
          </w:tblCellMar>
        </w:tblPrEx>
        <w:trPr>
          <w:trHeight w:val="1726" w:hRule="atLeast"/>
        </w:trPr>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76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工会工作形式相对单一，活动内容活动形式需要提升。</w:t>
            </w:r>
          </w:p>
        </w:tc>
      </w:tr>
    </w:tbl>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p>
    <w:p>
      <w:pPr>
        <w:keepNext/>
        <w:keepLines/>
        <w:pageBreakBefore w:val="0"/>
        <w:widowControl w:val="0"/>
        <w:numPr>
          <w:ilvl w:val="0"/>
          <w:numId w:val="0"/>
        </w:numPr>
        <w:kinsoku/>
        <w:wordWrap/>
        <w:overflowPunct/>
        <w:topLinePunct w:val="0"/>
        <w:autoSpaceDE/>
        <w:autoSpaceDN/>
        <w:bidi w:val="0"/>
        <w:adjustRightInd/>
        <w:snapToGrid w:val="0"/>
        <w:spacing w:before="157" w:beforeLines="50" w:after="157" w:afterLines="50" w:line="580" w:lineRule="exact"/>
        <w:ind w:firstLine="643" w:firstLineChars="200"/>
        <w:textAlignment w:val="auto"/>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ind w:firstLine="640" w:firstLineChars="200"/>
        <w:jc w:val="left"/>
        <w:outlineLvl w:val="1"/>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val="0"/>
          <w:bCs w:val="0"/>
          <w:sz w:val="32"/>
          <w:szCs w:val="32"/>
          <w:lang w:val="en-US" w:eastAsia="zh-CN"/>
        </w:rPr>
        <w:t>本部门无</w:t>
      </w:r>
      <w:r>
        <w:rPr>
          <w:rFonts w:hint="eastAsia" w:ascii="仿宋_GB2312" w:hAnsi="仿宋_GB2312" w:eastAsia="仿宋_GB2312" w:cs="仿宋_GB2312"/>
          <w:b w:val="0"/>
          <w:bCs w:val="0"/>
          <w:sz w:val="32"/>
          <w:szCs w:val="32"/>
        </w:rPr>
        <w:t>财政评价项目</w:t>
      </w:r>
      <w:r>
        <w:rPr>
          <w:rFonts w:hint="eastAsia" w:ascii="仿宋_GB2312" w:hAnsi="仿宋_GB2312" w:eastAsia="仿宋_GB2312" w:cs="仿宋_GB2312"/>
          <w:b w:val="0"/>
          <w:bCs w:val="0"/>
          <w:sz w:val="32"/>
          <w:szCs w:val="32"/>
          <w:lang w:eastAsia="zh-CN"/>
        </w:rPr>
        <w:t>。</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147.38</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36.33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19.7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财政收入减少、各项开支压减。严控三公经费及压缩非必要开支。</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辆，比上年增</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hint="eastAsia" w:ascii="楷体_GB2312" w:hAnsi="Times New Roman" w:eastAsia="仿宋_GB2312" w:cs="DengXian-Bold"/>
          <w:b/>
          <w:bCs/>
          <w:sz w:val="32"/>
          <w:szCs w:val="32"/>
          <w:lang w:val="en-US" w:eastAsia="zh-CN"/>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r>
        <w:rPr>
          <w:rFonts w:hint="eastAsia" w:ascii="仿宋_GB2312" w:hAnsi="Times New Roman" w:eastAsia="仿宋_GB2312" w:cs="DengXian-Regular"/>
          <w:sz w:val="32"/>
          <w:szCs w:val="32"/>
          <w:lang w:val="en-US" w:eastAsia="zh-CN"/>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eastAsia="zh-CN"/>
        </w:rPr>
        <w:t>有</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eastAsia="zh-CN"/>
        </w:rPr>
        <w:t>收支结转结余</w:t>
      </w:r>
      <w:r>
        <w:rPr>
          <w:rFonts w:hint="eastAsia" w:ascii="仿宋_GB2312" w:hAnsi="Times New Roman" w:eastAsia="仿宋_GB2312" w:cs="DengXian-Regular"/>
          <w:sz w:val="32"/>
          <w:szCs w:val="32"/>
        </w:rPr>
        <w:t>表</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headerReference r:id="rId13" w:type="default"/>
          <w:footerReference r:id="rId14" w:type="default"/>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6" w:type="first"/>
          <w:footerReference r:id="rId18" w:type="first"/>
          <w:headerReference r:id="rId15" w:type="default"/>
          <w:footerReference r:id="rId17"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155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6"/>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19"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2576"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257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6"/>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4,216.99</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830.66</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3,260.70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0"/>
                <w:szCs w:val="20"/>
              </w:rPr>
            </w:pPr>
            <w:r>
              <w:rPr>
                <w:rFonts w:hint="eastAsia" w:ascii="宋体" w:hAnsi="宋体" w:eastAsia="宋体" w:cs="宋体"/>
                <w:b/>
                <w:color w:val="000000"/>
                <w:kern w:val="0"/>
                <w:sz w:val="20"/>
                <w:szCs w:val="20"/>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4,216.99</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0"/>
                <w:szCs w:val="20"/>
              </w:rPr>
            </w:pPr>
            <w:r>
              <w:rPr>
                <w:rFonts w:hint="eastAsia" w:ascii="宋体" w:hAnsi="宋体" w:eastAsia="宋体" w:cs="宋体"/>
                <w:b/>
                <w:color w:val="000000"/>
                <w:kern w:val="0"/>
                <w:sz w:val="20"/>
                <w:szCs w:val="20"/>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4,091.36</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125.63</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0"/>
                <w:szCs w:val="20"/>
              </w:rPr>
            </w:pPr>
            <w:r>
              <w:rPr>
                <w:rFonts w:hint="eastAsia" w:ascii="宋体" w:hAnsi="宋体" w:eastAsia="宋体" w:cs="宋体"/>
                <w:b/>
                <w:color w:val="000000"/>
                <w:kern w:val="0"/>
                <w:sz w:val="20"/>
                <w:szCs w:val="20"/>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4,216.99</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0"/>
                <w:szCs w:val="20"/>
              </w:rPr>
            </w:pPr>
            <w:r>
              <w:rPr>
                <w:rFonts w:hint="eastAsia" w:ascii="宋体" w:hAnsi="宋体" w:eastAsia="宋体" w:cs="宋体"/>
                <w:b/>
                <w:color w:val="000000"/>
                <w:kern w:val="0"/>
                <w:sz w:val="20"/>
                <w:szCs w:val="20"/>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4,216.99</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18"/>
                <w:szCs w:val="18"/>
              </w:rPr>
            </w:pPr>
            <w:r>
              <w:rPr>
                <w:rFonts w:hint="eastAsia" w:ascii="宋体" w:hAnsi="宋体" w:eastAsia="宋体" w:cs="宋体"/>
                <w:b/>
                <w:i w:val="0"/>
                <w:color w:val="000000"/>
                <w:kern w:val="0"/>
                <w:sz w:val="18"/>
                <w:szCs w:val="18"/>
                <w:u w:val="none"/>
                <w:lang w:val="en-US" w:eastAsia="zh-CN" w:bidi="ar"/>
              </w:rPr>
              <w:t>4,216.99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18"/>
                <w:szCs w:val="18"/>
              </w:rPr>
            </w:pPr>
            <w:r>
              <w:rPr>
                <w:rFonts w:hint="eastAsia" w:ascii="宋体" w:hAnsi="宋体" w:eastAsia="宋体" w:cs="宋体"/>
                <w:b/>
                <w:i w:val="0"/>
                <w:color w:val="000000"/>
                <w:kern w:val="0"/>
                <w:sz w:val="18"/>
                <w:szCs w:val="18"/>
                <w:u w:val="none"/>
                <w:lang w:val="en-US" w:eastAsia="zh-CN" w:bidi="ar"/>
              </w:rPr>
              <w:t>4,216.99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836.29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836.29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20103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政府办公厅（室）及相关机构事务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836.29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836.29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2010301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836.29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836.29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教育支出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3,260.70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3,260.70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20502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普通教育</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3,260.70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3,260.70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2050202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小学教育</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2,583.25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2,583.25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2050203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初中教育</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677.44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677.44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212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城乡社区支出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21203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城乡社区公共设施</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2120303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小城镇基础设施建设</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0"/>
                <w:szCs w:val="20"/>
              </w:rPr>
            </w:pPr>
            <w:r>
              <w:rPr>
                <w:rFonts w:hint="eastAsia" w:ascii="宋体" w:hAnsi="宋体" w:eastAsia="宋体" w:cs="宋体"/>
                <w:b/>
                <w:i w:val="0"/>
                <w:color w:val="000000"/>
                <w:kern w:val="0"/>
                <w:sz w:val="20"/>
                <w:szCs w:val="20"/>
                <w:u w:val="none"/>
                <w:lang w:val="en-US" w:eastAsia="zh-CN" w:bidi="ar"/>
              </w:rPr>
              <w:t>4,091.36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0"/>
                <w:szCs w:val="20"/>
              </w:rPr>
            </w:pPr>
            <w:r>
              <w:rPr>
                <w:rFonts w:hint="eastAsia" w:ascii="宋体" w:hAnsi="宋体" w:eastAsia="宋体" w:cs="宋体"/>
                <w:b/>
                <w:i w:val="0"/>
                <w:color w:val="000000"/>
                <w:kern w:val="0"/>
                <w:sz w:val="20"/>
                <w:szCs w:val="20"/>
                <w:u w:val="none"/>
                <w:lang w:val="en-US" w:eastAsia="zh-CN" w:bidi="ar"/>
              </w:rPr>
              <w:t>3,981.36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0"/>
                <w:szCs w:val="20"/>
              </w:rPr>
            </w:pPr>
            <w:r>
              <w:rPr>
                <w:rFonts w:hint="eastAsia" w:ascii="宋体" w:hAnsi="宋体" w:eastAsia="宋体" w:cs="宋体"/>
                <w:b/>
                <w:i w:val="0"/>
                <w:color w:val="000000"/>
                <w:kern w:val="0"/>
                <w:sz w:val="20"/>
                <w:szCs w:val="20"/>
                <w:u w:val="none"/>
                <w:lang w:val="en-US" w:eastAsia="zh-CN" w:bidi="ar"/>
              </w:rPr>
              <w:t>110.00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0"/>
                <w:szCs w:val="20"/>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0"/>
                <w:szCs w:val="20"/>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0"/>
                <w:szCs w:val="20"/>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830.66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736.66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94.00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20103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政府办公厅（室）及相关机构事务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830.66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736.66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94.00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2010301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830.66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736.66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94.00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教育支出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3,260.70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3,244.70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16.00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20502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普通教育</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3,260.70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3,244.70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16.00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2050202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小学教育</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2,583.25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2,567.25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16.00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2050203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 xml:space="preserve">  初中教育</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677.44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0"/>
                <w:szCs w:val="20"/>
                <w:u w:val="none"/>
                <w:lang w:val="en-US" w:eastAsia="zh-CN" w:bidi="ar"/>
              </w:rPr>
              <w:t>677.44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721" w:type="dxa"/>
        <w:jc w:val="center"/>
        <w:tblLayout w:type="fixed"/>
        <w:tblCellMar>
          <w:top w:w="0" w:type="dxa"/>
          <w:left w:w="0" w:type="dxa"/>
          <w:bottom w:w="0" w:type="dxa"/>
          <w:right w:w="0" w:type="dxa"/>
        </w:tblCellMar>
      </w:tblPr>
      <w:tblGrid>
        <w:gridCol w:w="2922"/>
        <w:gridCol w:w="425"/>
        <w:gridCol w:w="863"/>
        <w:gridCol w:w="2469"/>
        <w:gridCol w:w="600"/>
        <w:gridCol w:w="798"/>
        <w:gridCol w:w="855"/>
        <w:gridCol w:w="789"/>
      </w:tblGrid>
      <w:tr>
        <w:tblPrEx>
          <w:tblCellMar>
            <w:top w:w="0" w:type="dxa"/>
            <w:left w:w="0" w:type="dxa"/>
            <w:bottom w:w="0" w:type="dxa"/>
            <w:right w:w="0" w:type="dxa"/>
          </w:tblCellMar>
        </w:tblPrEx>
        <w:trPr>
          <w:trHeight w:val="406" w:hRule="atLeast"/>
          <w:jc w:val="center"/>
        </w:trPr>
        <w:tc>
          <w:tcPr>
            <w:tcW w:w="9721"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4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4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21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4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98"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4,216.99</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一、一般公共服务支出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830.66</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830.66</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二、外交支出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三、国防支出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32</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四、公共安全支出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33</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五、教育支出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34</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3,260.70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3,260.70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6</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六、科学技术支出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35</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7</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七、文化旅游体育与传媒支出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36</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8</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八、社会保障和就业支出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37</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9</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九、卫生健康支出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38</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十、节能环保支出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39</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11</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十一、城乡社区支出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40</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12</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十二、农林水支出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41</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16"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13</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十三、交通运输支出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42</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14</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十四、资源勘探信息等支出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43</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15</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十五、商业服务业等支出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44</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16</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十六、金融支出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45</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17</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十七、援助其他地区支出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46</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18</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十八、自然资源海洋气象等支出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47</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19</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十九、住房保障支出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48</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20</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二十、粮油物资储备支出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49</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21</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二十一、灾害防治及应急管理支出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50</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22</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二十二、其他支出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51</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23</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二十四、债务付息支出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52</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24</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4,216.99</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本年支出合计</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53</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4,091.36</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4,091.36</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25</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年末财政拨款结转和结余</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54</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125.63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125.63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26</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55</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27</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56</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28</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57</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29</w:t>
            </w:r>
          </w:p>
        </w:tc>
        <w:tc>
          <w:tcPr>
            <w:tcW w:w="8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4,216.99</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总计</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58</w:t>
            </w:r>
          </w:p>
        </w:tc>
        <w:tc>
          <w:tcPr>
            <w:tcW w:w="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4,216.99</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4,216.99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9721"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color w:val="000000"/>
                <w:kern w:val="0"/>
                <w:sz w:val="20"/>
                <w:szCs w:val="20"/>
                <w:lang w:bidi="ar"/>
              </w:rPr>
              <w:t>合计</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4,091.36</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3,981.36</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110.00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201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一般公共服务支出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830.66</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736.66</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94.00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20103</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政府办公厅（室）及相关机构事务</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830.66</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736.66</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94.00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2010301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行政运行</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830.66</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736.66</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94.00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205</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教育支出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3,260.70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3,244.70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16.00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20502</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普通教育</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3,260.70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3,244.70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16.00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2050202</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小学教育</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2,583.25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2,567.25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16.00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2050203</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初中教育</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677.44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r>
              <w:rPr>
                <w:rFonts w:hint="eastAsia" w:ascii="宋体" w:hAnsi="宋体" w:eastAsia="宋体" w:cs="宋体"/>
                <w:b w:val="0"/>
                <w:bCs w:val="0"/>
                <w:i w:val="0"/>
                <w:color w:val="000000"/>
                <w:kern w:val="0"/>
                <w:sz w:val="20"/>
                <w:szCs w:val="20"/>
                <w:u w:val="none"/>
                <w:lang w:val="en-US" w:eastAsia="zh-CN" w:bidi="ar"/>
              </w:rPr>
              <w:t>677.44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val="0"/>
                <w:bCs w:val="0"/>
                <w:color w:val="000000"/>
                <w:sz w:val="20"/>
                <w:szCs w:val="20"/>
              </w:rPr>
            </w:pPr>
          </w:p>
        </w:tc>
      </w:tr>
      <w:tr>
        <w:tblPrEx>
          <w:tblCellMar>
            <w:top w:w="0" w:type="dxa"/>
            <w:left w:w="0" w:type="dxa"/>
            <w:bottom w:w="0" w:type="dxa"/>
            <w:right w:w="0" w:type="dxa"/>
          </w:tblCellMar>
        </w:tblPrEx>
        <w:trPr>
          <w:trHeight w:val="308" w:hRule="atLeast"/>
          <w:jc w:val="center"/>
        </w:trPr>
        <w:tc>
          <w:tcPr>
            <w:tcW w:w="999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tabs>
                <w:tab w:val="left" w:pos="945"/>
              </w:tabs>
              <w:jc w:val="left"/>
              <w:rPr>
                <w:rFonts w:hint="eastAsia" w:ascii="宋体" w:hAnsi="宋体" w:eastAsia="宋体" w:cs="宋体"/>
                <w:b w:val="0"/>
                <w:bCs w:val="0"/>
                <w:color w:val="000000"/>
                <w:sz w:val="20"/>
                <w:szCs w:val="20"/>
                <w:lang w:eastAsia="zh-CN"/>
              </w:rPr>
            </w:pPr>
            <w:r>
              <w:rPr>
                <w:rFonts w:hint="eastAsia" w:ascii="宋体" w:hAnsi="宋体" w:eastAsia="宋体" w:cs="宋体"/>
                <w:b w:val="0"/>
                <w:bCs w:val="0"/>
                <w:color w:val="000000"/>
                <w:sz w:val="20"/>
                <w:szCs w:val="20"/>
                <w:lang w:eastAsia="zh-CN"/>
              </w:rPr>
              <w:tab/>
            </w:r>
          </w:p>
          <w:tbl>
            <w:tblPr>
              <w:tblStyle w:val="6"/>
              <w:tblW w:w="14025" w:type="dxa"/>
              <w:tblInd w:w="-15" w:type="dxa"/>
              <w:shd w:val="clear" w:color="auto" w:fill="auto"/>
              <w:tblLayout w:type="fixed"/>
              <w:tblCellMar>
                <w:top w:w="0" w:type="dxa"/>
                <w:left w:w="0" w:type="dxa"/>
                <w:bottom w:w="0" w:type="dxa"/>
                <w:right w:w="0" w:type="dxa"/>
              </w:tblCellMar>
            </w:tblPr>
            <w:tblGrid>
              <w:gridCol w:w="14025"/>
            </w:tblGrid>
            <w:tr>
              <w:tblPrEx>
                <w:shd w:val="clear" w:color="auto" w:fill="auto"/>
                <w:tblCellMar>
                  <w:top w:w="0" w:type="dxa"/>
                  <w:left w:w="0" w:type="dxa"/>
                  <w:bottom w:w="0" w:type="dxa"/>
                  <w:right w:w="0" w:type="dxa"/>
                </w:tblCellMar>
              </w:tblPrEx>
              <w:trPr>
                <w:trHeight w:val="308" w:hRule="atLeast"/>
              </w:trPr>
              <w:tc>
                <w:tcPr>
                  <w:tcW w:w="14025"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注：本表反映部门本年度一般公共预算财政拨款支出情况。</w:t>
                  </w:r>
                </w:p>
              </w:tc>
            </w:tr>
          </w:tbl>
          <w:p>
            <w:pPr>
              <w:tabs>
                <w:tab w:val="left" w:pos="945"/>
              </w:tabs>
              <w:jc w:val="left"/>
              <w:rPr>
                <w:rFonts w:hint="eastAsia" w:ascii="宋体" w:hAnsi="宋体" w:eastAsia="宋体" w:cs="宋体"/>
                <w:b w:val="0"/>
                <w:bCs w:val="0"/>
                <w:color w:val="000000"/>
                <w:sz w:val="20"/>
                <w:szCs w:val="20"/>
                <w:lang w:eastAsia="zh-CN"/>
              </w:rPr>
            </w:pPr>
          </w:p>
        </w:tc>
      </w:tr>
    </w:tbl>
    <w:p>
      <w:r>
        <w:br w:type="page"/>
      </w:r>
    </w:p>
    <w:tbl>
      <w:tblPr>
        <w:tblStyle w:val="6"/>
        <w:tblW w:w="10020" w:type="dxa"/>
        <w:jc w:val="center"/>
        <w:tblLayout w:type="fixed"/>
        <w:tblCellMar>
          <w:top w:w="0" w:type="dxa"/>
          <w:left w:w="0" w:type="dxa"/>
          <w:bottom w:w="0" w:type="dxa"/>
          <w:right w:w="0" w:type="dxa"/>
        </w:tblCellMar>
      </w:tblPr>
      <w:tblGrid>
        <w:gridCol w:w="897"/>
        <w:gridCol w:w="1661"/>
        <w:gridCol w:w="275"/>
        <w:gridCol w:w="785"/>
        <w:gridCol w:w="657"/>
        <w:gridCol w:w="1386"/>
        <w:gridCol w:w="215"/>
        <w:gridCol w:w="611"/>
        <w:gridCol w:w="159"/>
        <w:gridCol w:w="529"/>
        <w:gridCol w:w="217"/>
        <w:gridCol w:w="1597"/>
        <w:gridCol w:w="1031"/>
      </w:tblGrid>
      <w:tr>
        <w:tblPrEx>
          <w:tblCellMar>
            <w:top w:w="0" w:type="dxa"/>
            <w:left w:w="0" w:type="dxa"/>
            <w:bottom w:w="0" w:type="dxa"/>
            <w:right w:w="0" w:type="dxa"/>
          </w:tblCellMar>
        </w:tblPrEx>
        <w:trPr>
          <w:trHeight w:val="90" w:hRule="atLeast"/>
          <w:jc w:val="center"/>
        </w:trPr>
        <w:tc>
          <w:tcPr>
            <w:tcW w:w="10020" w:type="dxa"/>
            <w:gridSpan w:val="13"/>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90" w:hRule="atLeast"/>
          <w:jc w:val="center"/>
        </w:trPr>
        <w:tc>
          <w:tcPr>
            <w:tcW w:w="89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0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7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6"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90" w:hRule="atLeast"/>
          <w:jc w:val="center"/>
        </w:trPr>
        <w:tc>
          <w:tcPr>
            <w:tcW w:w="89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0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7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6"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90" w:hRule="atLeast"/>
          <w:jc w:val="center"/>
        </w:trPr>
        <w:tc>
          <w:tcPr>
            <w:tcW w:w="361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人员经费</w:t>
            </w:r>
          </w:p>
        </w:tc>
        <w:tc>
          <w:tcPr>
            <w:tcW w:w="6402"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公用经费</w:t>
            </w:r>
          </w:p>
        </w:tc>
      </w:tr>
      <w:tr>
        <w:tblPrEx>
          <w:tblCellMar>
            <w:top w:w="0" w:type="dxa"/>
            <w:left w:w="0" w:type="dxa"/>
            <w:bottom w:w="0" w:type="dxa"/>
            <w:right w:w="0" w:type="dxa"/>
          </w:tblCellMar>
        </w:tblPrEx>
        <w:trPr>
          <w:trHeight w:val="312" w:hRule="atLeast"/>
          <w:jc w:val="center"/>
        </w:trPr>
        <w:tc>
          <w:tcPr>
            <w:tcW w:w="897"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科目</w:t>
            </w:r>
          </w:p>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编码</w:t>
            </w:r>
          </w:p>
        </w:tc>
        <w:tc>
          <w:tcPr>
            <w:tcW w:w="16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科目名称</w:t>
            </w:r>
          </w:p>
        </w:tc>
        <w:tc>
          <w:tcPr>
            <w:tcW w:w="106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决算数</w:t>
            </w:r>
          </w:p>
        </w:tc>
        <w:tc>
          <w:tcPr>
            <w:tcW w:w="6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科目编码</w:t>
            </w:r>
          </w:p>
        </w:tc>
        <w:tc>
          <w:tcPr>
            <w:tcW w:w="138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科目名称</w:t>
            </w:r>
          </w:p>
        </w:tc>
        <w:tc>
          <w:tcPr>
            <w:tcW w:w="826"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决算数</w:t>
            </w:r>
          </w:p>
        </w:tc>
        <w:tc>
          <w:tcPr>
            <w:tcW w:w="688"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科目</w:t>
            </w:r>
          </w:p>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编码</w:t>
            </w:r>
          </w:p>
        </w:tc>
        <w:tc>
          <w:tcPr>
            <w:tcW w:w="181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科目名称</w:t>
            </w:r>
          </w:p>
        </w:tc>
        <w:tc>
          <w:tcPr>
            <w:tcW w:w="103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决算数</w:t>
            </w:r>
          </w:p>
        </w:tc>
      </w:tr>
      <w:tr>
        <w:tblPrEx>
          <w:tblCellMar>
            <w:top w:w="0" w:type="dxa"/>
            <w:left w:w="0" w:type="dxa"/>
            <w:bottom w:w="0" w:type="dxa"/>
            <w:right w:w="0" w:type="dxa"/>
          </w:tblCellMar>
        </w:tblPrEx>
        <w:trPr>
          <w:trHeight w:val="312" w:hRule="atLeast"/>
          <w:jc w:val="center"/>
        </w:trPr>
        <w:tc>
          <w:tcPr>
            <w:tcW w:w="89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6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6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6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3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826"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68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81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3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工资福利支出</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3,749.44</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商品和服务支出</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147.39</w:t>
            </w: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307</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债务利息及费用支出</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30101</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基本工资</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1,207.38</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30201</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办公费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12.50</w:t>
            </w: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30701</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国内债务付息</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30102</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津贴补贴</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422.45</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30202</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印刷费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30702</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国外债务付息</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30103</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奖金</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261.65</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30203</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咨询费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资本性支出</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30106</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伙食补助费</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30204</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手续费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31001</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房屋建筑物购建</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30107</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绩效工资</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457.57</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30205</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水费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31002</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办公设备购置</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30108</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机关事业单位基本养老保险缴费</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462.22</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30206</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电费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18.20</w:t>
            </w: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31003</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专用设备购置</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30109</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职业年金缴费</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63.91</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30207</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邮电费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18.12</w:t>
            </w: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31005</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基础设施建设</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30110</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职工基本医疗保险缴费</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342.16</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30208</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取暖费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31006</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大型修缮</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30111</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公务员医疗补助缴费</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30209</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物业管理费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31007</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信息网络及软件购置更新</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30112</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其他社会保障缴费</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25.04</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30211</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差旅费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31008</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物资储备</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30113</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住房公积金</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507.05</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30212</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因公出国（境）费用</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31009</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土地补偿</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30114</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医疗费</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30213</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维修（护）费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31010</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安置补助</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30199</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其他工资福利支出</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30214</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租赁费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31011</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地上附着物和青苗补偿</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对个人和家庭的补助</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84.54</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30215</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会议费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31012</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拆迁补偿</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30301</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离休费</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30216</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培训费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31013</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公务用车购置</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30302</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退休费</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78.95</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18"/>
                <w:szCs w:val="18"/>
              </w:rPr>
            </w:pP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公务接待费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31019</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其他交通工具购置</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30303</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退职（役）费</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30218</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专用材料费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31021</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文物和陈列品购置</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30304</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抚恤金</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30224</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被装购置费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31022</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无形资产购置</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30305</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生活补助</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0.28</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30225</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专用燃料费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31099</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其他资本性支出</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30306</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救济费</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30226</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劳务费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71.41</w:t>
            </w: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399</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其他支出</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30307</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医疗费补助</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30227</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委托业务费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39906</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赠与</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30308</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助学金</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30228</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工会经费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3.21</w:t>
            </w: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39907</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国家赔偿费用支出</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30309</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奖励金</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5.31</w:t>
            </w: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30229</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福利费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39908</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对民间非营利组织和群众性自治组织补贴</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30310</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个人农业生产补贴</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30231</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公务用车运行维护费</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3.42</w:t>
            </w: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39999</w:t>
            </w: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其他支出</w:t>
            </w: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30399</w:t>
            </w: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其他对个人和家庭的补助</w:t>
            </w: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30239</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其他交通费用</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20.53</w:t>
            </w: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18"/>
                <w:szCs w:val="18"/>
              </w:rPr>
            </w:pP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8"/>
                <w:szCs w:val="18"/>
              </w:rPr>
            </w:pP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18"/>
                <w:szCs w:val="18"/>
              </w:rPr>
            </w:pP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8"/>
                <w:szCs w:val="18"/>
              </w:rPr>
            </w:pP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30240</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税金及附加费用</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18"/>
                <w:szCs w:val="18"/>
              </w:rPr>
            </w:pP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8"/>
                <w:szCs w:val="18"/>
              </w:rPr>
            </w:pP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89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18"/>
                <w:szCs w:val="18"/>
              </w:rPr>
            </w:pPr>
          </w:p>
        </w:tc>
        <w:tc>
          <w:tcPr>
            <w:tcW w:w="1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8"/>
                <w:szCs w:val="18"/>
              </w:rPr>
            </w:pPr>
          </w:p>
        </w:tc>
        <w:tc>
          <w:tcPr>
            <w:tcW w:w="10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30299</w:t>
            </w:r>
          </w:p>
        </w:tc>
        <w:tc>
          <w:tcPr>
            <w:tcW w:w="13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xml:space="preserve">  其他商品和服务支出</w:t>
            </w:r>
          </w:p>
        </w:tc>
        <w:tc>
          <w:tcPr>
            <w:tcW w:w="8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8"/>
                <w:szCs w:val="18"/>
              </w:rPr>
            </w:pPr>
          </w:p>
        </w:tc>
        <w:tc>
          <w:tcPr>
            <w:tcW w:w="68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18"/>
                <w:szCs w:val="18"/>
              </w:rPr>
            </w:pPr>
          </w:p>
        </w:tc>
        <w:tc>
          <w:tcPr>
            <w:tcW w:w="181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8"/>
                <w:szCs w:val="18"/>
              </w:rPr>
            </w:pPr>
          </w:p>
        </w:tc>
        <w:tc>
          <w:tcPr>
            <w:tcW w:w="10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58" w:type="dxa"/>
            <w:gridSpan w:val="2"/>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人员经费合计</w:t>
            </w:r>
          </w:p>
        </w:tc>
        <w:tc>
          <w:tcPr>
            <w:tcW w:w="1060" w:type="dxa"/>
            <w:gridSpan w:val="2"/>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3,833.97</w:t>
            </w:r>
          </w:p>
        </w:tc>
        <w:tc>
          <w:tcPr>
            <w:tcW w:w="5371" w:type="dxa"/>
            <w:gridSpan w:val="8"/>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公用经费合计</w:t>
            </w:r>
          </w:p>
        </w:tc>
        <w:tc>
          <w:tcPr>
            <w:tcW w:w="1031" w:type="dxa"/>
            <w:tcBorders>
              <w:top w:val="nil"/>
              <w:left w:val="nil"/>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147.39</w:t>
            </w:r>
          </w:p>
        </w:tc>
      </w:tr>
      <w:tr>
        <w:tblPrEx>
          <w:tblCellMar>
            <w:top w:w="0" w:type="dxa"/>
            <w:left w:w="0" w:type="dxa"/>
            <w:bottom w:w="0" w:type="dxa"/>
            <w:right w:w="0" w:type="dxa"/>
          </w:tblCellMar>
        </w:tblPrEx>
        <w:trPr>
          <w:trHeight w:val="90" w:hRule="atLeast"/>
          <w:jc w:val="center"/>
        </w:trPr>
        <w:tc>
          <w:tcPr>
            <w:tcW w:w="10020" w:type="dxa"/>
            <w:gridSpan w:val="1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tbl>
            <w:tblPr>
              <w:tblStyle w:val="6"/>
              <w:tblW w:w="18420" w:type="dxa"/>
              <w:tblInd w:w="-15" w:type="dxa"/>
              <w:shd w:val="clear" w:color="auto" w:fill="auto"/>
              <w:tblLayout w:type="fixed"/>
              <w:tblCellMar>
                <w:top w:w="0" w:type="dxa"/>
                <w:left w:w="0" w:type="dxa"/>
                <w:bottom w:w="0" w:type="dxa"/>
                <w:right w:w="0" w:type="dxa"/>
              </w:tblCellMar>
            </w:tblPr>
            <w:tblGrid>
              <w:gridCol w:w="18420"/>
            </w:tblGrid>
            <w:tr>
              <w:tblPrEx>
                <w:shd w:val="clear" w:color="auto" w:fill="auto"/>
                <w:tblCellMar>
                  <w:top w:w="0" w:type="dxa"/>
                  <w:left w:w="0" w:type="dxa"/>
                  <w:bottom w:w="0" w:type="dxa"/>
                  <w:right w:w="0" w:type="dxa"/>
                </w:tblCellMar>
              </w:tblPrEx>
              <w:trPr>
                <w:trHeight w:val="308" w:hRule="atLeast"/>
              </w:trPr>
              <w:tc>
                <w:tcPr>
                  <w:tcW w:w="1842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注：本表反映部门本年度一般公共预算财政拨款基本支出明细情况。</w:t>
                  </w:r>
                </w:p>
              </w:tc>
            </w:tr>
          </w:tbl>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p>
        </w:tc>
      </w:tr>
    </w:tbl>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nil"/>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3.42</w:t>
            </w:r>
          </w:p>
        </w:tc>
        <w:tc>
          <w:tcPr>
            <w:tcW w:w="1686" w:type="dxa"/>
            <w:tcBorders>
              <w:top w:val="nil"/>
              <w:left w:val="nil"/>
              <w:bottom w:val="nil"/>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bookmarkStart w:id="0" w:name="_GoBack"/>
            <w:bookmarkEnd w:id="0"/>
          </w:p>
        </w:tc>
        <w:tc>
          <w:tcPr>
            <w:tcW w:w="1565" w:type="dxa"/>
            <w:tcBorders>
              <w:top w:val="nil"/>
              <w:left w:val="nil"/>
              <w:bottom w:val="nil"/>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3.42</w:t>
            </w:r>
          </w:p>
        </w:tc>
        <w:tc>
          <w:tcPr>
            <w:tcW w:w="1565" w:type="dxa"/>
            <w:tcBorders>
              <w:top w:val="nil"/>
              <w:left w:val="nil"/>
              <w:bottom w:val="nil"/>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p>
        </w:tc>
        <w:tc>
          <w:tcPr>
            <w:tcW w:w="1565" w:type="dxa"/>
            <w:tcBorders>
              <w:top w:val="nil"/>
              <w:left w:val="nil"/>
              <w:bottom w:val="nil"/>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3.42</w:t>
            </w:r>
          </w:p>
        </w:tc>
        <w:tc>
          <w:tcPr>
            <w:tcW w:w="1572" w:type="dxa"/>
            <w:tcBorders>
              <w:top w:val="nil"/>
              <w:left w:val="nil"/>
              <w:bottom w:val="nil"/>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val="en-US" w:eastAsia="zh-CN"/>
              </w:rPr>
            </w:pPr>
          </w:p>
        </w:tc>
      </w:tr>
      <w:tr>
        <w:tblPrEx>
          <w:tblCellMar>
            <w:top w:w="0" w:type="dxa"/>
            <w:left w:w="0" w:type="dxa"/>
            <w:bottom w:w="0" w:type="dxa"/>
            <w:right w:w="0" w:type="dxa"/>
          </w:tblCellMar>
        </w:tblPrEx>
        <w:trPr>
          <w:trHeight w:val="447" w:hRule="atLeast"/>
          <w:jc w:val="center"/>
        </w:trPr>
        <w:tc>
          <w:tcPr>
            <w:tcW w:w="9220" w:type="dxa"/>
            <w:gridSpan w:val="6"/>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tbl>
            <w:tblPr>
              <w:tblStyle w:val="6"/>
              <w:tblW w:w="16920" w:type="dxa"/>
              <w:tblInd w:w="-15" w:type="dxa"/>
              <w:shd w:val="clear" w:color="auto" w:fill="auto"/>
              <w:tblLayout w:type="fixed"/>
              <w:tblCellMar>
                <w:top w:w="0" w:type="dxa"/>
                <w:left w:w="0" w:type="dxa"/>
                <w:bottom w:w="0" w:type="dxa"/>
                <w:right w:w="0" w:type="dxa"/>
              </w:tblCellMar>
            </w:tblPr>
            <w:tblGrid>
              <w:gridCol w:w="16920"/>
            </w:tblGrid>
            <w:tr>
              <w:tblPrEx>
                <w:shd w:val="clear" w:color="auto" w:fill="auto"/>
                <w:tblCellMar>
                  <w:top w:w="0" w:type="dxa"/>
                  <w:left w:w="0" w:type="dxa"/>
                  <w:bottom w:w="0" w:type="dxa"/>
                  <w:right w:w="0" w:type="dxa"/>
                </w:tblCellMar>
              </w:tblPrEx>
              <w:trPr>
                <w:trHeight w:val="615" w:hRule="atLeast"/>
              </w:trPr>
              <w:tc>
                <w:tcPr>
                  <w:tcW w:w="1692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三公”经费支出预决算情况。其中：预算数为“三公”经费全年预算数，反映按规定程序调整后的预算数；决算数是包括当年一般公共预算财政拨款和以前年度结转资金安排的实际支出。</w:t>
                  </w:r>
                </w:p>
              </w:tc>
            </w:tr>
          </w:tbl>
          <w:p>
            <w:pPr>
              <w:jc w:val="center"/>
              <w:rPr>
                <w:rFonts w:hint="eastAsia" w:ascii="宋体" w:hAnsi="宋体" w:eastAsia="宋体" w:cs="宋体"/>
                <w:color w:val="000000"/>
                <w:sz w:val="22"/>
                <w:lang w:val="en-US" w:eastAsia="zh-CN"/>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9510" w:type="dxa"/>
            <w:gridSpan w:val="10"/>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2100" w:firstLineChars="1000"/>
              <w:jc w:val="both"/>
              <w:rPr>
                <w:rFonts w:ascii="宋体" w:hAnsi="宋体" w:eastAsia="宋体" w:cs="宋体"/>
                <w:color w:val="000000"/>
                <w:sz w:val="22"/>
              </w:rPr>
            </w:pPr>
            <w:r>
              <w:rPr>
                <w:rFonts w:hint="eastAsia"/>
              </w:rPr>
              <w:t>本部门本年度无相关支出情况，按要求以空表列示</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9510" w:type="dxa"/>
            <w:gridSpan w:val="10"/>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tbl>
            <w:tblPr>
              <w:tblStyle w:val="6"/>
              <w:tblW w:w="15000" w:type="dxa"/>
              <w:tblInd w:w="-15" w:type="dxa"/>
              <w:shd w:val="clear" w:color="auto" w:fill="auto"/>
              <w:tblLayout w:type="fixed"/>
              <w:tblCellMar>
                <w:top w:w="0" w:type="dxa"/>
                <w:left w:w="0" w:type="dxa"/>
                <w:bottom w:w="0" w:type="dxa"/>
                <w:right w:w="0" w:type="dxa"/>
              </w:tblCellMar>
            </w:tblPr>
            <w:tblGrid>
              <w:gridCol w:w="15000"/>
            </w:tblGrid>
            <w:tr>
              <w:tblPrEx>
                <w:shd w:val="clear" w:color="auto" w:fill="auto"/>
                <w:tblCellMar>
                  <w:top w:w="0" w:type="dxa"/>
                  <w:left w:w="0" w:type="dxa"/>
                  <w:bottom w:w="0" w:type="dxa"/>
                  <w:right w:w="0" w:type="dxa"/>
                </w:tblCellMar>
              </w:tblPrEx>
              <w:trPr>
                <w:trHeight w:val="308" w:hRule="atLeast"/>
              </w:trPr>
              <w:tc>
                <w:tcPr>
                  <w:tcW w:w="1500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注：本表反映部门本年度政府性基金预算财政拨款收入、支出及结转和结余情况.</w:t>
                  </w:r>
                </w:p>
              </w:tc>
            </w:tr>
          </w:tbl>
          <w:p>
            <w:pPr>
              <w:jc w:val="right"/>
              <w:rPr>
                <w:rFonts w:ascii="宋体" w:hAnsi="宋体" w:eastAsia="宋体" w:cs="宋体"/>
                <w:color w:val="000000"/>
                <w:sz w:val="22"/>
              </w:rPr>
            </w:pPr>
          </w:p>
        </w:tc>
      </w:tr>
    </w:tbl>
    <w:p>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9915"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2420" w:firstLineChars="1100"/>
              <w:jc w:val="both"/>
              <w:rPr>
                <w:rFonts w:ascii="宋体" w:hAnsi="宋体" w:eastAsia="宋体" w:cs="宋体"/>
                <w:color w:val="000000"/>
                <w:sz w:val="22"/>
              </w:rPr>
            </w:pPr>
            <w:r>
              <w:rPr>
                <w:rFonts w:hint="eastAsia" w:ascii="宋体" w:hAnsi="宋体" w:eastAsia="宋体" w:cs="宋体"/>
                <w:color w:val="000000"/>
                <w:sz w:val="22"/>
              </w:rPr>
              <w:t>本部门本年度无相关支出情况，按要求以空表列示</w:t>
            </w: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9915"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tbl>
            <w:tblPr>
              <w:tblStyle w:val="6"/>
              <w:tblW w:w="11745" w:type="dxa"/>
              <w:tblInd w:w="-15" w:type="dxa"/>
              <w:shd w:val="clear" w:color="auto" w:fill="auto"/>
              <w:tblLayout w:type="fixed"/>
              <w:tblCellMar>
                <w:top w:w="0" w:type="dxa"/>
                <w:left w:w="0" w:type="dxa"/>
                <w:bottom w:w="0" w:type="dxa"/>
                <w:right w:w="0" w:type="dxa"/>
              </w:tblCellMar>
            </w:tblPr>
            <w:tblGrid>
              <w:gridCol w:w="11745"/>
            </w:tblGrid>
            <w:tr>
              <w:tblPrEx>
                <w:shd w:val="clear" w:color="auto" w:fill="auto"/>
                <w:tblCellMar>
                  <w:top w:w="0" w:type="dxa"/>
                  <w:left w:w="0" w:type="dxa"/>
                  <w:bottom w:w="0" w:type="dxa"/>
                  <w:right w:w="0" w:type="dxa"/>
                </w:tblCellMar>
              </w:tblPrEx>
              <w:trPr>
                <w:trHeight w:val="308" w:hRule="atLeast"/>
              </w:trPr>
              <w:tc>
                <w:tcPr>
                  <w:tcW w:w="11745"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注：本表反映部门本年度国有资本经营预算财政拨款支出情况。</w:t>
                  </w:r>
                </w:p>
              </w:tc>
            </w:tr>
          </w:tbl>
          <w:p>
            <w:pPr>
              <w:jc w:val="right"/>
              <w:rPr>
                <w:rFonts w:ascii="宋体" w:hAnsi="宋体" w:eastAsia="宋体" w:cs="宋体"/>
                <w:color w:val="000000"/>
                <w:sz w:val="22"/>
              </w:rPr>
            </w:pPr>
          </w:p>
        </w:tc>
      </w:tr>
    </w:tbl>
    <w:p>
      <w:r>
        <w:br w:type="page"/>
      </w:r>
    </w:p>
    <w:p>
      <w:r>
        <mc:AlternateContent>
          <mc:Choice Requires="wps">
            <w:drawing>
              <wp:anchor distT="0" distB="0" distL="114300" distR="114300" simplePos="0" relativeHeight="251673600"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3600;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3" w:type="first"/>
      <w:headerReference r:id="rId22" w:type="default"/>
      <w:footerReference r:id="rId24"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Meiryo UI">
    <w:panose1 w:val="020B0604030504040204"/>
    <w:charset w:val="80"/>
    <w:family w:val="auto"/>
    <w:pitch w:val="default"/>
    <w:sig w:usb0="E10102FF" w:usb1="EAC7FFFF" w:usb2="00010012" w:usb3="00000000" w:csb0="6002009F" w:csb1="DFD70000"/>
  </w:font>
  <w:font w:name="思源黑体 HW Bold">
    <w:altName w:val="宋体"/>
    <w:panose1 w:val="00000000000000000000"/>
    <w:charset w:val="86"/>
    <w:family w:val="swiss"/>
    <w:pitch w:val="default"/>
    <w:sig w:usb0="00000000" w:usb1="00000000" w:usb2="00000016" w:usb3="00000000" w:csb0="002E0107"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方正书宋_GBK">
    <w:altName w:val="微软雅黑"/>
    <w:panose1 w:val="03000509000000000000"/>
    <w:charset w:val="86"/>
    <w:family w:val="script"/>
    <w:pitch w:val="default"/>
    <w:sig w:usb0="00000000" w:usb1="00000000" w:usb2="00000010" w:usb3="00000000" w:csb0="00040000"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588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588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691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691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7936"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7936;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100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100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4080"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4080;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510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510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2032"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2032;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3056"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3056;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8960"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8960;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9984"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9984;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07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807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97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81792;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2816;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48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38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38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6E34D7"/>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ED599E"/>
    <w:rsid w:val="05B00A30"/>
    <w:rsid w:val="0B011416"/>
    <w:rsid w:val="17627BF5"/>
    <w:rsid w:val="2D9E04E3"/>
    <w:rsid w:val="31C2036A"/>
    <w:rsid w:val="320D02A5"/>
    <w:rsid w:val="348E566F"/>
    <w:rsid w:val="35655EAF"/>
    <w:rsid w:val="3A226944"/>
    <w:rsid w:val="3AEE6A48"/>
    <w:rsid w:val="3C1620AA"/>
    <w:rsid w:val="3D8F080F"/>
    <w:rsid w:val="40B45502"/>
    <w:rsid w:val="44CE1FA4"/>
    <w:rsid w:val="44EA5639"/>
    <w:rsid w:val="487F73ED"/>
    <w:rsid w:val="49001A2E"/>
    <w:rsid w:val="498F29A8"/>
    <w:rsid w:val="4A347EAE"/>
    <w:rsid w:val="52600405"/>
    <w:rsid w:val="529B4319"/>
    <w:rsid w:val="57773DD6"/>
    <w:rsid w:val="578B79AB"/>
    <w:rsid w:val="5CCD3FD5"/>
    <w:rsid w:val="61FA5F9D"/>
    <w:rsid w:val="623F5780"/>
    <w:rsid w:val="64CD6910"/>
    <w:rsid w:val="6789158D"/>
    <w:rsid w:val="67D81BA4"/>
    <w:rsid w:val="6AAF1C96"/>
    <w:rsid w:val="745C4264"/>
    <w:rsid w:val="75681757"/>
    <w:rsid w:val="75A346A8"/>
    <w:rsid w:val="76C3225A"/>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2">
    <w:name w:val="font01"/>
    <w:basedOn w:val="8"/>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5.xml"/><Relationship Id="rId30" Type="http://schemas.openxmlformats.org/officeDocument/2006/relationships/chart" Target="charts/chart4.xml"/><Relationship Id="rId3" Type="http://schemas.openxmlformats.org/officeDocument/2006/relationships/header" Target="header1.xml"/><Relationship Id="rId29" Type="http://schemas.openxmlformats.org/officeDocument/2006/relationships/chart" Target="charts/chart3.xml"/><Relationship Id="rId28" Type="http://schemas.openxmlformats.org/officeDocument/2006/relationships/chart" Target="charts/chart2.xml"/><Relationship Id="rId27" Type="http://schemas.openxmlformats.org/officeDocument/2006/relationships/chart" Target="charts/chart1.xml"/><Relationship Id="rId26" Type="http://schemas.openxmlformats.org/officeDocument/2006/relationships/image" Target="media/image2.bmp"/><Relationship Id="rId25" Type="http://schemas.openxmlformats.org/officeDocument/2006/relationships/theme" Target="theme/theme1.xml"/><Relationship Id="rId24" Type="http://schemas.openxmlformats.org/officeDocument/2006/relationships/footer" Target="footer8.xml"/><Relationship Id="rId23" Type="http://schemas.openxmlformats.org/officeDocument/2006/relationships/header" Target="header14.xml"/><Relationship Id="rId22" Type="http://schemas.openxmlformats.org/officeDocument/2006/relationships/header" Target="header13.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9.xml"/><Relationship Id="rId15" Type="http://schemas.openxmlformats.org/officeDocument/2006/relationships/header" Target="header8.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E:\1&#12289;&#36130;&#25919;&#24037;&#20316;\&#39044;&#20915;&#31639;\&#39044;&#20915;&#31639;&#20844;&#24320;\2019\2019&#20915;&#31639;\2019&#24180;&#39044;&#31639;&#20844;&#24320;&#65288;&#21333;&#20301;&#19975;&#20803;&#65289;.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E:\1&#12289;&#36130;&#25919;&#24037;&#20316;\&#39044;&#20915;&#31639;\&#39044;&#20915;&#31639;&#32534;&#21046;\&#39044;&#31639;\2021&#24180;&#39044;&#31639;\3&#12289;&#39044;&#31639;&#32534;&#21046;\18.&#38468;&#34920;2-2021&#24180;&#39044;&#31639;&#21333;&#20301;&#22522;&#30784;&#20449;&#24687;&#3492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E:\1&#12289;&#36130;&#25919;&#24037;&#20316;\&#39044;&#20915;&#31639;\&#39044;&#20915;&#31639;&#20844;&#24320;\2019\2019&#20915;&#31639;\2019&#24180;&#39044;&#31639;&#20844;&#24320;&#65288;&#21333;&#20301;&#19975;&#20803;&#65289;.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t>收入构成情况</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[工作簿1]Sheet1!$I$3:$I$6</c:f>
              <c:strCache>
                <c:ptCount val="4"/>
                <c:pt idx="0">
                  <c:v>财政拨款收入</c:v>
                </c:pt>
                <c:pt idx="1">
                  <c:v>事业收入</c:v>
                </c:pt>
                <c:pt idx="2">
                  <c:v>经营收入</c:v>
                </c:pt>
                <c:pt idx="3">
                  <c:v>其他收入</c:v>
                </c:pt>
              </c:strCache>
            </c:strRef>
          </c:cat>
          <c:val>
            <c:numRef>
              <c:f>[工作簿1]Sheet1!$J$3:$J$6</c:f>
              <c:numCache>
                <c:formatCode>#,##0.00</c:formatCode>
                <c:ptCount val="4"/>
                <c:pt idx="0">
                  <c:v>5918.98</c:v>
                </c:pt>
                <c:pt idx="1" c:formatCode="General">
                  <c:v>0</c:v>
                </c:pt>
                <c:pt idx="2" c:formatCode="General">
                  <c:v>0</c:v>
                </c:pt>
                <c:pt idx="3" c:formatCode="General">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t>支出构成情况（按支出性质）</a:t>
            </a:r>
          </a:p>
        </c:rich>
      </c:tx>
      <c:layout>
        <c:manualLayout>
          <c:xMode val="edge"/>
          <c:yMode val="edge"/>
          <c:x val="0.152044231049032"/>
          <c:y val="0.030607476635514"/>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9</a:t>
                    </a:r>
                    <a:r>
                      <a:rPr lang="en-US" altLang="zh-CN"/>
                      <a:t>7.3</a:t>
                    </a:r>
                    <a:r>
                      <a:t>%</a:t>
                    </a:r>
                  </a:p>
                </c:rich>
              </c:tx>
              <c:dLblPos val="ctr"/>
              <c:showLegendKey val="0"/>
              <c:showVal val="0"/>
              <c:showCatName val="0"/>
              <c:showSerName val="0"/>
              <c:showPercent val="1"/>
              <c:showBubbleSize val="0"/>
              <c:extLst>
                <c:ext xmlns:c15="http://schemas.microsoft.com/office/drawing/2012/chart" uri="{CE6537A1-D6FC-4f65-9D91-7224C49458BB}">
                  <c15:layout>
                    <c:manualLayout>
                      <c:w val="0.111234882240611"/>
                      <c:h val="0.10352422907489"/>
                    </c:manualLayout>
                  </c15:layout>
                </c:ext>
              </c:extLst>
            </c:dLbl>
            <c:dLbl>
              <c:idx val="1"/>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2</a:t>
                    </a:r>
                    <a:r>
                      <a:rPr lang="en-US" altLang="zh-CN"/>
                      <a:t>.7</a:t>
                    </a:r>
                    <a:r>
                      <a:t>%</a:t>
                    </a:r>
                  </a:p>
                </c:rich>
              </c:tx>
              <c:dLblPos val="ctr"/>
              <c:showLegendKey val="0"/>
              <c:showVal val="0"/>
              <c:showCatName val="0"/>
              <c:showSerName val="0"/>
              <c:showPercent val="1"/>
              <c:showBubbleSize val="0"/>
              <c:extLst>
                <c:ext xmlns:c15="http://schemas.microsoft.com/office/drawing/2012/chart" uri="{CE6537A1-D6FC-4f65-9D91-7224C49458BB}">
                  <c15:layout>
                    <c:manualLayout>
                      <c:w val="0.105983450031827"/>
                      <c:h val="0.0871617369414726"/>
                    </c:manualLayout>
                  </c15:layout>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[工作簿1]Sheet1!$I$3:$I$4</c:f>
              <c:strCache>
                <c:ptCount val="2"/>
                <c:pt idx="0">
                  <c:v>基本支出</c:v>
                </c:pt>
                <c:pt idx="1">
                  <c:v>项目支出</c:v>
                </c:pt>
              </c:strCache>
            </c:strRef>
          </c:cat>
          <c:val>
            <c:numRef>
              <c:f>[工作簿1]Sheet1!$J$3:$J$4</c:f>
              <c:numCache>
                <c:formatCode>#,##0.00</c:formatCode>
                <c:ptCount val="2"/>
                <c:pt idx="0">
                  <c:v>5778.98</c:v>
                </c:pt>
                <c:pt idx="1" c:formatCode="General">
                  <c:v>140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2018</a:t>
            </a:r>
            <a:r>
              <a:rPr lang="en-US" altLang="zh-CN"/>
              <a:t>-2019</a:t>
            </a:r>
            <a:r>
              <a:rPr altLang="en-US"/>
              <a:t>年</a:t>
            </a:r>
            <a:r>
              <a:t>财政收支情况</a:t>
            </a:r>
          </a:p>
          <a:p>
            <a:pPr defTabSz="914400">
              <a:defRPr lang="zh-CN" sz="1400" b="0" i="0" u="none" strike="noStrike" kern="1200" spc="0" baseline="0">
                <a:solidFill>
                  <a:schemeClr val="tx1">
                    <a:lumMod val="65000"/>
                    <a:lumOff val="35000"/>
                  </a:schemeClr>
                </a:solidFill>
                <a:latin typeface="+mn-lt"/>
                <a:ea typeface="+mn-ea"/>
                <a:cs typeface="+mn-cs"/>
              </a:defRPr>
            </a:pPr>
          </a:p>
        </c:rich>
      </c:tx>
      <c:layout/>
      <c:overlay val="0"/>
      <c:spPr>
        <a:noFill/>
        <a:ln>
          <a:noFill/>
        </a:ln>
        <a:effectLst/>
      </c:spPr>
    </c:title>
    <c:autoTitleDeleted val="0"/>
    <c:plotArea>
      <c:layout/>
      <c:barChart>
        <c:barDir val="col"/>
        <c:grouping val="clustered"/>
        <c:varyColors val="0"/>
        <c:ser>
          <c:idx val="0"/>
          <c:order val="0"/>
          <c:tx>
            <c:strRef>
              <c:f>"2019年度"</c:f>
              <c:strCache>
                <c:ptCount val="1"/>
                <c:pt idx="0">
                  <c:v>2019年度</c:v>
                </c:pt>
              </c:strCache>
            </c:strRef>
          </c:tx>
          <c:spPr>
            <a:solidFill>
              <a:schemeClr val="accent1"/>
            </a:solidFill>
            <a:ln>
              <a:noFill/>
            </a:ln>
            <a:effectLst/>
          </c:spPr>
          <c:invertIfNegative val="0"/>
          <c:dLbls>
            <c:delete val="1"/>
          </c:dLbls>
          <c:cat>
            <c:strRef>
              <c:f>'[2019年预算公开（单位万元）.xls]Z04 支出决算表(公开03表)'!$N$15:$O$15</c:f>
              <c:strCache>
                <c:ptCount val="2"/>
                <c:pt idx="0">
                  <c:v>财政拨款收入</c:v>
                </c:pt>
                <c:pt idx="1">
                  <c:v>财政拨款支出</c:v>
                </c:pt>
              </c:strCache>
            </c:strRef>
          </c:cat>
          <c:val>
            <c:numRef>
              <c:f>'[2019年预算公开（单位万元）.xls]Z04 支出决算表(公开03表)'!$N$16:$O$16</c:f>
              <c:numCache>
                <c:formatCode>#,##0.00</c:formatCode>
                <c:ptCount val="2"/>
                <c:pt idx="0">
                  <c:v>4091.36</c:v>
                </c:pt>
                <c:pt idx="1">
                  <c:v>4091.36</c:v>
                </c:pt>
              </c:numCache>
            </c:numRef>
          </c:val>
        </c:ser>
        <c:ser>
          <c:idx val="1"/>
          <c:order val="1"/>
          <c:tx>
            <c:strRef>
              <c:f>"2018年度"</c:f>
              <c:strCache>
                <c:ptCount val="1"/>
                <c:pt idx="0">
                  <c:v>2018年度</c:v>
                </c:pt>
              </c:strCache>
            </c:strRef>
          </c:tx>
          <c:spPr>
            <a:solidFill>
              <a:schemeClr val="accent2"/>
            </a:solidFill>
            <a:ln>
              <a:noFill/>
            </a:ln>
            <a:effectLst/>
          </c:spPr>
          <c:invertIfNegative val="0"/>
          <c:dLbls>
            <c:delete val="1"/>
          </c:dLbls>
          <c:cat>
            <c:strRef>
              <c:f>'[2019年预算公开（单位万元）.xls]Z04 支出决算表(公开03表)'!$N$15:$O$15</c:f>
              <c:strCache>
                <c:ptCount val="2"/>
                <c:pt idx="0">
                  <c:v>财政拨款收入</c:v>
                </c:pt>
                <c:pt idx="1">
                  <c:v>财政拨款支出</c:v>
                </c:pt>
              </c:strCache>
            </c:strRef>
          </c:cat>
          <c:val>
            <c:numRef>
              <c:f>'[2019年预算公开（单位万元）.xls]Z04 支出决算表(公开03表)'!$N$17:$O$17</c:f>
              <c:numCache>
                <c:formatCode>#,##0.00</c:formatCode>
                <c:ptCount val="2"/>
                <c:pt idx="0">
                  <c:v>5918.98</c:v>
                </c:pt>
                <c:pt idx="1">
                  <c:v>5918.98</c:v>
                </c:pt>
              </c:numCache>
            </c:numRef>
          </c:val>
        </c:ser>
        <c:dLbls>
          <c:showLegendKey val="0"/>
          <c:showVal val="0"/>
          <c:showCatName val="0"/>
          <c:showSerName val="0"/>
          <c:showPercent val="0"/>
          <c:showBubbleSize val="0"/>
        </c:dLbls>
        <c:gapWidth val="219"/>
        <c:overlap val="-27"/>
        <c:axId val="900618578"/>
        <c:axId val="742442098"/>
      </c:barChart>
      <c:catAx>
        <c:axId val="90061857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2442098"/>
        <c:crosses val="autoZero"/>
        <c:auto val="1"/>
        <c:lblAlgn val="ctr"/>
        <c:lblOffset val="100"/>
        <c:noMultiLvlLbl val="0"/>
      </c:catAx>
      <c:valAx>
        <c:axId val="74244209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00618578"/>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财政拨款收支与预算对比</a:t>
            </a:r>
          </a:p>
        </c:rich>
      </c:tx>
      <c:layout/>
      <c:overlay val="0"/>
      <c:spPr>
        <a:noFill/>
        <a:ln>
          <a:noFill/>
        </a:ln>
        <a:effectLst/>
      </c:spPr>
    </c:title>
    <c:autoTitleDeleted val="0"/>
    <c:plotArea>
      <c:layout/>
      <c:barChart>
        <c:barDir val="col"/>
        <c:grouping val="clustered"/>
        <c:varyColors val="0"/>
        <c:ser>
          <c:idx val="0"/>
          <c:order val="0"/>
          <c:tx>
            <c:strRef>
              <c:f>"年初预算"</c:f>
              <c:strCache>
                <c:ptCount val="1"/>
                <c:pt idx="0">
                  <c:v>年初预算</c:v>
                </c:pt>
              </c:strCache>
            </c:strRef>
          </c:tx>
          <c:spPr>
            <a:solidFill>
              <a:schemeClr val="accent1"/>
            </a:solidFill>
            <a:ln>
              <a:noFill/>
            </a:ln>
            <a:effectLst/>
          </c:spPr>
          <c:invertIfNegative val="0"/>
          <c:dLbls>
            <c:delete val="1"/>
          </c:dLbls>
          <c:cat>
            <c:strRef>
              <c:f>'[18.附表2-2021年预算单位基础信息表.xls]机构编制信息表'!$F$10:$G$10</c:f>
              <c:strCache>
                <c:ptCount val="2"/>
                <c:pt idx="0">
                  <c:v>收入</c:v>
                </c:pt>
                <c:pt idx="1">
                  <c:v>支出</c:v>
                </c:pt>
              </c:strCache>
            </c:strRef>
          </c:cat>
          <c:val>
            <c:numRef>
              <c:f>'[18.附表2-2021年预算单位基础信息表.xls]机构编制信息表'!$F$11:$G$11</c:f>
              <c:numCache>
                <c:formatCode>General</c:formatCode>
                <c:ptCount val="2"/>
                <c:pt idx="0">
                  <c:v>4600.06</c:v>
                </c:pt>
                <c:pt idx="1">
                  <c:v>4600.06</c:v>
                </c:pt>
              </c:numCache>
            </c:numRef>
          </c:val>
        </c:ser>
        <c:ser>
          <c:idx val="1"/>
          <c:order val="1"/>
          <c:tx>
            <c:strRef>
              <c:f>"财政拨款"</c:f>
              <c:strCache>
                <c:ptCount val="1"/>
                <c:pt idx="0">
                  <c:v>财政拨款</c:v>
                </c:pt>
              </c:strCache>
            </c:strRef>
          </c:tx>
          <c:spPr>
            <a:solidFill>
              <a:schemeClr val="accent2"/>
            </a:solidFill>
            <a:ln>
              <a:noFill/>
            </a:ln>
            <a:effectLst/>
          </c:spPr>
          <c:invertIfNegative val="0"/>
          <c:dLbls>
            <c:delete val="1"/>
          </c:dLbls>
          <c:cat>
            <c:strRef>
              <c:f>'[18.附表2-2021年预算单位基础信息表.xls]机构编制信息表'!$F$10:$G$10</c:f>
              <c:strCache>
                <c:ptCount val="2"/>
                <c:pt idx="0">
                  <c:v>收入</c:v>
                </c:pt>
                <c:pt idx="1">
                  <c:v>支出</c:v>
                </c:pt>
              </c:strCache>
            </c:strRef>
          </c:cat>
          <c:val>
            <c:numRef>
              <c:f>'[18.附表2-2021年预算单位基础信息表.xls]机构编制信息表'!$F$12:$G$12</c:f>
              <c:numCache>
                <c:formatCode>#,##0.00</c:formatCode>
                <c:ptCount val="2"/>
                <c:pt idx="0">
                  <c:v>4216.99</c:v>
                </c:pt>
                <c:pt idx="1">
                  <c:v>4216.99</c:v>
                </c:pt>
              </c:numCache>
            </c:numRef>
          </c:val>
        </c:ser>
        <c:dLbls>
          <c:showLegendKey val="0"/>
          <c:showVal val="0"/>
          <c:showCatName val="0"/>
          <c:showSerName val="0"/>
          <c:showPercent val="0"/>
          <c:showBubbleSize val="0"/>
        </c:dLbls>
        <c:gapWidth val="219"/>
        <c:overlap val="-27"/>
        <c:axId val="544258040"/>
        <c:axId val="48223780"/>
      </c:barChart>
      <c:catAx>
        <c:axId val="5442580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223780"/>
        <c:crosses val="autoZero"/>
        <c:auto val="1"/>
        <c:lblAlgn val="ctr"/>
        <c:lblOffset val="100"/>
        <c:noMultiLvlLbl val="0"/>
      </c:catAx>
      <c:valAx>
        <c:axId val="482237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4425804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支出占比</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'[2019年预算公开（单位万元）.xls]Z01 收入支出决算总表(公开01表)'!$J$16:$J$17</c:f>
              <c:strCache>
                <c:ptCount val="2"/>
                <c:pt idx="0">
                  <c:v>一般公共服务</c:v>
                </c:pt>
                <c:pt idx="1">
                  <c:v>教育支出</c:v>
                </c:pt>
              </c:strCache>
            </c:strRef>
          </c:cat>
          <c:val>
            <c:numRef>
              <c:f>'[2019年预算公开（单位万元）.xls]Z01 收入支出决算总表(公开01表)'!$K$16:$K$17</c:f>
              <c:numCache>
                <c:formatCode>#,##0.00</c:formatCode>
                <c:ptCount val="2"/>
                <c:pt idx="0">
                  <c:v>830.66</c:v>
                </c:pt>
                <c:pt idx="1">
                  <c:v>3260.7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7</TotalTime>
  <ScaleCrop>false</ScaleCrop>
  <LinksUpToDate>false</LinksUpToDate>
  <CharactersWithSpaces>11119</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2021-05-20T03:43:17Z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FB0276B104A8459D95E15BDE533D9E80</vt:lpwstr>
  </property>
</Properties>
</file>