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中共石家庄市藁城区委区直机关工作委员会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pPr>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1、统一规划区直机关党的建设，指导区直各部门和具有行政职能的事业单位党的建设工作。</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2、指导区直机关各党组织和党员的理论、党的路线、方针、政策及决议的学习、贯彻、落实，协同区直有关部门指导、规划、协调、监督、检查区直机关的干部教育和培训工作。</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指导区直机关各党组织加强党的组织建设，做好对党员的管理和党规党纪的教育工作，在实施对发展党员工作宏观指导的同时，审批区直属总支、支部发展党员和预备党员转正、搞好区直机关入党积极分子的考察、培训和组织发展工作。指导区直各机关党组织搞好民主评议党员工作，党员领导干部理论学习和民主生活会的管理。指导区直各部门机关党组织协助党组（党委）管理机关党组织和群团组织的干部；配合组织人事部门对机关行政领导干部进行考核和民主评议，对干部任免、调动、奖惩提出意见和建议。</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4、指导区直机关各级党组织加强党风和廉政建设，实施对党员特别是党员领导干部的监督，定期了解各部门党员和群众对部门领导干部的意见，及时向市委反映区直各单位领导班子及领导干部的情况和问题。</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5、指导区直机关各级党组织做好党员、干部、职工的思想政治工作，推进机关社会主义精神文明建设，承担区直机关思想、道德文化建设的工作及普法工作。</w:t>
      </w:r>
    </w:p>
    <w:p>
      <w:pPr>
        <w:pStyle w:val="14"/>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6、领导区直机关工会、共青团、妇联等群众组织的工作。</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仿宋_GB2312" w:eastAsia="仿宋_GB2312" w:cs="仿宋_GB2312"/>
          <w:sz w:val="32"/>
          <w:szCs w:val="32"/>
        </w:rPr>
        <w:t>7、做好党内纪委检查和信访及社会稳定。</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mbria" w:eastAsia="仿宋_GB2312" w:cs="ArialUnicodeMS"/>
                <w:kern w:val="0"/>
                <w:sz w:val="28"/>
                <w:szCs w:val="28"/>
              </w:rPr>
              <w:t>中共石家庄市藁城区直机关工作委员会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bookmarkStart w:id="0" w:name="_GoBack"/>
      <w:bookmarkEnd w:id="0"/>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本部门2019年度收支总计（含结转和结余）142.26万元。与2018年度决算相比，收支各增加40.18万元，增长39.36%，主要原因是人员、项目经费增加。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本部门2019年度本年收入合计142.26万元，其中：财政拨款收入142.26万元，占100%；事业收入0万元，占0%；经营收入0万元，占0%；其他收入0万元，占0%。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本部门2019年度本年支出合计142.26万元，其中：基本支出121.51万元，占85.41%；项目支出19.03万元，占14.59%；经营支出0万元，占0%。如图所示：</w:t>
      </w:r>
    </w:p>
    <w:p>
      <w:pPr>
        <w:adjustRightInd w:val="0"/>
        <w:snapToGrid w:val="0"/>
        <w:spacing w:line="580" w:lineRule="exact"/>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437283840" behindDoc="0" locked="0" layoutInCell="1" allowOverlap="1">
            <wp:simplePos x="0" y="0"/>
            <wp:positionH relativeFrom="column">
              <wp:posOffset>458470</wp:posOffset>
            </wp:positionH>
            <wp:positionV relativeFrom="paragraph">
              <wp:posOffset>287020</wp:posOffset>
            </wp:positionV>
            <wp:extent cx="4219575" cy="2095500"/>
            <wp:effectExtent l="0" t="0" r="9525" b="1905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142.26万元,比2018年度增加40.18万元，增长39.36%，主要是人员、项目经费增加；本年支出140.54万元，增加38.46万元，增长27.37%，主要是人员、项目经费增加。</w:t>
      </w:r>
    </w:p>
    <w:p>
      <w:pPr>
        <w:snapToGrid w:val="0"/>
        <w:spacing w:line="580" w:lineRule="exact"/>
        <w:ind w:firstLine="643" w:firstLineChars="200"/>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437284864" behindDoc="0" locked="0" layoutInCell="1" allowOverlap="1">
            <wp:simplePos x="0" y="0"/>
            <wp:positionH relativeFrom="column">
              <wp:posOffset>401320</wp:posOffset>
            </wp:positionH>
            <wp:positionV relativeFrom="paragraph">
              <wp:posOffset>128270</wp:posOffset>
            </wp:positionV>
            <wp:extent cx="5438775" cy="1905000"/>
            <wp:effectExtent l="0" t="0" r="9525" b="19050"/>
            <wp:wrapSquare wrapText="bothSides"/>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141.26万元，完成年初预算的101%,比年初预算增加1.41万元，决算数大于预算数主要原因是人员、项目经费增加；本年支出140.54万元，完成年初预算的100.49%,比年初预算增加0.69万元，决算数大于预算数主要原因是主要是人员、项目经费增加。</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437286912" behindDoc="0" locked="0" layoutInCell="1" allowOverlap="1">
            <wp:simplePos x="0" y="0"/>
            <wp:positionH relativeFrom="column">
              <wp:posOffset>239395</wp:posOffset>
            </wp:positionH>
            <wp:positionV relativeFrom="paragraph">
              <wp:posOffset>156845</wp:posOffset>
            </wp:positionV>
            <wp:extent cx="5019675" cy="2057400"/>
            <wp:effectExtent l="0" t="0" r="9525" b="19050"/>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140.54万元，主要用于以下方面：一般公共服务（类）支出140.54万元，占100%，；公共安全类（类）支出0万元，占0%；教育（类）支出0万元，占0%；科学技术（类）支出0万元，占0%；社会保障和就业（类）支出 0万元，占0%；住房保障（类）支出0万元，占 0%。</w:t>
      </w:r>
    </w:p>
    <w:p>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437285888" behindDoc="0" locked="0" layoutInCell="1" allowOverlap="1">
            <wp:simplePos x="0" y="0"/>
            <wp:positionH relativeFrom="column">
              <wp:posOffset>172720</wp:posOffset>
            </wp:positionH>
            <wp:positionV relativeFrom="paragraph">
              <wp:posOffset>213995</wp:posOffset>
            </wp:positionV>
            <wp:extent cx="4991100" cy="1781175"/>
            <wp:effectExtent l="0" t="0" r="19050" b="9525"/>
            <wp:wrapSquare wrapText="bothSides"/>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年度财政拨款基本支出142.26万元，其中：人员经费 104.58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16.93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本部门2019年度“三公”经费支出共计0万元，完成预算的0%,较预算增加0万元，增长0%，；较2018年度增加0万元，增长0%，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本部门2019年度因公出国（境）团组0个、共0人/参加其他单位组织的因公出国（境）团组0个、共0人/无本单位组织的出国（境）团组。因公出国（境）费支出较预算增加0万元，增长x%；较上年增加0万元，增长0%,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本部门2019年度公务用车购置及运行维护费较预算减少0万元，降低0%；较上年减少0万元，降低0%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本部门2019年度公务用车购置量0辆，发生“公务用车购置”经费支出0万元。公务用车购置费支出较预算增加0万元，增长0%；较上年增加0万元，增长0%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本部门2019年度单位公务用车保有量0辆。公车运行维护费支出较预算增加0万元，增长0%；较上年增加0万元，增长0%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本部门2019年度公务接待共0批次、0人次。公务接待费支出较预算减少0万元，降低0%；较上年度减少0万元，降低0%</w:t>
      </w:r>
      <w:r>
        <w:rPr>
          <w:rFonts w:hint="eastAsia" w:ascii="仿宋_GB2312" w:hAnsi="Times New Roman" w:eastAsia="仿宋_GB2312" w:cs="DengXian-Regular"/>
          <w:sz w:val="32"/>
          <w:szCs w:val="32"/>
          <w:lang w:eastAsia="zh-CN"/>
        </w:rPr>
        <w:t>，与上年相比无增减变化</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4个，二级项目0个，共涉及资金15.9万元，占一般公共预算项目支出总额的100%。组织对2019年度等0个政府性基金预算项目支出开展绩效自评，共涉及资金0万元，占政府性基金预算项目支出总额的0。组织对运动会、机关效能评议等4个项目开展了部门评价，涉及一般公共预算支出15.9万元，政府性基金预算支出0万元。其中，无委托第三方机构开展绩效评价。</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本部门在今年部门决算公开中反映4项目绩效自评结果。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运动会项目自评综述：根据年初设定的绩效目标，运动会项目绩效自评得分为100分（绩效自评表附后）。全年预算数为3万元，执行数为3万元，完成预算的100%。</w:t>
      </w:r>
    </w:p>
    <w:p>
      <w:pPr>
        <w:keepNext/>
        <w:keepLines/>
        <w:numPr>
          <w:numId w:val="0"/>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left="640"/>
        <w:outlineLvl w:val="1"/>
        <w:rPr>
          <w:rFonts w:ascii="仿宋_GB2312" w:hAnsi="仿宋_GB2312" w:eastAsia="仿宋_GB2312" w:cs="仿宋_GB2312"/>
          <w:b/>
          <w:bCs/>
          <w:sz w:val="32"/>
          <w:szCs w:val="32"/>
        </w:rPr>
      </w:pPr>
      <w:r>
        <w:rPr>
          <w:rFonts w:hint="eastAsia" w:ascii="仿宋_GB2312" w:hAnsi="仿宋_GB2312" w:eastAsia="仿宋_GB2312" w:cs="仿宋_GB2312"/>
          <w:sz w:val="32"/>
          <w:szCs w:val="32"/>
        </w:rPr>
        <w:t>无</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本部门2019年度机关运行经费支出16.93万元，比2018年度增加13.75万元，增长432.41%。主要原因是机关运行经费增加。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增加0辆。其中，副部（省）级及以上领导用车0辆，主要领导干部用车0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本部门2019年度项目结转1.7222万元。</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 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
    <w:p/>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2DAA"/>
    <w:rsid w:val="000A39FB"/>
    <w:rsid w:val="00117154"/>
    <w:rsid w:val="00117746"/>
    <w:rsid w:val="00130B83"/>
    <w:rsid w:val="00163F95"/>
    <w:rsid w:val="00180A9A"/>
    <w:rsid w:val="001829C0"/>
    <w:rsid w:val="00184809"/>
    <w:rsid w:val="00192112"/>
    <w:rsid w:val="001B0127"/>
    <w:rsid w:val="001C12D5"/>
    <w:rsid w:val="001C69F7"/>
    <w:rsid w:val="001D6F97"/>
    <w:rsid w:val="002650EC"/>
    <w:rsid w:val="002A6C46"/>
    <w:rsid w:val="002C19B5"/>
    <w:rsid w:val="00382299"/>
    <w:rsid w:val="003A4EE8"/>
    <w:rsid w:val="003B4216"/>
    <w:rsid w:val="00442CC2"/>
    <w:rsid w:val="00446244"/>
    <w:rsid w:val="00473C20"/>
    <w:rsid w:val="004D61CB"/>
    <w:rsid w:val="005011D6"/>
    <w:rsid w:val="00503F2E"/>
    <w:rsid w:val="00552226"/>
    <w:rsid w:val="00566120"/>
    <w:rsid w:val="00582E6D"/>
    <w:rsid w:val="005954D5"/>
    <w:rsid w:val="005A53FA"/>
    <w:rsid w:val="005D1293"/>
    <w:rsid w:val="006411AF"/>
    <w:rsid w:val="00644D5F"/>
    <w:rsid w:val="00657F86"/>
    <w:rsid w:val="00660DFD"/>
    <w:rsid w:val="00665D03"/>
    <w:rsid w:val="006727AD"/>
    <w:rsid w:val="00691425"/>
    <w:rsid w:val="006A516E"/>
    <w:rsid w:val="006B0830"/>
    <w:rsid w:val="006B65CE"/>
    <w:rsid w:val="00716E2B"/>
    <w:rsid w:val="00770F18"/>
    <w:rsid w:val="00773B74"/>
    <w:rsid w:val="0078290C"/>
    <w:rsid w:val="007C06CA"/>
    <w:rsid w:val="007D3B5D"/>
    <w:rsid w:val="007F6D65"/>
    <w:rsid w:val="008163FB"/>
    <w:rsid w:val="0082605B"/>
    <w:rsid w:val="008307DA"/>
    <w:rsid w:val="00855C36"/>
    <w:rsid w:val="00857DBE"/>
    <w:rsid w:val="008701BC"/>
    <w:rsid w:val="008806FB"/>
    <w:rsid w:val="00883D92"/>
    <w:rsid w:val="008A5362"/>
    <w:rsid w:val="008F21F1"/>
    <w:rsid w:val="008F221B"/>
    <w:rsid w:val="008F5A2D"/>
    <w:rsid w:val="00921602"/>
    <w:rsid w:val="00957EA1"/>
    <w:rsid w:val="00966E5B"/>
    <w:rsid w:val="009B4EF0"/>
    <w:rsid w:val="009D271F"/>
    <w:rsid w:val="00A2584B"/>
    <w:rsid w:val="00A5707B"/>
    <w:rsid w:val="00A929C2"/>
    <w:rsid w:val="00AD097F"/>
    <w:rsid w:val="00B844F4"/>
    <w:rsid w:val="00BA06A1"/>
    <w:rsid w:val="00BA770A"/>
    <w:rsid w:val="00C054DE"/>
    <w:rsid w:val="00C679A9"/>
    <w:rsid w:val="00C7541C"/>
    <w:rsid w:val="00C83B3B"/>
    <w:rsid w:val="00CC0FAA"/>
    <w:rsid w:val="00CD0736"/>
    <w:rsid w:val="00D1570F"/>
    <w:rsid w:val="00D32830"/>
    <w:rsid w:val="00DA2592"/>
    <w:rsid w:val="00DB7153"/>
    <w:rsid w:val="00DB7F05"/>
    <w:rsid w:val="00DE2332"/>
    <w:rsid w:val="00E028C3"/>
    <w:rsid w:val="00E14F77"/>
    <w:rsid w:val="00E3076B"/>
    <w:rsid w:val="00E3259A"/>
    <w:rsid w:val="00E36978"/>
    <w:rsid w:val="00E41F73"/>
    <w:rsid w:val="00E82A1E"/>
    <w:rsid w:val="00EA05EC"/>
    <w:rsid w:val="00EC06F4"/>
    <w:rsid w:val="00EE4E36"/>
    <w:rsid w:val="00F665F4"/>
    <w:rsid w:val="00FD225F"/>
    <w:rsid w:val="05B00A30"/>
    <w:rsid w:val="0B011416"/>
    <w:rsid w:val="178157DA"/>
    <w:rsid w:val="31C2036A"/>
    <w:rsid w:val="320D02A5"/>
    <w:rsid w:val="348E566F"/>
    <w:rsid w:val="3A226944"/>
    <w:rsid w:val="3AEE6A48"/>
    <w:rsid w:val="3C1620AA"/>
    <w:rsid w:val="3D8F080F"/>
    <w:rsid w:val="44CE1FA4"/>
    <w:rsid w:val="487F73ED"/>
    <w:rsid w:val="4A347EAE"/>
    <w:rsid w:val="52600405"/>
    <w:rsid w:val="529B4319"/>
    <w:rsid w:val="54741A7D"/>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customStyle="1" w:styleId="14">
    <w:name w:val="p0"/>
    <w:basedOn w:val="1"/>
    <w:uiPriority w:val="0"/>
    <w:pPr>
      <w:widowControl/>
      <w:spacing w:after="160"/>
    </w:pPr>
    <w:rPr>
      <w:rFonts w:ascii="Times New Roman" w:hAnsi="Times New Roman" w:eastAsia="宋体" w:cs="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178854257801108"/>
          <c:y val="0.133055555555556"/>
          <c:w val="0.464050925925926"/>
          <c:h val="0.795515873015873"/>
        </c:manualLayout>
      </c:layout>
      <c:pieChart>
        <c:varyColors val="1"/>
        <c:ser>
          <c:idx val="0"/>
          <c:order val="0"/>
          <c:tx>
            <c:strRef>
              <c:f>Sheet1!$B$1</c:f>
              <c:strCache>
                <c:ptCount val="1"/>
                <c:pt idx="0">
                  <c:v>支出</c:v>
                </c:pt>
              </c:strCache>
            </c:strRef>
          </c:tx>
          <c:explosion val="0"/>
          <c:dPt>
            <c:idx val="0"/>
            <c:bubble3D val="0"/>
          </c:dPt>
          <c:dPt>
            <c:idx val="1"/>
            <c:bubble3D val="0"/>
          </c:dPt>
          <c:dLbls>
            <c:delete val="1"/>
          </c:dLbls>
          <c:cat>
            <c:strRef>
              <c:f>Sheet1!$A$2:$A$3</c:f>
              <c:strCache>
                <c:ptCount val="2"/>
                <c:pt idx="0">
                  <c:v>基本支出</c:v>
                </c:pt>
                <c:pt idx="1">
                  <c:v>项目支出</c:v>
                </c:pt>
              </c:strCache>
            </c:strRef>
          </c:cat>
          <c:val>
            <c:numRef>
              <c:f>Sheet1!$B$2:$B$3</c:f>
              <c:numCache>
                <c:formatCode>General</c:formatCode>
                <c:ptCount val="2"/>
                <c:pt idx="0">
                  <c:v>121.51</c:v>
                </c:pt>
                <c:pt idx="1">
                  <c:v>19.03</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564003718285214"/>
          <c:y val="0.0198412698412698"/>
          <c:w val="0.788507035578886"/>
          <c:h val="0.862559680039995"/>
        </c:manualLayout>
      </c:layout>
      <c:barChart>
        <c:barDir val="col"/>
        <c:grouping val="clustered"/>
        <c:varyColors val="0"/>
        <c:ser>
          <c:idx val="0"/>
          <c:order val="0"/>
          <c:tx>
            <c:strRef>
              <c:f>Sheet1!$B$1</c:f>
              <c:strCache>
                <c:ptCount val="1"/>
                <c:pt idx="0">
                  <c:v>2018年</c:v>
                </c:pt>
              </c:strCache>
            </c:strRef>
          </c:tx>
          <c:invertIfNegative val="0"/>
          <c:dLbls>
            <c:delete val="1"/>
          </c:dLbls>
          <c:cat>
            <c:strRef>
              <c:f>Sheet1!$A$2:$A$3</c:f>
              <c:strCache>
                <c:ptCount val="2"/>
                <c:pt idx="0">
                  <c:v>收入</c:v>
                </c:pt>
                <c:pt idx="1">
                  <c:v>支出</c:v>
                </c:pt>
              </c:strCache>
            </c:strRef>
          </c:cat>
          <c:val>
            <c:numRef>
              <c:f>Sheet1!$B$2:$B$3</c:f>
              <c:numCache>
                <c:formatCode>General</c:formatCode>
                <c:ptCount val="2"/>
                <c:pt idx="0">
                  <c:v>102.08</c:v>
                </c:pt>
                <c:pt idx="1">
                  <c:v>102.08</c:v>
                </c:pt>
              </c:numCache>
            </c:numRef>
          </c:val>
        </c:ser>
        <c:ser>
          <c:idx val="1"/>
          <c:order val="1"/>
          <c:tx>
            <c:strRef>
              <c:f>Sheet1!$C$1</c:f>
              <c:strCache>
                <c:ptCount val="1"/>
                <c:pt idx="0">
                  <c:v>2019年</c:v>
                </c:pt>
              </c:strCache>
            </c:strRef>
          </c:tx>
          <c:invertIfNegative val="0"/>
          <c:dLbls>
            <c:delete val="1"/>
          </c:dLbls>
          <c:cat>
            <c:strRef>
              <c:f>Sheet1!$A$2:$A$3</c:f>
              <c:strCache>
                <c:ptCount val="2"/>
                <c:pt idx="0">
                  <c:v>收入</c:v>
                </c:pt>
                <c:pt idx="1">
                  <c:v>支出</c:v>
                </c:pt>
              </c:strCache>
            </c:strRef>
          </c:cat>
          <c:val>
            <c:numRef>
              <c:f>Sheet1!$C$2:$C$3</c:f>
              <c:numCache>
                <c:formatCode>General</c:formatCode>
                <c:ptCount val="2"/>
                <c:pt idx="0">
                  <c:v>142.26</c:v>
                </c:pt>
                <c:pt idx="1">
                  <c:v>140.54</c:v>
                </c:pt>
              </c:numCache>
            </c:numRef>
          </c:val>
        </c:ser>
        <c:dLbls>
          <c:showLegendKey val="0"/>
          <c:showVal val="0"/>
          <c:showCatName val="0"/>
          <c:showSerName val="0"/>
          <c:showPercent val="0"/>
          <c:showBubbleSize val="0"/>
        </c:dLbls>
        <c:gapWidth val="150"/>
        <c:axId val="134728704"/>
        <c:axId val="134738688"/>
      </c:barChart>
      <c:catAx>
        <c:axId val="134728704"/>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4738688"/>
        <c:crosses val="autoZero"/>
        <c:auto val="1"/>
        <c:lblAlgn val="ctr"/>
        <c:lblOffset val="100"/>
        <c:noMultiLvlLbl val="0"/>
      </c:catAx>
      <c:valAx>
        <c:axId val="13473868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4728704"/>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61218724213647"/>
          <c:y val="0.0282485875706215"/>
          <c:w val="0.736258234150571"/>
          <c:h val="0.804322256328128"/>
        </c:manualLayout>
      </c:layout>
      <c:barChart>
        <c:barDir val="col"/>
        <c:grouping val="clustered"/>
        <c:varyColors val="0"/>
        <c:ser>
          <c:idx val="0"/>
          <c:order val="0"/>
          <c:tx>
            <c:strRef>
              <c:f>Sheet1!$B$1</c:f>
              <c:strCache>
                <c:ptCount val="1"/>
                <c:pt idx="0">
                  <c:v>年初预算</c:v>
                </c:pt>
              </c:strCache>
            </c:strRef>
          </c:tx>
          <c:invertIfNegative val="0"/>
          <c:dLbls>
            <c:delete val="1"/>
          </c:dLbls>
          <c:cat>
            <c:strRef>
              <c:f>Sheet1!$A$2:$A$3</c:f>
              <c:strCache>
                <c:ptCount val="2"/>
                <c:pt idx="0">
                  <c:v>收入</c:v>
                </c:pt>
                <c:pt idx="1">
                  <c:v>支出</c:v>
                </c:pt>
              </c:strCache>
            </c:strRef>
          </c:cat>
          <c:val>
            <c:numRef>
              <c:f>Sheet1!$B$2:$B$3</c:f>
              <c:numCache>
                <c:formatCode>General</c:formatCode>
                <c:ptCount val="2"/>
                <c:pt idx="0">
                  <c:v>139.85</c:v>
                </c:pt>
                <c:pt idx="1">
                  <c:v>139.85</c:v>
                </c:pt>
              </c:numCache>
            </c:numRef>
          </c:val>
        </c:ser>
        <c:ser>
          <c:idx val="1"/>
          <c:order val="1"/>
          <c:tx>
            <c:strRef>
              <c:f>Sheet1!$C$1</c:f>
              <c:strCache>
                <c:ptCount val="1"/>
                <c:pt idx="0">
                  <c:v>决算</c:v>
                </c:pt>
              </c:strCache>
            </c:strRef>
          </c:tx>
          <c:invertIfNegative val="0"/>
          <c:dLbls>
            <c:delete val="1"/>
          </c:dLbls>
          <c:cat>
            <c:strRef>
              <c:f>Sheet1!$A$2:$A$3</c:f>
              <c:strCache>
                <c:ptCount val="2"/>
                <c:pt idx="0">
                  <c:v>收入</c:v>
                </c:pt>
                <c:pt idx="1">
                  <c:v>支出</c:v>
                </c:pt>
              </c:strCache>
            </c:strRef>
          </c:cat>
          <c:val>
            <c:numRef>
              <c:f>Sheet1!$C$2:$C$3</c:f>
              <c:numCache>
                <c:formatCode>General</c:formatCode>
                <c:ptCount val="2"/>
                <c:pt idx="0">
                  <c:v>141.26</c:v>
                </c:pt>
                <c:pt idx="1">
                  <c:v>140.54</c:v>
                </c:pt>
              </c:numCache>
            </c:numRef>
          </c:val>
        </c:ser>
        <c:dLbls>
          <c:showLegendKey val="0"/>
          <c:showVal val="0"/>
          <c:showCatName val="0"/>
          <c:showSerName val="0"/>
          <c:showPercent val="0"/>
          <c:showBubbleSize val="0"/>
        </c:dLbls>
        <c:gapWidth val="150"/>
        <c:axId val="293408128"/>
        <c:axId val="293716352"/>
      </c:barChart>
      <c:catAx>
        <c:axId val="29340812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93716352"/>
        <c:crosses val="autoZero"/>
        <c:auto val="1"/>
        <c:lblAlgn val="ctr"/>
        <c:lblOffset val="100"/>
        <c:noMultiLvlLbl val="0"/>
      </c:catAx>
      <c:valAx>
        <c:axId val="29371635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9340812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c:f>
              <c:strCache>
                <c:ptCount val="1"/>
                <c:pt idx="0">
                  <c:v>一般公共服务类</c:v>
                </c:pt>
              </c:strCache>
            </c:strRef>
          </c:cat>
          <c:val>
            <c:numRef>
              <c:f>Sheet1!$B$2</c:f>
              <c:numCache>
                <c:formatCode>General</c:formatCode>
                <c:ptCount val="1"/>
                <c:pt idx="0">
                  <c:v>140.54</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5B37EB-79D4-4CBE-8172-3D02049F7C96}">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20</Pages>
  <Words>4491</Words>
  <Characters>560</Characters>
  <Lines>4</Lines>
  <Paragraphs>10</Paragraphs>
  <TotalTime>0</TotalTime>
  <ScaleCrop>false</ScaleCrop>
  <LinksUpToDate>false</LinksUpToDate>
  <CharactersWithSpaces>5041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2021-05-20T01:57:56Z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