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Theme="minorEastAsia" w:hAnsiTheme="minorEastAsia" w:eastAsiaTheme="minorEastAsia"/>
          <w:b/>
          <w:sz w:val="72"/>
          <w:szCs w:val="72"/>
        </w:rPr>
      </w:pPr>
      <w:r>
        <w:rPr>
          <w:rFonts w:hint="eastAsia" w:hAnsi="宋体" w:asciiTheme="minorEastAsia" w:eastAsiaTheme="minorEastAsia"/>
          <w:color w:val="002060"/>
          <w:sz w:val="72"/>
          <w:szCs w:val="72"/>
          <w14:textOutline w14:w="5270" w14:cap="flat" w14:cmpd="sng" w14:algn="ctr">
            <w14:solidFill>
              <w14:srgbClr w14:val="7D7D7D">
                <w14:tint w14:val="100000"/>
                <w14:shade w14:val="100000"/>
                <w14:satMod w14:val="110000"/>
              </w14:srgbClr>
            </w14:solidFill>
            <w14:prstDash w14:val="solid"/>
            <w14:round/>
          </w14:textOutline>
        </w:rPr>
        <w:drawing>
          <wp:anchor distT="0" distB="0" distL="114300" distR="114300" simplePos="0" relativeHeight="251659264" behindDoc="1" locked="0" layoutInCell="1" allowOverlap="1">
            <wp:simplePos x="0" y="0"/>
            <wp:positionH relativeFrom="column">
              <wp:posOffset>-1000125</wp:posOffset>
            </wp:positionH>
            <wp:positionV relativeFrom="paragraph">
              <wp:posOffset>-1355090</wp:posOffset>
            </wp:positionV>
            <wp:extent cx="7576820" cy="10796905"/>
            <wp:effectExtent l="0" t="0" r="5080" b="4445"/>
            <wp:wrapNone/>
            <wp:docPr id="7"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1"/>
                    </pic:cNvPicPr>
                  </pic:nvPicPr>
                  <pic:blipFill>
                    <a:blip r:embed="rId6"/>
                    <a:stretch>
                      <a:fillRect/>
                    </a:stretch>
                  </pic:blipFill>
                  <pic:spPr>
                    <a:xfrm>
                      <a:off x="0" y="0"/>
                      <a:ext cx="7576820" cy="10796905"/>
                    </a:xfrm>
                    <a:prstGeom prst="rect">
                      <a:avLst/>
                    </a:prstGeom>
                  </pic:spPr>
                </pic:pic>
              </a:graphicData>
            </a:graphic>
          </wp:anchor>
        </w:drawing>
      </w:r>
    </w:p>
    <w:p>
      <w:pPr>
        <w:widowControl/>
        <w:jc w:val="center"/>
        <w:rPr>
          <w:rFonts w:hAnsi="宋体" w:asciiTheme="minorEastAsia" w:eastAsiaTheme="minorEastAsia"/>
          <w:color w:val="002060"/>
          <w:sz w:val="72"/>
          <w:szCs w:val="72"/>
          <w14:textOutline w14:w="5270" w14:cap="flat" w14:cmpd="sng" w14:algn="ctr">
            <w14:solidFill>
              <w14:srgbClr w14:val="7D7D7D">
                <w14:tint w14:val="100000"/>
                <w14:shade w14:val="100000"/>
                <w14:satMod w14:val="110000"/>
              </w14:srgbClr>
            </w14:solidFill>
            <w14:prstDash w14:val="solid"/>
            <w14:round/>
          </w14:textOutline>
        </w:rPr>
      </w:pPr>
      <w:r>
        <w:rPr>
          <w:sz w:val="72"/>
        </w:rPr>
        <mc:AlternateContent>
          <mc:Choice Requires="wps">
            <w:drawing>
              <wp:anchor distT="0" distB="0" distL="114300" distR="114300" simplePos="0" relativeHeight="251660288" behindDoc="0" locked="0" layoutInCell="1" allowOverlap="1">
                <wp:simplePos x="0" y="0"/>
                <wp:positionH relativeFrom="column">
                  <wp:posOffset>-1055370</wp:posOffset>
                </wp:positionH>
                <wp:positionV relativeFrom="paragraph">
                  <wp:posOffset>549275</wp:posOffset>
                </wp:positionV>
                <wp:extent cx="7571740" cy="2111375"/>
                <wp:effectExtent l="0" t="0" r="0" b="0"/>
                <wp:wrapNone/>
                <wp:docPr id="8" name="文本框 8"/>
                <wp:cNvGraphicFramePr/>
                <a:graphic xmlns:a="http://schemas.openxmlformats.org/drawingml/2006/main">
                  <a:graphicData uri="http://schemas.microsoft.com/office/word/2010/wordprocessingShape">
                    <wps:wsp>
                      <wps:cNvSpPr txBox="1"/>
                      <wps:spPr>
                        <a:xfrm>
                          <a:off x="1435100" y="2519045"/>
                          <a:ext cx="7571740" cy="21113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藁城区广播电视台</w:t>
                            </w:r>
                          </w:p>
                          <w:p>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2018年度部门决算</w:t>
                            </w:r>
                          </w:p>
                          <w:p>
                            <w:pP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3.1pt;margin-top:43.25pt;height:166.25pt;width:596.2pt;z-index:251660288;mso-width-relative:page;mso-height-relative:page;" filled="f" stroked="f" coordsize="21600,21600" o:gfxdata="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藁城区广播电视台</w:t>
                      </w:r>
                    </w:p>
                    <w:p>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2018年度部门决算</w:t>
                      </w:r>
                    </w:p>
                    <w:p>
                      <w:pP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p>
                  </w:txbxContent>
                </v:textbox>
              </v:shape>
            </w:pict>
          </mc:Fallback>
        </mc:AlternateContent>
      </w: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楷体" w:hAnsi="楷体" w:eastAsia="楷体" w:cs="楷体"/>
          <w:b/>
          <w:sz w:val="40"/>
          <w:szCs w:val="40"/>
        </w:rPr>
      </w:pPr>
    </w:p>
    <w:p>
      <w:pPr>
        <w:widowControl/>
        <w:jc w:val="center"/>
        <w:rPr>
          <w:rFonts w:ascii="楷体_GB2312" w:hAnsi="楷体" w:eastAsia="楷体_GB2312" w:cs="楷体"/>
          <w:b/>
          <w:sz w:val="40"/>
          <w:szCs w:val="40"/>
        </w:rPr>
        <w:sectPr>
          <w:pgSz w:w="11906" w:h="16838"/>
          <w:pgMar w:top="2098" w:right="1474" w:bottom="1985" w:left="1588" w:header="851" w:footer="992" w:gutter="0"/>
          <w:cols w:space="425"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一九年十</w:t>
      </w:r>
      <w:r>
        <w:rPr>
          <w:rFonts w:hint="eastAsia" w:ascii="楷体_GB2312" w:hAnsi="楷体" w:eastAsia="楷体_GB2312" w:cs="楷体"/>
          <w:b/>
          <w:sz w:val="40"/>
          <w:szCs w:val="40"/>
        </w:rPr>
        <w:t>月二十九日</w:t>
      </w:r>
    </w:p>
    <w:p>
      <w:pPr>
        <w:spacing w:before="624" w:beforeLines="200" w:after="0" w:line="1000" w:lineRule="exact"/>
        <w:jc w:val="center"/>
        <w:rPr>
          <w:rFonts w:ascii="黑体" w:eastAsia="黑体"/>
          <w:sz w:val="48"/>
          <w:szCs w:val="48"/>
        </w:rPr>
      </w:pPr>
      <w:r>
        <w:rPr>
          <w:sz w:val="48"/>
          <w:szCs w:val="28"/>
        </w:rPr>
        <mc:AlternateContent>
          <mc:Choice Requires="wpg">
            <w:drawing>
              <wp:anchor distT="0" distB="0" distL="114300" distR="114300" simplePos="0" relativeHeight="251673600" behindDoc="0" locked="1" layoutInCell="1" allowOverlap="0">
                <wp:simplePos x="0" y="0"/>
                <wp:positionH relativeFrom="column">
                  <wp:posOffset>-1026160</wp:posOffset>
                </wp:positionH>
                <wp:positionV relativeFrom="page">
                  <wp:posOffset>507365</wp:posOffset>
                </wp:positionV>
                <wp:extent cx="3175635" cy="593090"/>
                <wp:effectExtent l="3175" t="0" r="2540" b="16510"/>
                <wp:wrapNone/>
                <wp:docPr id="179" name="组合 179"/>
                <wp:cNvGraphicFramePr/>
                <a:graphic xmlns:a="http://schemas.openxmlformats.org/drawingml/2006/main">
                  <a:graphicData uri="http://schemas.microsoft.com/office/word/2010/wordprocessingGroup">
                    <wpg:wgp>
                      <wpg:cNvGrpSpPr/>
                      <wpg:grpSpPr>
                        <a:xfrm>
                          <a:off x="0" y="0"/>
                          <a:ext cx="3175635" cy="593090"/>
                          <a:chOff x="4551" y="52615"/>
                          <a:chExt cx="8546" cy="1398"/>
                        </a:xfrm>
                      </wpg:grpSpPr>
                      <wps:wsp>
                        <wps:cNvPr id="180"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1"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6"/>
                                  <w:szCs w:val="36"/>
                                </w:rPr>
                              </w:pPr>
                              <w:r>
                                <w:rPr>
                                  <w:rFonts w:hint="eastAsia" w:ascii="楷体" w:hAnsi="楷体" w:eastAsia="楷体" w:cs="楷体"/>
                                  <w:b/>
                                  <w:bCs/>
                                  <w:color w:val="FDEFBE"/>
                                  <w:kern w:val="0"/>
                                  <w:sz w:val="36"/>
                                  <w:szCs w:val="36"/>
                                  <w:lang w:bidi="ar"/>
                                </w:rPr>
                                <w:t>2018年度部门决算☞目 录</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8pt;margin-top:39.95pt;height:46.7pt;width:250.05pt;mso-position-vertical-relative:page;z-index:251673600;mso-width-relative:page;mso-height-relative:page;" coordorigin="4551,52615" coordsize="8546,1398" o:allowoverlap="f" o:gfxdata="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V2GoBr8AAADc&#10;AAAADwAAAGRycy9kb3ducmV2LnhtbEWPT2/CMAzF75P2HSJP2m0kncQfFQIHBNq00wZIXE1j2tLG&#10;qZIM2LefD5N2s/We3/t5sbr7Xl0ppjawhWJkQBFXwbVcWzjsty8zUCkjO+wDk4UfSrBaPj4ssHTh&#10;xl903eVaSQinEi00OQ+l1qlqyGMahYFYtHOIHrOssdYu4k3Cfa9fjZlojy1LQ4MDrRuqut23t9Ad&#10;pp+tWb9djh/dZBw3xWk6jidrn58KMweV6Z7/zX/X707wZ4Ivz8gEevk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dhqAa/&#10;AAAA3AAAAA8AAAAAAAAAAQAgAAAAIgAAAGRycy9kb3ducmV2LnhtbFBLAQIUABQAAAAIAIdO4kAz&#10;LwWeOwAAADkAAAAQAAAAAAAAAAEAIAAAAA4BAABkcnMvc2hhcGV4bWwueG1sUEsFBgAAAAAGAAYA&#10;WwEAALgDA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FVJfCbsAAADc&#10;AAAADwAAAGRycy9kb3ducmV2LnhtbEVPyWrDMBC9B/oPYgK9xZJ7SI0bJZBASo9p0uU6WBPbxBoZ&#10;SV7y91Wh0Ns83jqb3Ww7MZIPrWMNeaZAEFfOtFxr+LgcVwWIEJENdo5Jw50C7LYPiw2Wxk38TuM5&#10;1iKFcChRQxNjX0oZqoYshsz1xIm7Om8xJuhraTxOKdx28kmptbTYcmposKdDQ9XtPFgN69P+4KpL&#10;8frlv1t1csPxXjx/av24zNULiEhz/Bf/ud9Mml/k8PtMukBufw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VJfCbsAAADc&#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6"/>
                            <w:szCs w:val="36"/>
                          </w:rPr>
                        </w:pPr>
                        <w:r>
                          <w:rPr>
                            <w:rFonts w:hint="eastAsia" w:ascii="楷体" w:hAnsi="楷体" w:eastAsia="楷体" w:cs="楷体"/>
                            <w:b/>
                            <w:bCs/>
                            <w:color w:val="FDEFBE"/>
                            <w:kern w:val="0"/>
                            <w:sz w:val="36"/>
                            <w:szCs w:val="36"/>
                            <w:lang w:bidi="ar"/>
                          </w:rPr>
                          <w:t>2018年度部门决算☞目 录</w:t>
                        </w:r>
                      </w:p>
                      <w:p>
                        <w:pPr>
                          <w:jc w:val="center"/>
                        </w:pPr>
                      </w:p>
                    </w:txbxContent>
                  </v:textbox>
                </v:rect>
                <w10:anchorlock/>
              </v:group>
            </w:pict>
          </mc:Fallback>
        </mc:AlternateContent>
      </w:r>
      <w:r>
        <w:rPr>
          <w:rFonts w:hint="eastAsia" w:ascii="黑体" w:eastAsia="黑体"/>
          <w:sz w:val="48"/>
          <w:szCs w:val="48"/>
        </w:rPr>
        <w:t>目    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第一部分   部门概况</w:t>
      </w:r>
      <w:r>
        <w:rPr>
          <w:rFonts w:hint="eastAsia" w:eastAsia="仿宋_GB2312"/>
          <w:sz w:val="28"/>
          <w:szCs w:val="36"/>
        </w:rPr>
        <w:t xml:space="preserve"> </w:t>
      </w:r>
      <w:r>
        <w:rPr>
          <w:rFonts w:hint="eastAsia" w:eastAsia="仿宋_GB2312"/>
          <w:sz w:val="24"/>
          <w:szCs w:val="32"/>
        </w:rPr>
        <w:t xml:space="preserve"> </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pPr>
        <w:widowControl/>
        <w:spacing w:line="580" w:lineRule="exact"/>
        <w:ind w:firstLine="640" w:firstLineChars="200"/>
        <w:rPr>
          <w:rFonts w:eastAsia="仿宋_GB2312"/>
          <w:sz w:val="20"/>
          <w:szCs w:val="32"/>
        </w:rPr>
      </w:pPr>
      <w:r>
        <w:rPr>
          <w:rFonts w:eastAsia="黑体"/>
          <w:sz w:val="32"/>
          <w:szCs w:val="32"/>
        </w:rPr>
        <w:t>第二部分   201</w:t>
      </w:r>
      <w:r>
        <w:rPr>
          <w:rFonts w:hint="eastAsia" w:eastAsia="黑体"/>
          <w:sz w:val="32"/>
          <w:szCs w:val="32"/>
        </w:rPr>
        <w:t>8</w:t>
      </w:r>
      <w:r>
        <w:rPr>
          <w:rFonts w:eastAsia="黑体"/>
          <w:sz w:val="32"/>
          <w:szCs w:val="32"/>
        </w:rPr>
        <w:t>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r>
        <w:rPr>
          <w:rFonts w:eastAsia="黑体"/>
          <w:sz w:val="32"/>
          <w:szCs w:val="32"/>
        </w:rPr>
        <w:t>第三部分  部门201</w:t>
      </w:r>
      <w:r>
        <w:rPr>
          <w:rFonts w:hint="eastAsia" w:eastAsia="黑体"/>
          <w:sz w:val="32"/>
          <w:szCs w:val="32"/>
        </w:rPr>
        <w:t>8</w:t>
      </w:r>
      <w:r>
        <w:rPr>
          <w:rFonts w:eastAsia="黑体"/>
          <w:sz w:val="32"/>
          <w:szCs w:val="32"/>
        </w:rPr>
        <w:t>年部门决算情况说明</w:t>
      </w:r>
      <w:r>
        <w:rPr>
          <w:sz w:val="44"/>
        </w:rPr>
        <mc:AlternateContent>
          <mc:Choice Requires="wpg">
            <w:drawing>
              <wp:anchor distT="0" distB="0" distL="114300" distR="114300" simplePos="0" relativeHeight="251672576" behindDoc="0" locked="1" layoutInCell="1" allowOverlap="1">
                <wp:simplePos x="0" y="0"/>
                <wp:positionH relativeFrom="column">
                  <wp:posOffset>-1026160</wp:posOffset>
                </wp:positionH>
                <wp:positionV relativeFrom="page">
                  <wp:posOffset>494665</wp:posOffset>
                </wp:positionV>
                <wp:extent cx="2829560" cy="593090"/>
                <wp:effectExtent l="3810" t="0" r="5080" b="16510"/>
                <wp:wrapNone/>
                <wp:docPr id="176" name="组合 176"/>
                <wp:cNvGraphicFramePr/>
                <a:graphic xmlns:a="http://schemas.openxmlformats.org/drawingml/2006/main">
                  <a:graphicData uri="http://schemas.microsoft.com/office/word/2010/wordprocessingGroup">
                    <wpg:wgp>
                      <wpg:cNvGrpSpPr/>
                      <wpg:grpSpPr>
                        <a:xfrm>
                          <a:off x="0" y="0"/>
                          <a:ext cx="2829560" cy="593090"/>
                          <a:chOff x="4551" y="52615"/>
                          <a:chExt cx="8546" cy="1398"/>
                        </a:xfrm>
                      </wpg:grpSpPr>
                      <wps:wsp>
                        <wps:cNvPr id="177"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78"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2018年度部门决算☞目 录</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8pt;margin-top:38.95pt;height:46.7pt;width:222.8pt;mso-position-vertical-relative:page;z-index:251672576;mso-width-relative:page;mso-height-relative:page;" coordorigin="4551,52615" coordsize="8546,1398" o:gfxdata="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7V1AVbsAAADc&#10;AAAADwAAAGRycy9kb3ducmV2LnhtbEVPS2sCMRC+F/wPYYTearIFXVmNHsRi8dSq4HXcjLvrbiZL&#10;El//vikUepuP7znz5cN24kY+NI41ZCMFgrh0puFKw2H/8TYFESKywc4xaXhSgOVi8DLHwrg7f9Nt&#10;FyuRQjgUqKGOsS+kDGVNFsPI9cSJOztvMSboK2k83lO47eS7UhNpseHUUGNPq5rKdne1GtpD/tWo&#10;1eZy3LaTsV9np3zsT1q/DjM1AxHpEf/Ff+5Pk+bnOfw+ky6Qix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7V1AVbsAAADc&#10;AAAADwAAAAAAAAABACAAAAAiAAAAZHJzL2Rvd25yZXYueG1sUEsBAhQAFAAAAAgAh07iQDMvBZ47&#10;AAAAOQAAABAAAAAAAAAAAQAgAAAACgEAAGRycy9zaGFwZXhtbC54bWxQSwUGAAAAAAYABgBbAQAA&#10;tA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sb2Gs70AAADc&#10;AAAADwAAAGRycy9kb3ducmV2LnhtbEWPzW4CMQyE70h9h8iVuEECB1htCUhFouJIgbZXa2N2V2yc&#10;VRL+3h4fKnGzNeOZz4vV3XfqSjG1gS1MxgYUcRVcy7WF42EzKkCljOywC0wWHpRgtXwbLLB04cbf&#10;dN3nWkkIpxItNDn3pdapashjGoeeWLRTiB6zrLHWLuJNwn2np8bMtMeWpaHBntYNVef9xVuY7T7X&#10;oToUX7/xrzW7cNk8ivmPtcP3ifkAlemeX+b/660T/LnQyjMygV4+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xvYazvQAA&#10;ANwAAAAPAAAAAAAAAAEAIAAAACIAAABkcnMvZG93bnJldi54bWxQSwECFAAUAAAACACHTuJAMy8F&#10;njsAAAA5AAAAEAAAAAAAAAABACAAAAAMAQAAZHJzL3NoYXBleG1sLnhtbFBLBQYAAAAABgAGAFsB&#10;AAC2Aw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2018年度部门决算☞目 录</w:t>
                        </w:r>
                      </w:p>
                      <w:p>
                        <w:pPr>
                          <w:jc w:val="center"/>
                        </w:pPr>
                      </w:p>
                    </w:txbxContent>
                  </v:textbox>
                </v:rect>
                <w10:anchorlock/>
              </v:group>
            </w:pict>
          </mc:Fallback>
        </mc:AlternateConten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pPr>
        <w:widowControl/>
        <w:spacing w:line="580" w:lineRule="exact"/>
        <w:ind w:firstLine="640" w:firstLineChars="200"/>
        <w:rPr>
          <w:rFonts w:eastAsia="黑体"/>
          <w:sz w:val="32"/>
          <w:szCs w:val="32"/>
        </w:rPr>
      </w:pPr>
      <w:r>
        <w:rPr>
          <w:rFonts w:eastAsia="黑体"/>
          <w:sz w:val="32"/>
          <w:szCs w:val="32"/>
        </w:rPr>
        <w:t>第四部分  名词解释</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br w:type="page"/>
      </w:r>
    </w:p>
    <w:p>
      <w:r>
        <w:rPr>
          <w:rFonts w:hint="eastAsia" w:ascii="宋体" w:hAnsi="宋体" w:cs="ArialUnicodeMS"/>
          <w:color w:val="000000"/>
          <w:kern w:val="0"/>
        </w:rPr>
        <w:drawing>
          <wp:anchor distT="0" distB="0" distL="114300" distR="114300" simplePos="0" relativeHeight="251661312"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7"/>
                    <a:stretch>
                      <a:fillRect/>
                    </a:stretch>
                  </pic:blipFill>
                  <pic:spPr>
                    <a:xfrm>
                      <a:off x="0" y="0"/>
                      <a:ext cx="7585710" cy="10727055"/>
                    </a:xfrm>
                    <a:prstGeom prst="rect">
                      <a:avLst/>
                    </a:prstGeom>
                  </pic:spPr>
                </pic:pic>
              </a:graphicData>
            </a:graphic>
          </wp:anchor>
        </w:drawing>
      </w:r>
      <w:r>
        <w:rPr>
          <w:sz w:val="72"/>
        </w:rPr>
        <mc:AlternateContent>
          <mc:Choice Requires="wps">
            <w:drawing>
              <wp:anchor distT="0" distB="0" distL="114300" distR="114300" simplePos="0" relativeHeight="251670528" behindDoc="0" locked="0" layoutInCell="1" allowOverlap="1">
                <wp:simplePos x="0" y="0"/>
                <wp:positionH relativeFrom="column">
                  <wp:posOffset>-1235710</wp:posOffset>
                </wp:positionH>
                <wp:positionV relativeFrom="paragraph">
                  <wp:posOffset>3290570</wp:posOffset>
                </wp:positionV>
                <wp:extent cx="7793355" cy="1037590"/>
                <wp:effectExtent l="0" t="0" r="0" b="0"/>
                <wp:wrapNone/>
                <wp:docPr id="118" name="文本框 118"/>
                <wp:cNvGraphicFramePr/>
                <a:graphic xmlns:a="http://schemas.openxmlformats.org/drawingml/2006/main">
                  <a:graphicData uri="http://schemas.microsoft.com/office/word/2010/wordprocessingShape">
                    <wps:wsp>
                      <wps:cNvSpPr txBox="1"/>
                      <wps:spPr>
                        <a:xfrm>
                          <a:off x="0" y="0"/>
                          <a:ext cx="7793355" cy="10375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97.3pt;margin-top:259.1pt;height:81.7pt;width:613.65pt;z-index:251670528;mso-width-relative:page;mso-height-relative:page;" filled="f" stroked="f" coordsize="21600,21600" o:gfxdata="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">
                <v:fill on="f" focussize="0,0"/>
                <v:stroke on="f" weight="0.5pt"/>
                <v:imagedata o:title=""/>
                <o:lock v:ext="edit" aspectratio="f"/>
                <v:textbox>
                  <w:txbxContent>
                    <w:p>
                      <w:pPr>
                        <w:widowControl/>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第一部分  部门概况</w:t>
                      </w:r>
                    </w:p>
                  </w:txbxContent>
                </v:textbox>
              </v:shape>
            </w:pict>
          </mc:Fallback>
        </mc:AlternateContent>
      </w:r>
    </w:p>
    <w:p/>
    <w:p/>
    <w:p/>
    <w:p/>
    <w:p/>
    <w:p/>
    <w:p/>
    <w:p/>
    <w:p/>
    <w:p/>
    <w:p/>
    <w:p/>
    <w:p/>
    <w:p/>
    <w:p/>
    <w:p>
      <w:pPr>
        <w:pStyle w:val="2"/>
        <w:numPr>
          <w:ilvl w:val="0"/>
          <w:numId w:val="1"/>
        </w:numPr>
        <w:spacing w:before="0" w:after="0" w:line="600" w:lineRule="exact"/>
        <w:jc w:val="left"/>
        <w:rPr>
          <w:rFonts w:hint="eastAsia" w:ascii="黑体" w:eastAsia="黑体" w:cs="黑体" w:hAnsiTheme="minorHAnsi"/>
          <w:b w:val="0"/>
          <w:bCs w:val="0"/>
          <w:kern w:val="0"/>
          <w:sz w:val="32"/>
          <w:szCs w:val="32"/>
        </w:rPr>
      </w:pPr>
      <w:r>
        <w:rPr>
          <w:b w:val="0"/>
          <w:bCs w:val="0"/>
          <w:sz w:val="32"/>
          <w:szCs w:val="32"/>
        </w:rPr>
        <mc:AlternateContent>
          <mc:Choice Requires="wpg">
            <w:drawing>
              <wp:anchor distT="0" distB="0" distL="114300" distR="114300" simplePos="0" relativeHeight="251662336" behindDoc="0" locked="1" layoutInCell="1" allowOverlap="1">
                <wp:simplePos x="0" y="0"/>
                <wp:positionH relativeFrom="column">
                  <wp:posOffset>-1026160</wp:posOffset>
                </wp:positionH>
                <wp:positionV relativeFrom="page">
                  <wp:posOffset>501650</wp:posOffset>
                </wp:positionV>
                <wp:extent cx="3114675" cy="593090"/>
                <wp:effectExtent l="3175" t="0" r="6350" b="16510"/>
                <wp:wrapNone/>
                <wp:docPr id="15" name="组合 15"/>
                <wp:cNvGraphicFramePr/>
                <a:graphic xmlns:a="http://schemas.openxmlformats.org/drawingml/2006/main">
                  <a:graphicData uri="http://schemas.microsoft.com/office/word/2010/wordprocessingGroup">
                    <wpg:wgp>
                      <wpg:cNvGrpSpPr/>
                      <wpg:grpSpPr>
                        <a:xfrm>
                          <a:off x="0" y="0"/>
                          <a:ext cx="3114675" cy="592957"/>
                          <a:chOff x="4551" y="52615"/>
                          <a:chExt cx="8546" cy="1398"/>
                        </a:xfrm>
                      </wpg:grpSpPr>
                      <wps:wsp>
                        <wps:cNvPr id="13"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2018年度部门决算☞部门概况</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8pt;margin-top:39.5pt;height:46.7pt;width:245.25pt;mso-position-vertical-relative:page;z-index:251662336;mso-width-relative:page;mso-height-relative:page;" coordorigin="4551,52615" coordsize="8546,1398" o:gfxdata="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">
                <o:lock v:ext="edit" aspectratio="f"/>
                <v:rect id="_x0000_s1026" o:spid="_x0000_s1026" o:spt="1" style="position:absolute;left:4551;top:52615;height:1175;width:8546;v-text-anchor:middle;" fillcolor="#D9D9D9 [2732]" filled="t" stroked="f" coordsize="21600,21600" o:gfxdata="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Z4qXLsAAADb&#10;AAAADwAAAAAAAAABACAAAAAiAAAAZHJzL2Rvd25yZXYueG1sUEsBAhQAFAAAAAgAh07iQDMvBZ47&#10;AAAAOQAAABAAAAAAAAAAAQAgAAAACgEAAGRycy9zaGFwZXhtbC54bWxQSwUGAAAAAAYABgBbAQAA&#10;tAMAAAAA&#10;">
                  <v:fill on="t" focussize="0,0"/>
                  <v:stroke on="f" weight="2pt"/>
                  <v:imagedata o:title=""/>
                  <o:lock v:ext="edit" aspectratio="f"/>
                </v:rect>
                <v:rect id="_x0000_s1026" o:spid="_x0000_s1026" o:spt="1" style="position:absolute;left:4577;top:52890;height:1123;width:8324;v-text-anchor:middle;" fillcolor="#AD002D" filled="t" stroked="t" coordsize="21600,21600" o:gfxdata="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Bve9h65AAAA2wAA&#10;AA8AAAAAAAAAAQAgAAAAIgAAAGRycy9kb3ducmV2LnhtbFBLAQIUABQAAAAIAIdO4kAzLwWeOwAA&#10;ADkAAAAQAAAAAAAAAAEAIAAAAAgBAABkcnMvc2hhcGV4bWwueG1sUEsFBgAAAAAGAAYAWwEAALID&#10;A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2018年度部门决算☞部门概况</w:t>
                        </w:r>
                      </w:p>
                      <w:p>
                        <w:pPr>
                          <w:jc w:val="center"/>
                        </w:pPr>
                      </w:p>
                    </w:txbxContent>
                  </v:textbox>
                </v:rect>
                <w10:anchorlock/>
              </v:group>
            </w:pict>
          </mc:Fallback>
        </mc:AlternateContent>
      </w:r>
      <w:r>
        <w:rPr>
          <w:rFonts w:hint="eastAsia" w:ascii="黑体" w:eastAsia="黑体" w:cs="黑体" w:hAnsiTheme="minorHAnsi"/>
          <w:b w:val="0"/>
          <w:bCs w:val="0"/>
          <w:kern w:val="0"/>
          <w:sz w:val="32"/>
          <w:szCs w:val="32"/>
        </w:rPr>
        <w:t>部门职责</w:t>
      </w:r>
    </w:p>
    <w:p>
      <w:pPr>
        <w:keepNext w:val="0"/>
        <w:keepLines w:val="0"/>
        <w:pageBreakBefore w:val="0"/>
        <w:widowControl w:val="0"/>
        <w:kinsoku/>
        <w:wordWrap/>
        <w:overflowPunct/>
        <w:topLinePunct w:val="0"/>
        <w:autoSpaceDE/>
        <w:autoSpaceDN/>
        <w:bidi w:val="0"/>
        <w:adjustRightInd/>
        <w:snapToGrid/>
        <w:spacing w:after="0" w:line="240" w:lineRule="auto"/>
        <w:ind w:firstLine="640" w:firstLineChars="200"/>
        <w:textAlignment w:val="auto"/>
        <w:rPr>
          <w:rFonts w:hint="eastAsia" w:ascii="仿宋_GB2312" w:eastAsia="仿宋_GB2312" w:cs="ArialUnicodeMS" w:hAnsiTheme="minorHAnsi"/>
          <w:kern w:val="0"/>
          <w:sz w:val="32"/>
          <w:szCs w:val="32"/>
          <w:lang w:eastAsia="zh-CN"/>
        </w:rPr>
      </w:pPr>
      <w:r>
        <w:rPr>
          <w:rFonts w:hint="eastAsia" w:ascii="仿宋_GB2312" w:eastAsia="仿宋_GB2312" w:cs="ArialUnicodeMS" w:hAnsiTheme="minorHAnsi"/>
          <w:kern w:val="0"/>
          <w:sz w:val="32"/>
          <w:szCs w:val="32"/>
        </w:rPr>
        <w:t>电视台主要职责是负责宣传贯彻执行党和国家的路线、方针、政策、把握正确的舆论导向，充分发挥党和政府的喉舌作用，围绕区委、区政府的中心工作开展新闻宣传；严格执行广播电视行业法规；负责完整传输中央、省、市广播电视节目；负责广播电视节目的采、编、播及广播、电视节目交流；负责自办节目的策划、采制、审查、包装以及播出编排和管理工作；负责广播电视对外宣传工作；负责广告和相关创收项目的策划、制作、经营及优质安全播出；负责完成区委、区政府和上级主管部门交办的其他工作任务</w:t>
      </w:r>
      <w:r>
        <w:rPr>
          <w:rFonts w:hint="eastAsia" w:ascii="仿宋_GB2312" w:eastAsia="仿宋_GB2312" w:cs="ArialUnicodeMS" w:hAnsiTheme="minorHAnsi"/>
          <w:kern w:val="0"/>
          <w:sz w:val="32"/>
          <w:szCs w:val="32"/>
          <w:lang w:eastAsia="zh-CN"/>
        </w:rPr>
        <w:t>。</w:t>
      </w:r>
    </w:p>
    <w:p>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二、机构设置</w:t>
      </w:r>
    </w:p>
    <w:p>
      <w:pPr>
        <w:spacing w:after="0" w:line="560" w:lineRule="exac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从决算编报单位构成看，纳入2018 年度本部门决算汇编范围的独立核算单位（以下简称“单位”）共 个，具体情况如下：</w:t>
      </w:r>
    </w:p>
    <w:tbl>
      <w:tblPr>
        <w:tblStyle w:val="13"/>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序号</w:t>
            </w:r>
          </w:p>
        </w:tc>
        <w:tc>
          <w:tcPr>
            <w:tcW w:w="34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单位名称</w:t>
            </w:r>
          </w:p>
        </w:tc>
        <w:tc>
          <w:tcPr>
            <w:tcW w:w="244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单位基本性质</w:t>
            </w:r>
          </w:p>
        </w:tc>
        <w:tc>
          <w:tcPr>
            <w:tcW w:w="266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w:t>
            </w:r>
          </w:p>
        </w:tc>
        <w:tc>
          <w:tcPr>
            <w:tcW w:w="3485" w:type="dxa"/>
          </w:tcPr>
          <w:p>
            <w:pPr>
              <w:spacing w:after="0" w:line="560" w:lineRule="exact"/>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藁城区广播电视台</w:t>
            </w:r>
          </w:p>
        </w:tc>
        <w:tc>
          <w:tcPr>
            <w:tcW w:w="244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参公事业单位</w:t>
            </w:r>
          </w:p>
        </w:tc>
        <w:tc>
          <w:tcPr>
            <w:tcW w:w="266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2</w:t>
            </w:r>
          </w:p>
        </w:tc>
        <w:tc>
          <w:tcPr>
            <w:tcW w:w="3485" w:type="dxa"/>
          </w:tcPr>
          <w:p>
            <w:pPr>
              <w:spacing w:after="0" w:line="560" w:lineRule="exact"/>
              <w:rPr>
                <w:rFonts w:ascii="仿宋_GB2312" w:eastAsia="仿宋_GB2312" w:cs="ArialUnicodeMS" w:hAnsiTheme="minorHAnsi"/>
                <w:kern w:val="0"/>
                <w:sz w:val="28"/>
                <w:szCs w:val="28"/>
              </w:rPr>
            </w:pPr>
          </w:p>
        </w:tc>
        <w:tc>
          <w:tcPr>
            <w:tcW w:w="2445" w:type="dxa"/>
          </w:tcPr>
          <w:p>
            <w:pPr>
              <w:spacing w:after="0" w:line="560" w:lineRule="exact"/>
              <w:jc w:val="center"/>
              <w:rPr>
                <w:rFonts w:ascii="仿宋_GB2312" w:eastAsia="仿宋_GB2312" w:cs="ArialUnicodeMS" w:hAnsiTheme="minorHAnsi"/>
                <w:kern w:val="0"/>
                <w:sz w:val="28"/>
                <w:szCs w:val="28"/>
              </w:rPr>
            </w:pPr>
          </w:p>
        </w:tc>
        <w:tc>
          <w:tcPr>
            <w:tcW w:w="2665" w:type="dxa"/>
          </w:tcPr>
          <w:p>
            <w:pPr>
              <w:spacing w:after="0" w:line="560" w:lineRule="exact"/>
              <w:jc w:val="center"/>
              <w:rPr>
                <w:rFonts w:ascii="仿宋_GB2312" w:eastAsia="仿宋_GB2312" w:cs="ArialUnicodeMS" w:hAnsiTheme="minorHAnsi"/>
                <w:kern w:val="0"/>
                <w:sz w:val="28"/>
                <w:szCs w:val="28"/>
              </w:rPr>
            </w:pPr>
          </w:p>
        </w:tc>
      </w:tr>
    </w:tbl>
    <w:p>
      <w:pPr>
        <w:spacing w:after="0" w:line="560" w:lineRule="exact"/>
        <w:rPr>
          <w:rFonts w:ascii="仿宋_GB2312" w:eastAsia="仿宋_GB2312" w:cs="ArialUnicodeMS" w:hAnsiTheme="minorHAnsi"/>
          <w:kern w:val="0"/>
          <w:sz w:val="32"/>
          <w:szCs w:val="3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sectPr>
          <w:pgSz w:w="11906" w:h="16838"/>
          <w:pgMar w:top="2098" w:right="1474" w:bottom="1984" w:left="1588" w:header="851" w:footer="992" w:gutter="0"/>
          <w:cols w:space="0" w:num="1"/>
          <w:docGrid w:type="lines" w:linePitch="312" w:charSpace="0"/>
        </w:sectPr>
      </w:pPr>
    </w:p>
    <w:p>
      <w:pPr>
        <w:widowControl/>
        <w:spacing w:line="560" w:lineRule="exact"/>
        <w:jc w:val="center"/>
        <w:rPr>
          <w:rFonts w:ascii="黑体" w:eastAsia="黑体" w:cs="MS-UIGothic,Bold" w:hAnsiTheme="minorHAnsi"/>
          <w:bCs/>
          <w:kern w:val="0"/>
          <w:sz w:val="52"/>
          <w:szCs w:val="52"/>
        </w:rPr>
      </w:pPr>
      <w:r>
        <w:rPr>
          <w:rFonts w:hint="eastAsia" w:ascii="宋体" w:hAnsi="宋体" w:cs="ArialUnicodeMS"/>
          <w:color w:val="000000"/>
          <w:kern w:val="0"/>
        </w:rPr>
        <w:drawing>
          <wp:anchor distT="0" distB="0" distL="114300" distR="114300" simplePos="0" relativeHeight="251664384" behindDoc="1" locked="0" layoutInCell="1" allowOverlap="1">
            <wp:simplePos x="0" y="0"/>
            <wp:positionH relativeFrom="column">
              <wp:posOffset>-1023620</wp:posOffset>
            </wp:positionH>
            <wp:positionV relativeFrom="paragraph">
              <wp:posOffset>-1327150</wp:posOffset>
            </wp:positionV>
            <wp:extent cx="7571105" cy="10680065"/>
            <wp:effectExtent l="0" t="0" r="10795" b="6985"/>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7"/>
                    <a:stretch>
                      <a:fillRect/>
                    </a:stretch>
                  </pic:blipFill>
                  <pic:spPr>
                    <a:xfrm>
                      <a:off x="0" y="0"/>
                      <a:ext cx="7571105" cy="10680065"/>
                    </a:xfrm>
                    <a:prstGeom prst="rect">
                      <a:avLst/>
                    </a:prstGeom>
                  </pic:spPr>
                </pic:pic>
              </a:graphicData>
            </a:graphic>
          </wp:anchor>
        </w:drawing>
      </w:r>
    </w:p>
    <w:p>
      <w:pPr>
        <w:widowControl/>
        <w:spacing w:line="560" w:lineRule="exact"/>
        <w:jc w:val="center"/>
        <w:rPr>
          <w:rFonts w:ascii="黑体" w:eastAsia="黑体" w:cs="MS-UIGothic,Bold" w:hAnsiTheme="minorHAnsi"/>
          <w:bCs/>
          <w:kern w:val="0"/>
          <w:sz w:val="52"/>
          <w:szCs w:val="52"/>
        </w:rPr>
      </w:pPr>
    </w:p>
    <w:p>
      <w:pPr>
        <w:rPr>
          <w:rFonts w:ascii="宋体" w:hAnsi="宋体" w:cs="ArialUnicodeMS"/>
          <w:color w:val="000000"/>
          <w:kern w:val="0"/>
        </w:r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sz w:val="72"/>
        </w:rPr>
        <mc:AlternateContent>
          <mc:Choice Requires="wps">
            <w:drawing>
              <wp:anchor distT="0" distB="0" distL="114300" distR="114300" simplePos="0" relativeHeight="251663360" behindDoc="0" locked="0" layoutInCell="1" allowOverlap="1">
                <wp:simplePos x="0" y="0"/>
                <wp:positionH relativeFrom="column">
                  <wp:posOffset>-942340</wp:posOffset>
                </wp:positionH>
                <wp:positionV relativeFrom="paragraph">
                  <wp:posOffset>1527810</wp:posOffset>
                </wp:positionV>
                <wp:extent cx="7571740" cy="2020570"/>
                <wp:effectExtent l="0" t="0" r="0" b="0"/>
                <wp:wrapNone/>
                <wp:docPr id="17" name="文本框 17"/>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第二部分</w:t>
                            </w:r>
                          </w:p>
                          <w:p>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2018年度部门决算报表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4.2pt;margin-top:120.3pt;height:159.1pt;width:596.2pt;z-index:251663360;mso-width-relative:page;mso-height-relative:page;" filled="f" stroked="f" coordsize="21600,21600" o:gfxdata="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E5rPdDcAAAADQEAAA8AAAAAAAAAAQAgAAAAIgAA&#10;AGRycy9kb3ducmV2LnhtbFBLAQIUABQAAAAIAIdO4kAGUZfgPQIAAGkEAAAOAAAAAAAAAAEAIAAA&#10;ACsBAABkcnMvZTJvRG9jLnhtbFBLBQYAAAAABgAGAFkBAADaBQ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第二部分</w:t>
                      </w:r>
                    </w:p>
                    <w:p>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2018年度部门决算报表</w:t>
                      </w:r>
                    </w:p>
                  </w:txbxContent>
                </v:textbox>
              </v:shape>
            </w:pict>
          </mc:Fallback>
        </mc:AlternateContent>
      </w:r>
    </w:p>
    <w:p>
      <w:r>
        <w:rPr>
          <w:rFonts w:hint="eastAsia"/>
        </w:rPr>
        <w:t>详见附表</w:t>
      </w:r>
    </w:p>
    <w:p/>
    <w:p/>
    <w:p>
      <w:pPr>
        <w:tabs>
          <w:tab w:val="left" w:pos="1086"/>
        </w:tabs>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r>
        <w:rPr>
          <w:rFonts w:hint="eastAsia"/>
        </w:rPr>
        <w:tab/>
      </w: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6432"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7"/>
                    <a:stretch>
                      <a:fillRect/>
                    </a:stretch>
                  </pic:blipFill>
                  <pic:spPr>
                    <a:xfrm>
                      <a:off x="0" y="0"/>
                      <a:ext cx="7550150" cy="10680065"/>
                    </a:xfrm>
                    <a:prstGeom prst="rect">
                      <a:avLst/>
                    </a:prstGeom>
                  </pic:spPr>
                </pic:pic>
              </a:graphicData>
            </a:graphic>
          </wp:anchor>
        </w:drawing>
      </w:r>
      <w:r>
        <w:rPr>
          <w:sz w:val="72"/>
        </w:rPr>
        <mc:AlternateContent>
          <mc:Choice Requires="wps">
            <w:drawing>
              <wp:anchor distT="0" distB="0" distL="114300" distR="114300" simplePos="0" relativeHeight="251665408" behindDoc="0" locked="0" layoutInCell="1" allowOverlap="1">
                <wp:simplePos x="0" y="0"/>
                <wp:positionH relativeFrom="column">
                  <wp:posOffset>-999490</wp:posOffset>
                </wp:positionH>
                <wp:positionV relativeFrom="paragraph">
                  <wp:posOffset>2956560</wp:posOffset>
                </wp:positionV>
                <wp:extent cx="7571740" cy="2020570"/>
                <wp:effectExtent l="0" t="0" r="0" b="0"/>
                <wp:wrapNone/>
                <wp:docPr id="5" name="文本框 5"/>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第三部分</w:t>
                            </w:r>
                          </w:p>
                          <w:p>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8.7pt;margin-top:232.8pt;height:159.1pt;width:596.2pt;z-index:251665408;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第三部分</w:t>
                      </w:r>
                    </w:p>
                    <w:p>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部门决算情况说明</w:t>
                      </w:r>
                    </w:p>
                  </w:txbxContent>
                </v:textbox>
              </v:shape>
            </w:pict>
          </mc:Fallback>
        </mc:AlternateContent>
      </w:r>
    </w:p>
    <w:p>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eastAsia="黑体" w:cs="黑体" w:hAnsiTheme="minorHAnsi"/>
          <w:b w:val="0"/>
          <w:bCs w:val="0"/>
          <w:kern w:val="0"/>
        </w:rPr>
        <w:t>支</w:t>
      </w:r>
      <w:r>
        <w:rPr>
          <w:sz w:val="44"/>
        </w:rPr>
        <mc:AlternateContent>
          <mc:Choice Requires="wpg">
            <w:drawing>
              <wp:anchor distT="0" distB="0" distL="114300" distR="114300" simplePos="0" relativeHeight="251682816" behindDoc="0" locked="1" layoutInCell="1" allowOverlap="1">
                <wp:simplePos x="0" y="0"/>
                <wp:positionH relativeFrom="column">
                  <wp:posOffset>-1015365</wp:posOffset>
                </wp:positionH>
                <wp:positionV relativeFrom="topMargin">
                  <wp:posOffset>372110</wp:posOffset>
                </wp:positionV>
                <wp:extent cx="3833495" cy="558165"/>
                <wp:effectExtent l="1270" t="0" r="13335" b="13335"/>
                <wp:wrapNone/>
                <wp:docPr id="18" name="组合 18"/>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19"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0"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82816;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BJ+ys7bAAAACwEAAA8AAAAAAAAAAQAgAAAAIgAAAGRycy9kb3ducmV2LnhtbFBLAQIUABQA&#10;AAAIAIdO4kAcCE8xQwMAADwJAAAOAAAAAAAAAAEAIAAAACoBAABkcnMvZTJvRG9jLnhtbFBLBQYA&#10;AAAABgAGAFkBAADfBg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fHYdtrsAAADb&#10;AAAADwAAAGRycy9kb3ducmV2LnhtbEVPS2sCMRC+F/wPYQRvNVnB12r0IBalp9YKXsfNuLvuZrIk&#10;qY9/3xQKvc3H95zl+mFbcSMfascasqECQVw4U3Op4fj19joDESKywdYxaXhSgPWq97LE3Lg7f9Lt&#10;EEuRQjjkqKGKsculDEVFFsPQdcSJuzhvMSboS2k83lO4beVIqYm0WHNqqLCjTUVFc/i2Gprj9KNW&#10;m9319N5Mxn6bnadjf9Z60M/UAkSkR/wX/7n3Js2fw+8v6QC5+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HYdtrsAAADb&#10;AAAADwAAAAAAAAABACAAAAAiAAAAZHJzL2Rvd25yZXYueG1sUEsBAhQAFAAAAAgAh07iQDMvBZ47&#10;AAAAOQAAABAAAAAAAAAAAQAgAAAACgEAAGRycy9zaGFwZXhtbC54bWxQSwUGAAAAAAYABgBbAQAA&#10;tA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qok6oLkAAADb&#10;AAAADwAAAGRycy9kb3ducmV2LnhtbEVPz2vCMBS+D/wfwhN2m4keXKlGQUHZ0bVuXh/Nsy02LyWJ&#10;tv73y2Hg8eP7vd6OthMP8qF1rGE+UyCIK2darjWcy8NHBiJEZIOdY9LwpADbzeRtjblxA3/To4i1&#10;SCEcctTQxNjnUoaqIYth5nrixF2dtxgT9LU0HocUbju5UGopLbacGhrsad9QdSvuVsPytNu7qsyO&#10;v/7SqpO7H57Z54/W79O5WoGINMaX+N/9ZTQs0vr0Jf0Aufk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KqJOqC5AAAA2wAA&#10;AA8AAAAAAAAAAQAgAAAAIgAAAGRycy9kb3ducmV2LnhtbFBLAQIUABQAAAAIAIdO4kAzLwWeOwAA&#10;ADkAAAAQAAAAAAAAAAEAIAAAAAgBAABkcnMvc2hhcGV4bWwueG1sUEsFBgAAAAAGAAYAWwEAALID&#10;A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mc:Fallback>
        </mc:AlternateContent>
      </w:r>
      <w:r>
        <w:rPr>
          <w:rFonts w:hint="eastAsia" w:ascii="黑体" w:eastAsia="黑体" w:cs="黑体" w:hAnsiTheme="minorHAnsi"/>
          <w:b w:val="0"/>
          <w:bCs w:val="0"/>
          <w:kern w:val="0"/>
        </w:rPr>
        <w:t>出</w:t>
      </w:r>
      <w:r>
        <w:rPr>
          <w:rFonts w:hint="eastAsia" w:ascii="黑体" w:eastAsia="黑体"/>
          <w:b w:val="0"/>
          <w:bCs w:val="0"/>
        </w:rPr>
        <w:t>决算总体情况说明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本部门2018年度收支总计（含结转和结余）1245.4</w:t>
      </w:r>
      <w:r>
        <w:rPr>
          <w:rFonts w:hint="eastAsia" w:ascii="宋体" w:hAnsi="宋体" w:cs="宋体"/>
          <w:sz w:val="32"/>
          <w:szCs w:val="32"/>
        </w:rPr>
        <w:t>9</w:t>
      </w:r>
      <w:r>
        <w:rPr>
          <w:rFonts w:hint="eastAsia" w:ascii="仿宋_GB2312" w:eastAsia="仿宋_GB2312" w:cs="DengXian-Regular"/>
          <w:sz w:val="32"/>
          <w:szCs w:val="32"/>
        </w:rPr>
        <w:t>万元。与2017年度决算相比，收支各增加268.58万元，增长21%，主要原因是人员工资增加。</w:t>
      </w:r>
    </w:p>
    <w:p>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pPr>
        <w:adjustRightInd w:val="0"/>
        <w:snapToGrid w:val="0"/>
        <w:spacing w:after="0" w:line="360" w:lineRule="auto"/>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本部门2018年度本年收入合计1245.4</w:t>
      </w:r>
      <w:r>
        <w:rPr>
          <w:rFonts w:hint="eastAsia" w:ascii="宋体" w:hAnsi="宋体" w:cs="宋体"/>
          <w:sz w:val="32"/>
          <w:szCs w:val="32"/>
        </w:rPr>
        <w:t>9</w:t>
      </w:r>
      <w:r>
        <w:rPr>
          <w:rFonts w:hint="eastAsia" w:ascii="仿宋_GB2312" w:eastAsia="仿宋_GB2312" w:cs="DengXian-Regular"/>
          <w:sz w:val="32"/>
          <w:szCs w:val="32"/>
        </w:rPr>
        <w:t>万元，其中：财政拨款收入1245.4</w:t>
      </w:r>
      <w:r>
        <w:rPr>
          <w:rFonts w:hint="eastAsia" w:ascii="宋体" w:hAnsi="宋体" w:cs="宋体"/>
          <w:sz w:val="32"/>
          <w:szCs w:val="32"/>
        </w:rPr>
        <w:t>9</w:t>
      </w:r>
      <w:r>
        <w:rPr>
          <w:rFonts w:hint="eastAsia" w:ascii="仿宋_GB2312" w:eastAsia="仿宋_GB2312" w:cs="DengXian-Regular"/>
          <w:sz w:val="32"/>
          <w:szCs w:val="32"/>
        </w:rPr>
        <w:t>万元，占100%；事业收入0万元，占0%；经营收入0万元，占0%；其他收入0万元，占0%。如图所示：</w:t>
      </w:r>
    </w:p>
    <w:p>
      <w:pPr>
        <w:adjustRightInd w:val="0"/>
        <w:snapToGrid w:val="0"/>
        <w:spacing w:after="0" w:line="360" w:lineRule="auto"/>
        <w:ind w:firstLine="1260" w:firstLineChars="600"/>
        <w:rPr>
          <w:rFonts w:ascii="仿宋_GB2312" w:eastAsia="仿宋_GB2312" w:cs="DengXian-Regular"/>
          <w:sz w:val="32"/>
          <w:szCs w:val="32"/>
        </w:rPr>
      </w:pPr>
      <w:r>
        <w:drawing>
          <wp:inline distT="0" distB="0" distL="0" distR="0">
            <wp:extent cx="4572000" cy="2743200"/>
            <wp:effectExtent l="0" t="0" r="19050" b="19050"/>
            <wp:docPr id="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pPr>
        <w:adjustRightInd w:val="0"/>
        <w:snapToGrid w:val="0"/>
        <w:spacing w:after="0" w:line="360" w:lineRule="auto"/>
        <w:ind w:firstLine="1920" w:firstLineChars="600"/>
        <w:rPr>
          <w:rFonts w:ascii="仿宋_GB2312" w:eastAsia="仿宋_GB2312" w:cs="DengXian-Regular"/>
          <w:sz w:val="32"/>
          <w:szCs w:val="32"/>
        </w:rPr>
      </w:pPr>
    </w:p>
    <w:p>
      <w:pPr>
        <w:pStyle w:val="3"/>
        <w:spacing w:before="0" w:after="0" w:line="360" w:lineRule="auto"/>
        <w:ind w:firstLine="640" w:firstLineChars="200"/>
        <w:rPr>
          <w:rFonts w:ascii="黑体" w:eastAsia="黑体"/>
          <w:b w:val="0"/>
          <w:bCs w:val="0"/>
        </w:rPr>
      </w:pPr>
      <w:r>
        <w:rPr>
          <w:rFonts w:hint="eastAsia" w:ascii="黑体" w:eastAsia="黑体"/>
          <w:b w:val="0"/>
          <w:bCs w:val="0"/>
        </w:rPr>
        <w:t>三、支出决算情况说明</w:t>
      </w:r>
    </w:p>
    <w:p>
      <w:pPr>
        <w:adjustRightInd w:val="0"/>
        <w:snapToGrid w:val="0"/>
        <w:spacing w:after="0" w:line="360" w:lineRule="auto"/>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本部门2018年度本年支出合计1234.38万元，其中：基本支出530.60万元，占42%；项目支出703.78万元，占57%；经营支出0万元，占0%。如图所示：</w:t>
      </w:r>
    </w:p>
    <w:p>
      <w:pPr>
        <w:adjustRightInd w:val="0"/>
        <w:snapToGrid w:val="0"/>
        <w:spacing w:after="0" w:line="360" w:lineRule="auto"/>
        <w:ind w:firstLine="1260" w:firstLineChars="600"/>
        <w:rPr>
          <w:rFonts w:ascii="仿宋_GB2312" w:eastAsia="仿宋_GB2312" w:cs="DengXian-Regular"/>
          <w:sz w:val="32"/>
          <w:szCs w:val="32"/>
        </w:rPr>
      </w:pPr>
      <w:r>
        <w:drawing>
          <wp:inline distT="0" distB="0" distL="0" distR="0">
            <wp:extent cx="4572000" cy="2743200"/>
            <wp:effectExtent l="0" t="0" r="19050" b="19050"/>
            <wp:docPr id="10" name="图表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pPr>
        <w:adjustRightInd w:val="0"/>
        <w:snapToGrid w:val="0"/>
        <w:spacing w:after="0" w:line="360" w:lineRule="auto"/>
        <w:ind w:firstLine="2640" w:firstLineChars="600"/>
        <w:rPr>
          <w:rFonts w:ascii="仿宋_GB2312" w:eastAsia="仿宋_GB2312" w:cs="DengXian-Regular"/>
          <w:sz w:val="32"/>
          <w:szCs w:val="32"/>
        </w:rPr>
      </w:pPr>
      <w:r>
        <w:rPr>
          <w:sz w:val="44"/>
        </w:rPr>
        <mc:AlternateContent>
          <mc:Choice Requires="wpg">
            <w:drawing>
              <wp:anchor distT="0" distB="0" distL="114300" distR="114300" simplePos="0" relativeHeight="251674624" behindDoc="0" locked="1" layoutInCell="1" allowOverlap="1">
                <wp:simplePos x="0" y="0"/>
                <wp:positionH relativeFrom="column">
                  <wp:posOffset>-1015365</wp:posOffset>
                </wp:positionH>
                <wp:positionV relativeFrom="topMargin">
                  <wp:posOffset>372110</wp:posOffset>
                </wp:positionV>
                <wp:extent cx="3833495" cy="558165"/>
                <wp:effectExtent l="1270" t="0" r="13335" b="13335"/>
                <wp:wrapNone/>
                <wp:docPr id="70" name="组合 70"/>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71"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72"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74624;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BJ+ys7bAAAACwEAAA8AAAAAAAAAAQAgAAAAIgAAAGRycy9kb3ducmV2LnhtbFBLAQIUABQAAAAI&#10;AIdO4kCLWTc4QAMAADwJAAAOAAAAAAAAAAEAIAAAACoBAABkcnMvZTJvRG9jLnhtbFBLBQYAAAAA&#10;BgAGAFkBAADcBg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X9/0EL4AAADb&#10;AAAADwAAAGRycy9kb3ducmV2LnhtbEWPQWvCQBSE74L/YXmF3nQ3BY2kbnIQS0tPVgWvz+xrkib7&#10;Nuxu1f57t1DocZiZb5h1dbODuJAPnWMN2VyBIK6d6bjRcDy8zFYgQkQ2ODgmDT8UoCqnkzUWxl35&#10;gy772IgE4VCghjbGsZAy1C1ZDHM3Eifv03mLMUnfSOPxmuB2kE9KLaXFjtNCiyNtWqr7/bfV0B/z&#10;Xac2r1+n93658NvsnC/8WevHh0w9g4h0i//hv/ab0ZBn8Psl/QBZ3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9/0EL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JqQuUboAAADb&#10;AAAADwAAAGRycy9kb3ducmV2LnhtbEWPS4sCMRCE74L/IbSwN030oMNoFBSUPfra9dpM2pnBSWdI&#10;4uvfG0HwWFTVV9Rs8bCNuJEPtWMNw4ECQVw4U3Op4XhY9zMQISIbbByThicFWMy7nRnmxt15R7d9&#10;LEWCcMhRQxVjm0sZiooshoFriZN3dt5iTNKX0ni8J7ht5EipsbRYc1qosKVVRcVlf7UaxtvlyhWH&#10;bPPvT7Xauuv6mU3+tP7pDdUURKRH/IY/7V+jYTKC95f0A+T8B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mpC5RugAAANsA&#10;AAAPAAAAAAAAAAEAIAAAACIAAABkcnMvZG93bnJldi54bWxQSwECFAAUAAAACACHTuJAMy8FnjsA&#10;AAA5AAAAEAAAAAAAAAABACAAAAAJAQAAZHJzL3NoYXBleG1sLnhtbFBLBQYAAAAABgAGAFsBAACz&#10;Aw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mc:Fallback>
        </mc:AlternateContent>
      </w:r>
    </w:p>
    <w:p>
      <w:pPr>
        <w:pStyle w:val="3"/>
        <w:spacing w:before="0" w:after="0" w:line="360" w:lineRule="auto"/>
        <w:ind w:firstLine="640" w:firstLineChars="200"/>
        <w:rPr>
          <w:rFonts w:ascii="黑体" w:eastAsia="黑体"/>
          <w:b w:val="0"/>
          <w:bCs w:val="0"/>
        </w:rPr>
      </w:pPr>
      <w:r>
        <w:rPr>
          <w:rFonts w:hint="eastAsia" w:ascii="黑体" w:eastAsia="黑体"/>
          <w:b w:val="0"/>
          <w:bCs w:val="0"/>
        </w:rPr>
        <w:t>四、</w:t>
      </w:r>
      <w:r>
        <w:rPr>
          <w:rFonts w:hint="eastAsia" w:ascii="黑体" w:eastAsia="黑体" w:cs="黑体" w:hAnsiTheme="minorHAnsi"/>
          <w:b w:val="0"/>
          <w:bCs w:val="0"/>
          <w:kern w:val="0"/>
        </w:rPr>
        <w:t>财政</w:t>
      </w:r>
      <w:r>
        <w:rPr>
          <w:rFonts w:hint="eastAsia" w:ascii="黑体" w:eastAsia="黑体"/>
          <w:b w:val="0"/>
          <w:bCs w:val="0"/>
        </w:rPr>
        <w:t>拨款收入支出决算情况说明</w:t>
      </w:r>
    </w:p>
    <w:p>
      <w:pPr>
        <w:spacing w:after="0" w:line="360" w:lineRule="auto"/>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（一）财政拨款收支与2017 年度决算对比情况</w:t>
      </w:r>
    </w:p>
    <w:p>
      <w:pPr>
        <w:adjustRightInd w:val="0"/>
        <w:snapToGrid w:val="0"/>
        <w:spacing w:after="0" w:line="360" w:lineRule="auto"/>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本部门2018年度形成的财政拨款收支均为一般公共预算财政拨款，其中一般公共预算财政拨款本年收入1245.4</w:t>
      </w:r>
      <w:r>
        <w:rPr>
          <w:rFonts w:hint="eastAsia" w:ascii="宋体" w:hAnsi="宋体" w:cs="宋体"/>
          <w:sz w:val="32"/>
          <w:szCs w:val="32"/>
        </w:rPr>
        <w:t>9</w:t>
      </w:r>
      <w:r>
        <w:rPr>
          <w:rFonts w:hint="eastAsia" w:ascii="仿宋_GB2312" w:eastAsia="仿宋_GB2312" w:cs="DengXian-Regular"/>
          <w:sz w:val="32"/>
          <w:szCs w:val="32"/>
        </w:rPr>
        <w:t>万元,比2017年度增加268.58万元，增长21%，主要是政府性基金增加；本年支出1234.38万元，增加257.47万元，增长20%，主要是文化体育和传媒支出增加。</w:t>
      </w:r>
    </w:p>
    <w:p>
      <w:pPr>
        <w:adjustRightInd w:val="0"/>
        <w:snapToGrid w:val="0"/>
        <w:spacing w:after="0" w:line="360" w:lineRule="auto"/>
        <w:ind w:firstLine="420" w:firstLineChars="200"/>
        <w:rPr>
          <w:rFonts w:ascii="仿宋_GB2312" w:eastAsia="仿宋_GB2312" w:cs="DengXian-Regular"/>
          <w:sz w:val="32"/>
          <w:szCs w:val="32"/>
        </w:rPr>
      </w:pPr>
      <w:r>
        <w:drawing>
          <wp:inline distT="0" distB="0" distL="0" distR="0">
            <wp:extent cx="4572000" cy="2743200"/>
            <wp:effectExtent l="0" t="0" r="19050" b="19050"/>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pPr>
        <w:adjustRightInd w:val="0"/>
        <w:snapToGrid w:val="0"/>
        <w:spacing w:after="0" w:line="360" w:lineRule="auto"/>
        <w:ind w:firstLine="640" w:firstLineChars="200"/>
        <w:rPr>
          <w:rFonts w:ascii="仿宋_GB2312" w:eastAsia="仿宋_GB2312" w:cs="DengXian-Regular"/>
          <w:sz w:val="32"/>
          <w:szCs w:val="32"/>
        </w:rPr>
      </w:pPr>
    </w:p>
    <w:p>
      <w:pPr>
        <w:spacing w:after="0" w:line="360" w:lineRule="auto"/>
        <w:ind w:firstLine="482" w:firstLineChars="15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360" w:lineRule="auto"/>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本部门2018年度一般公共预算财政拨款收入1245.4</w:t>
      </w:r>
      <w:r>
        <w:rPr>
          <w:rFonts w:hint="eastAsia" w:ascii="宋体" w:hAnsi="宋体" w:cs="宋体"/>
          <w:sz w:val="32"/>
          <w:szCs w:val="32"/>
        </w:rPr>
        <w:t>9</w:t>
      </w:r>
      <w:r>
        <w:rPr>
          <w:rFonts w:hint="eastAsia" w:ascii="仿宋_GB2312" w:eastAsia="仿宋_GB2312" w:cs="DengXian-Regular"/>
          <w:sz w:val="32"/>
          <w:szCs w:val="32"/>
        </w:rPr>
        <w:t>万元，完成年初预算的12%,比年初预算增加</w:t>
      </w:r>
      <w:r>
        <w:rPr>
          <w:rFonts w:hint="eastAsia" w:ascii="宋体" w:hAnsi="宋体" w:cs="宋体"/>
          <w:sz w:val="32"/>
          <w:szCs w:val="32"/>
        </w:rPr>
        <w:t>141.38</w:t>
      </w:r>
      <w:r>
        <w:rPr>
          <w:rFonts w:hint="eastAsia" w:ascii="仿宋_GB2312" w:eastAsia="仿宋_GB2312" w:cs="DengXian-Regular"/>
          <w:sz w:val="32"/>
          <w:szCs w:val="32"/>
        </w:rPr>
        <w:t>万元，决算数大于预算数主要原因是政府性基金增加；本年支出1204.38万元，完成年初预算的</w:t>
      </w:r>
      <w:r>
        <w:rPr>
          <w:rFonts w:hint="eastAsia" w:ascii="宋体" w:hAnsi="宋体" w:cs="宋体"/>
          <w:sz w:val="32"/>
          <w:szCs w:val="32"/>
        </w:rPr>
        <w:t>9</w:t>
      </w:r>
      <w:r>
        <w:rPr>
          <w:rFonts w:hint="eastAsia" w:ascii="仿宋_GB2312" w:eastAsia="仿宋_GB2312" w:cs="DengXian-Regular"/>
          <w:sz w:val="32"/>
          <w:szCs w:val="32"/>
        </w:rPr>
        <w:t>%,比年初预算增加110.27万元，决算数大于预算数主要原因是人员工资的增加。</w:t>
      </w:r>
    </w:p>
    <w:p>
      <w:pPr>
        <w:adjustRightInd w:val="0"/>
        <w:snapToGrid w:val="0"/>
        <w:spacing w:after="0" w:line="360" w:lineRule="auto"/>
        <w:ind w:firstLine="420" w:firstLineChars="200"/>
        <w:rPr>
          <w:rFonts w:ascii="仿宋_GB2312" w:eastAsia="仿宋_GB2312" w:cs="DengXian-Regular"/>
          <w:sz w:val="32"/>
          <w:szCs w:val="32"/>
          <w:highlight w:val="yellow"/>
        </w:rPr>
      </w:pPr>
      <w:r>
        <w:drawing>
          <wp:inline distT="0" distB="0" distL="0" distR="0">
            <wp:extent cx="4572000" cy="2743200"/>
            <wp:effectExtent l="0" t="0" r="19050" b="19050"/>
            <wp:docPr id="26" name="图表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pPr>
        <w:adjustRightInd w:val="0"/>
        <w:snapToGrid w:val="0"/>
        <w:spacing w:after="0" w:line="360" w:lineRule="auto"/>
        <w:rPr>
          <w:rFonts w:ascii="仿宋_GB2312" w:eastAsia="仿宋_GB2312" w:cs="DengXian-Regular"/>
          <w:sz w:val="32"/>
          <w:szCs w:val="32"/>
          <w:highlight w:val="yellow"/>
        </w:rPr>
      </w:pPr>
    </w:p>
    <w:p>
      <w:pPr>
        <w:numPr>
          <w:ilvl w:val="0"/>
          <w:numId w:val="2"/>
        </w:numPr>
        <w:adjustRightInd w:val="0"/>
        <w:snapToGrid w:val="0"/>
        <w:spacing w:after="0" w:line="360" w:lineRule="auto"/>
        <w:ind w:left="420" w:leftChars="200"/>
        <w:rPr>
          <w:rFonts w:ascii="楷体_GB2312" w:eastAsia="楷体_GB2312" w:cs="DengXian-Bold"/>
          <w:b/>
          <w:bCs/>
          <w:sz w:val="32"/>
          <w:szCs w:val="32"/>
        </w:rPr>
      </w:pPr>
      <w:r>
        <w:rPr>
          <w:rFonts w:hint="eastAsia" w:ascii="楷体_GB2312" w:eastAsia="楷体_GB2312" w:cs="DengXian-Bold"/>
          <w:b/>
          <w:bCs/>
          <w:sz w:val="32"/>
          <w:szCs w:val="32"/>
        </w:rPr>
        <w:t>财政拨款支出决算结构情况。</w:t>
      </w:r>
    </w:p>
    <w:p>
      <w:pPr>
        <w:adjustRightInd w:val="0"/>
        <w:snapToGrid w:val="0"/>
        <w:spacing w:after="0" w:line="360" w:lineRule="auto"/>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年度财政拨款支出1204.38万元，主要用于以下方面一般公共服务（类）支出0万元，占0%；公共安全类（类）支出0万元，占0%；教育（类）支出0万元，占0%；科学技术（类）支出0万元，占 0%；社会保障和就业（类）支出 0万元，占0%；住房保障（类）支出0万元，占 0%;</w:t>
      </w:r>
      <w:bookmarkStart w:id="0" w:name="OLE_LINK1"/>
      <w:r>
        <w:rPr>
          <w:rFonts w:hint="eastAsia" w:ascii="仿宋_GB2312" w:eastAsia="仿宋_GB2312" w:cs="DengXian-Regular"/>
          <w:sz w:val="32"/>
          <w:szCs w:val="32"/>
        </w:rPr>
        <w:t>文化体育与传媒支出</w:t>
      </w:r>
      <w:bookmarkEnd w:id="0"/>
      <w:r>
        <w:rPr>
          <w:rFonts w:hint="eastAsia" w:ascii="仿宋_GB2312" w:eastAsia="仿宋_GB2312" w:cs="DengXian-Regular"/>
          <w:sz w:val="32"/>
          <w:szCs w:val="32"/>
        </w:rPr>
        <w:t>1204.38万元，占100%。</w:t>
      </w:r>
    </w:p>
    <w:p>
      <w:pPr>
        <w:adjustRightInd w:val="0"/>
        <w:snapToGrid w:val="0"/>
        <w:spacing w:after="0" w:line="360" w:lineRule="auto"/>
        <w:rPr>
          <w:rFonts w:ascii="楷体_GB2312" w:eastAsia="楷体_GB2312" w:cs="DengXian-Bold"/>
          <w:b/>
          <w:bCs/>
          <w:sz w:val="32"/>
          <w:szCs w:val="32"/>
        </w:rPr>
      </w:pPr>
      <w:r>
        <w:drawing>
          <wp:inline distT="0" distB="0" distL="0" distR="0">
            <wp:extent cx="4572000" cy="2743200"/>
            <wp:effectExtent l="0" t="0" r="19050" b="19050"/>
            <wp:docPr id="27" name="图表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pPr>
        <w:adjustRightInd w:val="0"/>
        <w:snapToGrid w:val="0"/>
        <w:spacing w:after="0" w:line="360" w:lineRule="auto"/>
        <w:rPr>
          <w:rFonts w:ascii="楷体_GB2312" w:eastAsia="楷体_GB2312" w:cs="DengXian-Bold"/>
          <w:b/>
          <w:bCs/>
          <w:sz w:val="32"/>
          <w:szCs w:val="32"/>
        </w:rPr>
      </w:pPr>
    </w:p>
    <w:p>
      <w:pPr>
        <w:adjustRightInd w:val="0"/>
        <w:snapToGrid w:val="0"/>
        <w:spacing w:after="0" w:line="360" w:lineRule="auto"/>
        <w:ind w:firstLine="440" w:firstLineChars="100"/>
        <w:rPr>
          <w:rFonts w:ascii="楷体_GB2312" w:eastAsia="楷体_GB2312" w:cs="DengXian-Bold"/>
          <w:b/>
          <w:bCs/>
          <w:sz w:val="32"/>
          <w:szCs w:val="32"/>
        </w:rPr>
      </w:pPr>
      <w:r>
        <w:rPr>
          <w:sz w:val="44"/>
        </w:rPr>
        <mc:AlternateContent>
          <mc:Choice Requires="wpg">
            <w:drawing>
              <wp:anchor distT="0" distB="0" distL="114300" distR="114300" simplePos="0" relativeHeight="251675648" behindDoc="0" locked="1" layoutInCell="1" allowOverlap="1">
                <wp:simplePos x="0" y="0"/>
                <wp:positionH relativeFrom="column">
                  <wp:posOffset>-1015365</wp:posOffset>
                </wp:positionH>
                <wp:positionV relativeFrom="topMargin">
                  <wp:posOffset>372110</wp:posOffset>
                </wp:positionV>
                <wp:extent cx="3833495" cy="558165"/>
                <wp:effectExtent l="1270" t="0" r="13335" b="13335"/>
                <wp:wrapNone/>
                <wp:docPr id="79" name="组合 79"/>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80"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1"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75648;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BUYhrLoAAADb&#10;AAAADwAAAGRycy9kb3ducmV2LnhtbEVPy4rCMBTdD/gP4QruxqSCD6rRhSiKqxkV3F6ba1vb3JQk&#10;PubvJ4uBWR7Oe7F621Y8yYfasYZsqEAQF87UXGo4n7afMxAhIhtsHZOGHwqwWvY+Fpgb9+Jveh5j&#10;KVIIhxw1VDF2uZShqMhiGLqOOHE35y3GBH0pjcdXCretHCk1kRZrTg0VdrSuqGiOD6uhOU+/arXe&#10;3S+HZjL2m+w6Hfur1oN+puYgIr3jv/jPvTcaZml9+pJ+gFz+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FRiGsugAAANsA&#10;AAAPAAAAAAAAAAEAIAAAACIAAABkcnMvZG93bnJldi54bWxQSwECFAAUAAAACACHTuJAMy8FnjsA&#10;AAA5AAAAEAAAAAAAAAABACAAAAAJAQAAZHJzL3NoYXBleG1sLnhtbFBLBQYAAAAABgAGAFsBAACz&#10;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46PAAbwAAADb&#10;AAAADwAAAGRycy9kb3ducmV2LnhtbEWPS2vDMBCE74H+B7GB3mLJPaTGjRJIIKXHNOnjulgb28Ra&#10;GUl+5N9XhUKPw8x8w2x2s+3ESD60jjXkmQJBXDnTcq3h43JcFSBCRDbYOSYNdwqw2z4sNlgaN/E7&#10;jedYiwThUKKGJsa+lDJUDVkMmeuJk3d13mJM0tfSeJwS3HbySam1tNhyWmiwp0ND1e08WA3r0/7g&#10;qkvx+uW/W3Vyw/FePH9q/bjM1QuISHP8D/+134yGIoffL+kHyO0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OjwAG8AAAA&#10;2wAAAA8AAAAAAAAAAQAgAAAAIgAAAGRycy9kb3ducmV2LnhtbFBLAQIUABQAAAAIAIdO4kAzLwWe&#10;OwAAADkAAAAQAAAAAAAAAAEAIAAAAAsBAABkcnMvc2hhcGV4bWwueG1sUEsFBgAAAAAGAAYAWwEA&#10;ALUDA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mc:Fallback>
        </mc:AlternateContent>
      </w:r>
      <w:r>
        <w:rPr>
          <w:rFonts w:hint="eastAsia" w:ascii="楷体_GB2312" w:eastAsia="楷体_GB2312" w:cs="DengXian-Bold"/>
          <w:b/>
          <w:bCs/>
          <w:sz w:val="32"/>
          <w:szCs w:val="32"/>
        </w:rPr>
        <w:t>（四）一般公共预算财政拨款基本支出决算情况说明</w:t>
      </w:r>
    </w:p>
    <w:p>
      <w:pPr>
        <w:adjustRightInd w:val="0"/>
        <w:snapToGrid w:val="0"/>
        <w:spacing w:after="0" w:line="580" w:lineRule="exact"/>
        <w:ind w:firstLine="880" w:firstLineChars="200"/>
        <w:rPr>
          <w:rFonts w:ascii="仿宋_GB2312" w:eastAsia="仿宋_GB2312" w:cs="DengXian-Regular"/>
          <w:sz w:val="32"/>
          <w:szCs w:val="32"/>
          <w:highlight w:val="yellow"/>
        </w:rPr>
      </w:pPr>
      <w:r>
        <w:rPr>
          <w:sz w:val="44"/>
        </w:rPr>
        <mc:AlternateContent>
          <mc:Choice Requires="wpg">
            <w:drawing>
              <wp:anchor distT="0" distB="0" distL="114300" distR="114300" simplePos="0" relativeHeight="251683840" behindDoc="0" locked="1" layoutInCell="1" allowOverlap="1">
                <wp:simplePos x="0" y="0"/>
                <wp:positionH relativeFrom="column">
                  <wp:posOffset>-1015365</wp:posOffset>
                </wp:positionH>
                <wp:positionV relativeFrom="topMargin">
                  <wp:posOffset>372110</wp:posOffset>
                </wp:positionV>
                <wp:extent cx="3833495" cy="558165"/>
                <wp:effectExtent l="1270" t="0" r="13335" b="13335"/>
                <wp:wrapNone/>
                <wp:docPr id="23" name="组合 23"/>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24"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5"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83840;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XBt4lb4AAADb&#10;AAAADwAAAGRycy9kb3ducmV2LnhtbEWPzWsCMRTE74X+D+EVvNVkxY+yNXoQpcWTX+D1uXnd3e7m&#10;ZUlStf+9EQSPw8z8hpnOr7YVZ/Khdqwh6ysQxIUzNZcaDvvV+weIEJENto5Jwz8FmM9eX6aYG3fh&#10;LZ13sRQJwiFHDVWMXS5lKCqyGPquI07ej/MWY5K+lMbjJcFtKwdKjaXFmtNChR0tKiqa3Z/V0Bwm&#10;m1otvn6P62Y88svsNBn5k9a9t0x9goh0jc/wo/1tNAyGcP+SfoCc3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Bt4lb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uv6ZOLwAAADb&#10;AAAADwAAAGRycy9kb3ducmV2LnhtbEWPQWvCQBSE7wX/w/KE3uquQm1IXYUKiseorV4f2dckNPs2&#10;7G4S/fduodDjMDPfMKvNzbZiIB8axxrmMwWCuHSm4UrD53n3koEIEdlg65g03CnAZj15WmFu3MhH&#10;Gk6xEgnCIUcNdYxdLmUoa7IYZq4jTt638xZjkr6SxuOY4LaVC6WW0mLDaaHGjrY1lT+n3mpYFh9b&#10;V56z/cVfG1W4fnfP3r60fp7O1TuISLf4H/5rH4yGxSv8fkk/QK4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r+mTi8AAAA&#10;2wAAAA8AAAAAAAAAAQAgAAAAIgAAAGRycy9kb3ducmV2LnhtbFBLAQIUABQAAAAIAIdO4kAzLwWe&#10;OwAAADkAAAAQAAAAAAAAAAEAIAAAAAsBAABkcnMvc2hhcGV4bWwueG1sUEsFBgAAAAAGAAYAWwEA&#10;ALUDA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mc:Fallback>
        </mc:AlternateConten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年度一般公共预算财政拨款基本支出530.60万元，其中：人员经费 530.60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0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pStyle w:val="3"/>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 经费支出决算情况说明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 “三公”经费支出共计0万元，</w:t>
      </w:r>
      <w:r>
        <w:rPr>
          <w:rFonts w:hint="eastAsia" w:ascii="仿宋_GB2312" w:eastAsia="仿宋_GB2312" w:cs="DengXian-Regular"/>
          <w:b/>
          <w:bCs/>
          <w:sz w:val="32"/>
          <w:szCs w:val="32"/>
        </w:rPr>
        <w:t>较年初预算增加0万元，增长0%，</w:t>
      </w:r>
      <w:r>
        <w:rPr>
          <w:rFonts w:hint="eastAsia" w:ascii="仿宋_GB2312" w:eastAsia="仿宋_GB2312" w:cs="DengXian-Regular"/>
          <w:sz w:val="32"/>
          <w:szCs w:val="32"/>
        </w:rPr>
        <w:t>与上年相比增减无变化。具体情况如下：</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w:t>
      </w:r>
      <w:r>
        <w:rPr>
          <w:sz w:val="44"/>
        </w:rPr>
        <mc:AlternateContent>
          <mc:Choice Requires="wpg">
            <w:drawing>
              <wp:anchor distT="0" distB="0" distL="114300" distR="114300" simplePos="0" relativeHeight="251676672" behindDoc="0" locked="1" layoutInCell="1" allowOverlap="1">
                <wp:simplePos x="0" y="0"/>
                <wp:positionH relativeFrom="column">
                  <wp:posOffset>-1015365</wp:posOffset>
                </wp:positionH>
                <wp:positionV relativeFrom="topMargin">
                  <wp:posOffset>372110</wp:posOffset>
                </wp:positionV>
                <wp:extent cx="3833495" cy="558165"/>
                <wp:effectExtent l="1270" t="0" r="13335" b="13335"/>
                <wp:wrapNone/>
                <wp:docPr id="82" name="组合 82"/>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83"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4"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76672;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BJ+ys7bAAAACwEAAA8AAAAAAAAAAQAgAAAAIgAAAGRycy9kb3ducmV2LnhtbFBLAQIUABQAAAAI&#10;AIdO4kDrV2WKQAMAADwJAAAOAAAAAAAAAAEAIAAAACoBAABkcnMvZTJvRG9jLnhtbFBLBQYAAAAA&#10;BgAGAFkBAADcBg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9ZS/274AAADb&#10;AAAADwAAAGRycy9kb3ducmV2LnhtbEWPzWsCMRTE74L/Q3gFb5psxQ+2Rg9isXhqVfD63Lzubnfz&#10;siTxo/+9KRQ8DjPzG2axuttWXMmH2rGGbKRAEBfO1FxqOB7eh3MQISIbbB2Thl8KsFr2ewvMjbvx&#10;F133sRQJwiFHDVWMXS5lKCqyGEauI07et/MWY5K+lMbjLcFtK1+VmkqLNaeFCjtaV1Q0+4vV0Bxn&#10;n7Vab39Ou2Y68ZvsPJv4s9aDl0y9gYh0j8/wf/vDaJiP4e9L+gFy+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9ZS/27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89RjmbsAAADb&#10;AAAADwAAAGRycy9kb3ducmV2LnhtbEWPS4sCMRCE78L+h9AL3pzERXSYNQorKB597e61mbQzg5PO&#10;kMTXvzeC4LGoqq+o6fxmW3EhHxrHGoaZAkFcOtNwpeGwXw5yECEiG2wdk4Y7BZjPPnpTLIy78pYu&#10;u1iJBOFQoIY6xq6QMpQ1WQyZ64iTd3TeYkzSV9J4vCa4beWXUmNpseG0UGNHi5rK0+5sNYw3PwtX&#10;7vPVn/9v1Madl/d88qt1/3OovkFEusV3+NVeGw35CJ5f0g+Qs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89Rjmb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mc:Fallback>
        </mc:AlternateContent>
      </w:r>
      <w:r>
        <w:rPr>
          <w:rFonts w:hint="eastAsia" w:ascii="楷体_GB2312" w:eastAsia="楷体_GB2312" w:cs="DengXian-Bold"/>
          <w:b/>
          <w:bCs/>
          <w:sz w:val="32"/>
          <w:szCs w:val="32"/>
        </w:rPr>
        <w:t>一）因公出国（境）费支出0万元。</w:t>
      </w:r>
      <w:r>
        <w:rPr>
          <w:rFonts w:hint="eastAsia" w:ascii="仿宋_GB2312" w:eastAsia="仿宋_GB2312" w:cs="DengXian-Regular"/>
          <w:sz w:val="32"/>
          <w:szCs w:val="32"/>
        </w:rPr>
        <w:t>本部门2018年度因公出国（境）团组0个、共0人/参加其他单位组织的因公出国（境）团组0个、共0人/无本单位组织的出国（境）团组。因公出国（境）费支出较年初预算增加0万元，增长0%，与上年相比增减无变化</w:t>
      </w:r>
    </w:p>
    <w:p>
      <w:pPr>
        <w:adjustRightInd w:val="0"/>
        <w:snapToGrid w:val="0"/>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（二）公务用车购置及运行维护费支出0万元。</w:t>
      </w:r>
      <w:r>
        <w:rPr>
          <w:rFonts w:hint="eastAsia" w:ascii="仿宋_GB2312" w:eastAsia="仿宋_GB2312" w:cs="DengXian-Regular"/>
          <w:sz w:val="32"/>
          <w:szCs w:val="32"/>
        </w:rPr>
        <w:t>本部门2018年度公务用车购置及运行维护费较年初预算减少0万元，降低0%,与上年相比增减无变化</w:t>
      </w:r>
      <w:r>
        <w:rPr>
          <w:rFonts w:hint="eastAsia" w:ascii="仿宋_GB2312" w:eastAsia="仿宋_GB2312" w:cs="DengXian-Bold"/>
          <w:b/>
          <w:bCs/>
          <w:sz w:val="32"/>
          <w:szCs w:val="32"/>
        </w:rPr>
        <w:t>其中：</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本部门2018年度公务用车购置量0辆，发生“公务用车购置”经费支出0万元。公务用车购置费支出较年初预算增加0万元，增长0%,与上年相比增减无变化。</w:t>
      </w:r>
      <w:r>
        <w:rPr>
          <w:rFonts w:ascii="仿宋_GB2312" w:eastAsia="仿宋_GB2312" w:cs="DengXian-Regular"/>
          <w:sz w:val="32"/>
          <w:szCs w:val="32"/>
        </w:rPr>
        <w:t xml:space="preserve"> </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本部门2018年度单位公务用车保有量0辆。公车运行维护费支出较年初预算增加0万元，增长0%,与上年相比增减无变化。</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w:t>
      </w:r>
      <w:r>
        <w:rPr>
          <w:rFonts w:hint="eastAsia" w:ascii="楷体_GB2312" w:eastAsia="楷体_GB2312" w:cs="DengXian-Bold"/>
          <w:b/>
          <w:bCs/>
          <w:sz w:val="32"/>
          <w:szCs w:val="32"/>
          <w:lang w:val="en-US" w:eastAsia="zh-CN"/>
        </w:rPr>
        <w:t>0</w:t>
      </w:r>
      <w:r>
        <w:rPr>
          <w:rFonts w:hint="eastAsia" w:ascii="楷体_GB2312" w:eastAsia="楷体_GB2312" w:cs="DengXian-Bold"/>
          <w:b/>
          <w:bCs/>
          <w:sz w:val="32"/>
          <w:szCs w:val="32"/>
        </w:rPr>
        <w:t>万元。</w:t>
      </w:r>
      <w:r>
        <w:rPr>
          <w:sz w:val="44"/>
        </w:rPr>
        <mc:AlternateContent>
          <mc:Choice Requires="wpg">
            <w:drawing>
              <wp:anchor distT="0" distB="0" distL="114300" distR="114300" simplePos="0" relativeHeight="251677696" behindDoc="0" locked="1" layoutInCell="1" allowOverlap="1">
                <wp:simplePos x="0" y="0"/>
                <wp:positionH relativeFrom="column">
                  <wp:posOffset>-1015365</wp:posOffset>
                </wp:positionH>
                <wp:positionV relativeFrom="topMargin">
                  <wp:posOffset>372110</wp:posOffset>
                </wp:positionV>
                <wp:extent cx="3833495" cy="558165"/>
                <wp:effectExtent l="1270" t="0" r="13335" b="13335"/>
                <wp:wrapNone/>
                <wp:docPr id="85" name="组合 85"/>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86"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7"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77696;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5eMcQ74AAADb&#10;AAAADwAAAGRycy9kb3ducmV2LnhtbEWPzWsCMRTE74L/Q3iF3jTZgqtsjR7E0uKpfoDX5+Z1d7ub&#10;lyVJ/fjvG0HwOMzMb5j58mo7cSYfGscasrECQVw603Cl4bD/GM1AhIhssHNMGm4UYLkYDuZYGHfh&#10;LZ13sRIJwqFADXWMfSFlKGuyGMauJ07ej/MWY5K+ksbjJcFtJ9+UyqXFhtNCjT2tairb3Z/V0B6m&#10;341aff4eN20+8evsNJ34k9avL5l6BxHpGp/hR/vLaJjlcP+SfoBc/A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5eMcQ7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Awb97rwAAADb&#10;AAAADwAAAGRycy9kb3ducmV2LnhtbEWPwWrDMBBE74X+g9hCbo3kHhLjRjbEkJJjmjTtdbG2tom1&#10;MpISO39fFQo9DjPzhtlUsx3EjXzoHWvIlgoEceNMz62Gj9PuOQcRIrLBwTFpuFOAqnx82GBh3MTv&#10;dDvGViQIhwI1dDGOhZSh6chiWLqROHnfzluMSfpWGo9TgttBvii1khZ7TgsdjlR31FyOV6thddjW&#10;rjnlb5/+q1cHd93d8/VZ68VTpl5BRJrjf/ivvTca8jX8fkk/QJY/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MG/e68AAAA&#10;2wAAAA8AAAAAAAAAAQAgAAAAIgAAAGRycy9kb3ducmV2LnhtbFBLAQIUABQAAAAIAIdO4kAzLwWe&#10;OwAAADkAAAAQAAAAAAAAAAEAIAAAAAsBAABkcnMvc2hhcGV4bWwueG1sUEsFBgAAAAAGAAYAWwEA&#10;ALUDA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mc:Fallback>
        </mc:AlternateContent>
      </w:r>
      <w:r>
        <w:rPr>
          <w:rFonts w:hint="eastAsia" w:ascii="仿宋_GB2312" w:eastAsia="仿宋_GB2312" w:cs="DengXian-Regular"/>
          <w:sz w:val="32"/>
          <w:szCs w:val="32"/>
        </w:rPr>
        <w:t>本部门2018年度公务接待共0批次、0人次。公务接待费支出较年初预算增加0万元，增长0%,与上年相比增减无变化。</w:t>
      </w:r>
    </w:p>
    <w:p>
      <w:pPr>
        <w:pStyle w:val="3"/>
        <w:spacing w:before="0" w:after="0" w:line="500" w:lineRule="exact"/>
        <w:ind w:firstLine="643" w:firstLineChars="200"/>
        <w:rPr>
          <w:rFonts w:ascii="仿宋_GB2312" w:hAnsi="Times New Roman" w:eastAsia="仿宋_GB2312" w:cs="DengXian-Regular"/>
          <w:b w:val="0"/>
          <w:bCs w:val="0"/>
        </w:rPr>
      </w:pPr>
      <w:r>
        <w:rPr>
          <w:rFonts w:hint="eastAsia" w:ascii="黑体" w:eastAsia="黑体"/>
          <w:szCs w:val="40"/>
        </w:rPr>
        <w:t>六、</w:t>
      </w:r>
      <w:r>
        <w:rPr>
          <w:rFonts w:hint="eastAsia" w:ascii="仿宋_GB2312" w:hAnsi="Times New Roman" w:eastAsia="仿宋_GB2312" w:cs="DengXian-Regular"/>
          <w:bCs w:val="0"/>
        </w:rPr>
        <w:t>绩效预算情况说明</w:t>
      </w:r>
    </w:p>
    <w:p>
      <w:pPr>
        <w:adjustRightInd w:val="0"/>
        <w:snapToGrid w:val="0"/>
        <w:spacing w:after="0" w:line="50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（一）绩效管理工作开展情况。</w:t>
      </w:r>
    </w:p>
    <w:p>
      <w:pPr>
        <w:adjustRightInd w:val="0"/>
        <w:snapToGrid w:val="0"/>
        <w:spacing w:after="0" w:line="50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根据《关于开展2018年度财政专项资金部门绩效自评价工作的通知》（石财绩[2019]1号），本单位认真开展了预算绩效管理改革开展情况自查，对部门全面规范绩效预算编制、严格预算执行管理、推进绩效评价工作、推进预决算信息公开等方面进行了自评，考核结果为优秀。</w:t>
      </w:r>
    </w:p>
    <w:p>
      <w:pPr>
        <w:adjustRightInd w:val="0"/>
        <w:snapToGrid w:val="0"/>
        <w:spacing w:after="0" w:line="50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（二）预算项目绩效评价开展情况</w:t>
      </w:r>
    </w:p>
    <w:p>
      <w:pPr>
        <w:adjustRightInd w:val="0"/>
        <w:snapToGrid w:val="0"/>
        <w:spacing w:after="0" w:line="50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根据预算绩效管理要求，本单位组织对2018年度一般公共预算项目支出全面开展绩效自评，涉及电影公司公益电影放映等1个项目，涉及资金23万元。从评价情况看，评价结果为优秀的项目有1个，良好的项目有0个，一般的项目有0个。</w:t>
      </w:r>
    </w:p>
    <w:p>
      <w:pPr>
        <w:adjustRightInd w:val="0"/>
        <w:snapToGrid w:val="0"/>
        <w:spacing w:after="0" w:line="50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（三）预算项目绩效自评选例</w:t>
      </w:r>
    </w:p>
    <w:p>
      <w:pPr>
        <w:adjustRightInd w:val="0"/>
        <w:snapToGrid w:val="0"/>
        <w:spacing w:after="0" w:line="50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本单位无民生项目和重点支出项目。</w:t>
      </w:r>
    </w:p>
    <w:p>
      <w:pPr>
        <w:pStyle w:val="3"/>
        <w:spacing w:before="0" w:after="0" w:line="580" w:lineRule="exact"/>
        <w:ind w:firstLine="640" w:firstLineChars="200"/>
        <w:rPr>
          <w:rFonts w:ascii="黑体" w:eastAsia="黑体" w:cs="Times New Roman"/>
          <w:b w:val="0"/>
          <w:bCs w:val="0"/>
        </w:rPr>
      </w:pPr>
      <w:r>
        <w:rPr>
          <w:rFonts w:hint="eastAsia" w:ascii="黑体" w:eastAsia="黑体" w:cs="Times New Roman"/>
          <w:b w:val="0"/>
          <w:bCs w:val="0"/>
        </w:rPr>
        <w:t>七、其他重要事项的说明</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本部门2018年度机关运行经费支出0万元，比年初预算数增加0万元，增长0%。与上年相比无变化</w:t>
      </w:r>
      <w:r>
        <w:rPr>
          <w:sz w:val="44"/>
        </w:rPr>
        <mc:AlternateContent>
          <mc:Choice Requires="wpg">
            <w:drawing>
              <wp:anchor distT="0" distB="0" distL="114300" distR="114300" simplePos="0" relativeHeight="251678720" behindDoc="0" locked="1" layoutInCell="1" allowOverlap="1">
                <wp:simplePos x="0" y="0"/>
                <wp:positionH relativeFrom="column">
                  <wp:posOffset>-1015365</wp:posOffset>
                </wp:positionH>
                <wp:positionV relativeFrom="topMargin">
                  <wp:posOffset>372110</wp:posOffset>
                </wp:positionV>
                <wp:extent cx="3833495" cy="558165"/>
                <wp:effectExtent l="1270" t="0" r="13335" b="13335"/>
                <wp:wrapNone/>
                <wp:docPr id="88" name="组合 88"/>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89"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90"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78720;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lHyIMb4AAADb&#10;AAAADwAAAGRycy9kb3ducmV2LnhtbEWPzWsCMRTE7wX/h/AEbzVZwY9ujR5EsXhqVfD63Lzubnfz&#10;siTxo/+9KRQ8DjPzG2a+vNtWXMmH2rGGbKhAEBfO1FxqOB42rzMQISIbbB2Thl8KsFz0XuaYG3fj&#10;L7ruYykShEOOGqoYu1zKUFRkMQxdR5y8b+ctxiR9KY3HW4LbVo6UmkiLNaeFCjtaVVQ0+4vV0Byn&#10;n7VabX9Ou2Yy9uvsPB37s9aDfqbeQUS6x2f4v/1hNMze4O9L+gFy8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lHyIMb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CTbzR7gAAADb&#10;AAAADwAAAGRycy9kb3ducmV2LnhtbEVPy4rCMBTdC/MP4Q6408RZaKeaFkZQXPoct5fm2habm5LE&#10;19+bxcAsD+e9KJ+2E3fyoXWsYTJWIIgrZ1quNRwPq1EGIkRkg51j0vCiAGXxMVhgbtyDd3Tfx1qk&#10;EA45amhi7HMpQ9WQxTB2PXHiLs5bjAn6WhqPjxRuO/ml1FRabDk1NNjTsqHqur9ZDdPtz9JVh2z9&#10;68+t2rrb6pXNTloPPydqDiLSM/6L/9wbo+E7rU9f0g+QxRt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CTbzR7gAAADbAAAA&#10;DwAAAAAAAAABACAAAAAiAAAAZHJzL2Rvd25yZXYueG1sUEsBAhQAFAAAAAgAh07iQDMvBZ47AAAA&#10;OQAAABAAAAAAAAAAAQAgAAAABwEAAGRycy9zaGFwZXhtbC54bWxQSwUGAAAAAAYABgBbAQAAsQMA&#10;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mc:Fallback>
        </mc:AlternateConten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（二）政府采购情况</w:t>
      </w:r>
    </w:p>
    <w:p>
      <w:pPr>
        <w:widowControl/>
        <w:spacing w:after="0" w:line="580" w:lineRule="exact"/>
        <w:ind w:firstLine="640" w:firstLineChars="200"/>
        <w:jc w:val="left"/>
        <w:rPr>
          <w:rFonts w:ascii="仿宋_GB2312" w:eastAsia="仿宋_GB2312" w:cs="DengXian-Regular"/>
          <w:sz w:val="32"/>
          <w:szCs w:val="32"/>
        </w:rPr>
      </w:pPr>
      <w:r>
        <w:rPr>
          <w:rFonts w:hint="eastAsia" w:ascii="仿宋_GB2312" w:eastAsia="仿宋_GB2312" w:cs="DengXian-Regular"/>
          <w:sz w:val="32"/>
          <w:szCs w:val="32"/>
        </w:rPr>
        <w:t>本部门2018年度政府采购支出总额0万元，从采购类型来看，</w:t>
      </w:r>
      <w:r>
        <w:rPr>
          <w:rFonts w:ascii="仿宋_GB2312" w:hAnsi="仿宋_GB2312" w:eastAsia="仿宋_GB2312" w:cs="仿宋_GB2312"/>
          <w:color w:val="000000"/>
          <w:kern w:val="0"/>
          <w:sz w:val="32"/>
          <w:szCs w:val="32"/>
          <w:lang w:bidi="ar"/>
        </w:rPr>
        <w:t>政府采购货物支出</w:t>
      </w:r>
      <w:r>
        <w:rPr>
          <w:rFonts w:hint="eastAsia" w:ascii="仿宋_GB2312" w:hAnsi="仿宋_GB2312" w:eastAsia="仿宋_GB2312" w:cs="仿宋_GB2312"/>
          <w:color w:val="000000"/>
          <w:kern w:val="0"/>
          <w:sz w:val="32"/>
          <w:szCs w:val="32"/>
          <w:lang w:bidi="ar"/>
        </w:rPr>
        <w:t>0</w:t>
      </w:r>
      <w:r>
        <w:rPr>
          <w:rFonts w:ascii="仿宋_GB2312" w:hAnsi="仿宋_GB2312" w:eastAsia="仿宋_GB2312" w:cs="仿宋_GB2312"/>
          <w:color w:val="000000"/>
          <w:kern w:val="0"/>
          <w:sz w:val="32"/>
          <w:szCs w:val="32"/>
          <w:lang w:bidi="ar"/>
        </w:rPr>
        <w:t xml:space="preserve"> 万元、政府采购工程支出</w:t>
      </w:r>
      <w:r>
        <w:rPr>
          <w:rFonts w:hint="eastAsia" w:ascii="仿宋_GB2312" w:hAnsi="仿宋_GB2312" w:eastAsia="仿宋_GB2312" w:cs="仿宋_GB2312"/>
          <w:color w:val="000000"/>
          <w:kern w:val="0"/>
          <w:sz w:val="32"/>
          <w:szCs w:val="32"/>
          <w:lang w:bidi="ar"/>
        </w:rPr>
        <w:t>0</w:t>
      </w:r>
      <w:r>
        <w:rPr>
          <w:rFonts w:ascii="仿宋_GB2312" w:hAnsi="仿宋_GB2312" w:eastAsia="仿宋_GB2312" w:cs="仿宋_GB2312"/>
          <w:color w:val="000000"/>
          <w:kern w:val="0"/>
          <w:sz w:val="32"/>
          <w:szCs w:val="32"/>
          <w:lang w:bidi="ar"/>
        </w:rPr>
        <w:t xml:space="preserve">万元、政府采购服务支出 </w:t>
      </w:r>
      <w:r>
        <w:rPr>
          <w:rFonts w:hint="eastAsia" w:ascii="仿宋_GB2312" w:hAnsi="仿宋_GB2312" w:eastAsia="仿宋_GB2312" w:cs="仿宋_GB2312"/>
          <w:color w:val="000000"/>
          <w:kern w:val="0"/>
          <w:sz w:val="32"/>
          <w:szCs w:val="32"/>
          <w:lang w:bidi="ar"/>
        </w:rPr>
        <w:t>0</w:t>
      </w:r>
      <w:r>
        <w:rPr>
          <w:rFonts w:ascii="仿宋_GB2312" w:hAnsi="仿宋_GB2312" w:eastAsia="仿宋_GB2312" w:cs="仿宋_GB2312"/>
          <w:color w:val="000000"/>
          <w:kern w:val="0"/>
          <w:sz w:val="32"/>
          <w:szCs w:val="32"/>
          <w:lang w:bidi="ar"/>
        </w:rPr>
        <w:t>万元。授予中小企业合同金</w:t>
      </w:r>
      <w:r>
        <w:rPr>
          <w:rFonts w:hint="eastAsia" w:ascii="仿宋_GB2312" w:hAnsi="仿宋_GB2312" w:eastAsia="仿宋_GB2312" w:cs="仿宋_GB2312"/>
          <w:color w:val="000000"/>
          <w:kern w:val="0"/>
          <w:sz w:val="32"/>
          <w:szCs w:val="32"/>
          <w:lang w:bidi="ar"/>
        </w:rPr>
        <w:t>0</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bidi="ar"/>
        </w:rPr>
        <w:t>0%，</w:t>
      </w:r>
      <w:r>
        <w:rPr>
          <w:rFonts w:ascii="仿宋_GB2312" w:hAnsi="仿宋_GB2312" w:eastAsia="仿宋_GB2312" w:cs="仿宋_GB2312"/>
          <w:color w:val="000000"/>
          <w:kern w:val="0"/>
          <w:sz w:val="32"/>
          <w:szCs w:val="32"/>
          <w:lang w:bidi="ar"/>
        </w:rPr>
        <w:t>其中授予小微企业合同金额</w:t>
      </w:r>
      <w:r>
        <w:rPr>
          <w:rFonts w:hint="eastAsia" w:ascii="仿宋_GB2312" w:hAnsi="仿宋_GB2312" w:eastAsia="仿宋_GB2312" w:cs="仿宋_GB2312"/>
          <w:color w:val="000000"/>
          <w:kern w:val="0"/>
          <w:sz w:val="32"/>
          <w:szCs w:val="32"/>
          <w:lang w:bidi="ar"/>
        </w:rPr>
        <w:t>0</w:t>
      </w:r>
      <w:r>
        <w:rPr>
          <w:rFonts w:ascii="仿宋_GB2312" w:hAnsi="仿宋_GB2312" w:eastAsia="仿宋_GB2312" w:cs="仿宋_GB2312"/>
          <w:color w:val="000000"/>
          <w:kern w:val="0"/>
          <w:sz w:val="32"/>
          <w:szCs w:val="32"/>
          <w:lang w:bidi="ar"/>
        </w:rPr>
        <w:t xml:space="preserve">万元，占政府采购支出总额的 </w:t>
      </w:r>
      <w:r>
        <w:rPr>
          <w:rFonts w:hint="eastAsia" w:ascii="仿宋_GB2312" w:hAnsi="仿宋_GB2312" w:eastAsia="仿宋_GB2312" w:cs="仿宋_GB2312"/>
          <w:color w:val="000000"/>
          <w:kern w:val="0"/>
          <w:sz w:val="32"/>
          <w:szCs w:val="32"/>
          <w:lang w:bidi="ar"/>
        </w:rPr>
        <w:t>0</w:t>
      </w:r>
      <w:r>
        <w:rPr>
          <w:rFonts w:ascii="仿宋_GB2312" w:hAnsi="仿宋_GB2312" w:eastAsia="仿宋_GB2312" w:cs="仿宋_GB2312"/>
          <w:color w:val="000000"/>
          <w:kern w:val="0"/>
          <w:sz w:val="32"/>
          <w:szCs w:val="32"/>
          <w:lang w:bidi="ar"/>
        </w:rPr>
        <w:t>%。</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2018年12月31日，本部门共有车辆0辆，比上年增加辆，与上年相比增减无变化。其中，副部（省）级及以上领导用车0辆，主要领导干部用车0辆，机要通信用车0辆，应急保障用车0辆，执法执勤用车0辆，特种专业技术用车0辆，离退休干部用车0辆，其他用车0辆，其他用车主要是0；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万元以上通用设备0台（套），比上年增加0套，单位价值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万元以上专用设备0台（套）比上年增加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套,与上年相比增减无变化。</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（四）其他需要说明的情况</w:t>
      </w:r>
      <w:bookmarkStart w:id="1" w:name="_GoBack"/>
      <w:bookmarkEnd w:id="1"/>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1、本部门2018年度无收支及结转结余情况，故一般公共预算财政拨款“</w:t>
      </w:r>
      <w:r>
        <w:rPr>
          <w:rFonts w:ascii="仿宋_GB2312" w:eastAsia="仿宋_GB2312" w:cs="DengXian-Regular"/>
          <w:sz w:val="32"/>
          <w:szCs w:val="32"/>
        </w:rPr>
        <mc:AlternateContent>
          <mc:Choice Requires="wpg">
            <w:drawing>
              <wp:anchor distT="0" distB="0" distL="114300" distR="114300" simplePos="0" relativeHeight="251684864" behindDoc="0" locked="1" layoutInCell="1" allowOverlap="1">
                <wp:simplePos x="0" y="0"/>
                <wp:positionH relativeFrom="column">
                  <wp:posOffset>-1050925</wp:posOffset>
                </wp:positionH>
                <wp:positionV relativeFrom="page">
                  <wp:posOffset>-1029970</wp:posOffset>
                </wp:positionV>
                <wp:extent cx="3088640" cy="523240"/>
                <wp:effectExtent l="3175" t="0" r="13335" b="29210"/>
                <wp:wrapNone/>
                <wp:docPr id="52" name="组合 52"/>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53"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4"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2.75pt;margin-top:-81.1pt;height:41.2pt;width:243.2pt;mso-position-vertical-relative:page;z-index:251684864;mso-width-relative:page;mso-height-relative:page;" coordorigin="4551,52615" coordsize="8546,1398" o:gfxdata="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Bwnm4jcAAAADQEAAA8AAAAAAAAAAQAgAAAAIgAAAGRycy9kb3ducmV2LnhtbFBLAQIUABQAAAAI&#10;AIdO4kAhn03qPwMAADwJAAAOAAAAAAAAAAEAIAAAACsBAABkcnMvZTJvRG9jLnhtbFBLBQYAAAAA&#10;BgAGAFkBAADcBg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i/STnL4AAADb&#10;AAAADwAAAGRycy9kb3ducmV2LnhtbEWPT2sCMRTE74LfIbyCN022sipbowexWHpqVfD63Lzubnfz&#10;siTxT799Uyh4HGbmN8xyfbeduJIPjWMN2USBIC6dabjScDy8jhcgQkQ22DkmDT8UYL0aDpZYGHfj&#10;T7ruYyUShEOBGuoY+0LKUNZkMUxcT5y8L+ctxiR9JY3HW4LbTj4rNZMWG04LNfa0qals9xeroT3O&#10;Pxq12X2f3ttZ7rfZeZ77s9ajp0y9gIh0j4/wf/vNaMin8Pcl/QC5+g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i/STnL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jbRP3rsAAADb&#10;AAAADwAAAGRycy9kb3ducmV2LnhtbEWPS4sCMRCE78L+h9ALe9PExdVhNAorKHv07bWZtDODk86Q&#10;xNe/3wiCx6KqvqIms7ttxJV8qB1r6PcUCOLCmZpLDbvtopuBCBHZYOOYNDwowGz60ZlgbtyN13Td&#10;xFIkCIccNVQxtrmUoajIYui5ljh5J+ctxiR9KY3HW4LbRn4rNZQWa04LFbY0r6g4by5Ww3D1O3fF&#10;Nlse/LFWK3dZPLLRXuuvz74ag4h0j+/wq/1nNPwM4Pkl/QA5/Q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jbRP3r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mc:Fallback>
        </mc:AlternateContent>
      </w:r>
      <w:r>
        <w:rPr>
          <w:rFonts w:hint="eastAsia" w:ascii="仿宋_GB2312" w:eastAsia="仿宋_GB2312" w:cs="DengXian-Regular"/>
          <w:sz w:val="32"/>
          <w:szCs w:val="32"/>
        </w:rPr>
        <w:t>三公”经费支出决算表、政府性基金预算财政拨款收入支出决算表、国有资本经营预算财政拨款支出决算表、政府采购情况表以空表列示。</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w:t>
      </w:r>
      <w:r>
        <w:rPr>
          <w:sz w:val="44"/>
        </w:rPr>
        <mc:AlternateContent>
          <mc:Choice Requires="wpg">
            <w:drawing>
              <wp:anchor distT="0" distB="0" distL="114300" distR="114300" simplePos="0" relativeHeight="251679744" behindDoc="0" locked="1" layoutInCell="1" allowOverlap="1">
                <wp:simplePos x="0" y="0"/>
                <wp:positionH relativeFrom="column">
                  <wp:posOffset>-1015365</wp:posOffset>
                </wp:positionH>
                <wp:positionV relativeFrom="topMargin">
                  <wp:posOffset>372110</wp:posOffset>
                </wp:positionV>
                <wp:extent cx="3833495" cy="558165"/>
                <wp:effectExtent l="1270" t="0" r="13335" b="13335"/>
                <wp:wrapNone/>
                <wp:docPr id="91" name="组合 91"/>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92"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93"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79744;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HwGMnb4AAADb&#10;AAAADwAAAGRycy9kb3ducmV2LnhtbEWPS2vDMBCE74H+B7GF3hLJgTzqRskhNLTklBf0urG2tmtr&#10;ZSTl0X8fBQI5DjPzDTNbXG0rzuRD7VhDNlAgiAtnai41HPar/hREiMgGW8ek4Z8CLOYvvRnmxl14&#10;S+ddLEWCcMhRQxVjl0sZiooshoHriJP367zFmKQvpfF4SXDbyqFSY2mx5rRQYUfLiopmd7IamsNk&#10;U6vl19/PuhmP/Gd2nIz8Ueu310x9gIh0jc/wo/1tNLwP4f4l/QA5v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wGMnb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eRtML0AAADb&#10;AAAADwAAAGRycy9kb3ducmV2LnhtbEWPT2vCQBTE7wW/w/IEb3U3FmyauhEULB6t9s/1kX1NQrNv&#10;w+4m6rd3hUKPw8z8hlmtL7YTI/nQOtaQzRUI4sqZlmsNH6fdYw4iRGSDnWPScKUA63LysMLCuDO/&#10;03iMtUgQDgVqaGLsCylD1ZDFMHc9cfJ+nLcYk/S1NB7PCW47uVBqKS22nBYa7GnbUPV7HKyG5WGz&#10;ddUpf/vy3606uGF3zZ8/tZ5NM/UKItIl/of/2nuj4eUJ7l/SD5DlD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55G0wvQAA&#10;ANsAAAAPAAAAAAAAAAEAIAAAACIAAABkcnMvZG93bnJldi54bWxQSwECFAAUAAAACACHTuJAMy8F&#10;njsAAAA5AAAAEAAAAAAAAAABACAAAAAMAQAAZHJzL3NoYXBleG1sLnhtbFBLBQYAAAAABgAGAFsB&#10;AAC2Aw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mc:Fallback>
        </mc:AlternateContent>
      </w:r>
      <w:r>
        <w:rPr>
          <w:rFonts w:hint="eastAsia" w:ascii="仿宋_GB2312" w:eastAsia="仿宋_GB2312" w:cs="DengXian-Regular"/>
          <w:sz w:val="32"/>
          <w:szCs w:val="32"/>
        </w:rPr>
        <w:t>果，个别数据合计项与分项之和存在小数点后差额，特此说明。</w:t>
      </w:r>
    </w:p>
    <w:p>
      <w:pPr>
        <w:widowControl/>
        <w:spacing w:after="0" w:line="580" w:lineRule="exact"/>
        <w:ind w:firstLine="883" w:firstLineChars="200"/>
        <w:jc w:val="left"/>
        <w:rPr>
          <w:rFonts w:cs="MS-UIGothic,Bold" w:asciiTheme="majorEastAsia" w:hAnsiTheme="majorEastAsia" w:eastAsiaTheme="majorEastAsia"/>
          <w:b/>
          <w:bCs/>
          <w:kern w:val="0"/>
          <w:sz w:val="44"/>
          <w:szCs w:val="44"/>
        </w:rPr>
        <w:sectPr>
          <w:pgSz w:w="11906" w:h="16838"/>
          <w:pgMar w:top="2098" w:right="1474" w:bottom="1984" w:left="1588" w:header="851" w:footer="992" w:gutter="0"/>
          <w:cols w:space="0" w:num="1"/>
          <w:docGrid w:type="lines" w:linePitch="312" w:charSpace="0"/>
        </w:sect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8480"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2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1"/>
                    </pic:cNvPicPr>
                  </pic:nvPicPr>
                  <pic:blipFill>
                    <a:blip r:embed="rId7"/>
                    <a:stretch>
                      <a:fillRect/>
                    </a:stretch>
                  </pic:blipFill>
                  <pic:spPr>
                    <a:xfrm>
                      <a:off x="0" y="0"/>
                      <a:ext cx="7550150" cy="10680065"/>
                    </a:xfrm>
                    <a:prstGeom prst="rect">
                      <a:avLst/>
                    </a:prstGeom>
                  </pic:spPr>
                </pic:pic>
              </a:graphicData>
            </a:graphic>
          </wp:anchor>
        </w:drawing>
      </w:r>
      <w:r>
        <w:rPr>
          <w:sz w:val="72"/>
        </w:rPr>
        <mc:AlternateContent>
          <mc:Choice Requires="wps">
            <w:drawing>
              <wp:anchor distT="0" distB="0" distL="114300" distR="114300" simplePos="0" relativeHeight="251667456" behindDoc="0" locked="0" layoutInCell="1" allowOverlap="1">
                <wp:simplePos x="0" y="0"/>
                <wp:positionH relativeFrom="column">
                  <wp:posOffset>-999490</wp:posOffset>
                </wp:positionH>
                <wp:positionV relativeFrom="paragraph">
                  <wp:posOffset>2956560</wp:posOffset>
                </wp:positionV>
                <wp:extent cx="7571740" cy="2020570"/>
                <wp:effectExtent l="0" t="0" r="0" b="0"/>
                <wp:wrapNone/>
                <wp:docPr id="22" name="文本框 22"/>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第四部分</w:t>
                            </w:r>
                          </w:p>
                          <w:p>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8.7pt;margin-top:232.8pt;height:159.1pt;width:596.2pt;z-index:251667456;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NlmnozeAAAADQEAAA8AAAAAAAAAAQAgAAAA&#10;IgAAAGRycy9kb3ducmV2LnhtbFBLAQIUABQAAAAIAIdO4kAzTACJPgIAAGkEAAAOAAAAAAAAAAEA&#10;IAAAAC0BAABkcnMvZTJvRG9jLnhtbFBLBQYAAAAABgAGAFkBAADdBQ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第四部分</w:t>
                      </w:r>
                    </w:p>
                    <w:p>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名词解释</w:t>
                      </w:r>
                    </w:p>
                  </w:txbxContent>
                </v:textbox>
              </v:shape>
            </w:pict>
          </mc:Fallback>
        </mc:AlternateConten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（一）财政拨款收入：</w:t>
      </w:r>
      <w:r>
        <w:rPr>
          <w:rFonts w:hint="eastAsia" w:ascii="仿宋_GB2312" w:eastAsia="仿宋_GB2312" w:hAnsiTheme="majorEastAsia"/>
          <w:color w:val="000000"/>
          <w:kern w:val="0"/>
          <w:sz w:val="32"/>
          <w:szCs w:val="32"/>
        </w:rPr>
        <w:t>本年度从本级财政部门取得的财政拨款，包括一般公共预算财政拨款和政府性基金预算财政拨款。</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（二）事业收入：</w:t>
      </w:r>
      <w:r>
        <w:rPr>
          <w:rFonts w:hint="eastAsia" w:ascii="仿宋_GB2312" w:eastAsia="仿宋_GB2312" w:hAnsiTheme="majorEastAsia"/>
          <w:color w:val="000000"/>
          <w:kern w:val="0"/>
          <w:sz w:val="32"/>
          <w:szCs w:val="32"/>
        </w:rPr>
        <w:t>指事业单位开展专业业务活动及辅助活动所取得的收入。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（三）其他收入：</w:t>
      </w:r>
      <w:r>
        <w:rPr>
          <w:rFonts w:hint="eastAsia" w:ascii="仿宋_GB2312" w:eastAsia="仿宋_GB2312" w:hAnsiTheme="majorEastAsia"/>
          <w:color w:val="000000"/>
          <w:kern w:val="0"/>
          <w:sz w:val="32"/>
          <w:szCs w:val="32"/>
        </w:rPr>
        <w:t>指除上述“财政拨款收入”“事业收入”“经营收入”等以外的收入。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（四）用事业基金弥补收支差额：</w:t>
      </w:r>
      <w:r>
        <w:rPr>
          <w:rFonts w:hint="eastAsia" w:ascii="仿宋_GB2312" w:eastAsia="仿宋_GB2312" w:hAnsiTheme="major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（五）年初结转和结余：</w:t>
      </w:r>
      <w:r>
        <w:rPr>
          <w:rFonts w:hint="eastAsia" w:ascii="仿宋_GB2312" w:eastAsia="仿宋_GB2312" w:hAnsiTheme="majorEastAsia"/>
          <w:color w:val="000000"/>
          <w:kern w:val="0"/>
          <w:sz w:val="32"/>
          <w:szCs w:val="32"/>
        </w:rPr>
        <w:t>指以前年度尚未完成、结转到本年仍按原规定用途继续使用的资金，或项目已完成等产生的结余资金。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（六）结余分配：</w:t>
      </w:r>
      <w:r>
        <w:rPr>
          <w:rFonts w:hint="eastAsia" w:ascii="仿宋_GB2312" w:eastAsia="仿宋_GB2312" w:hAnsiTheme="majorEastAsia"/>
          <w:color w:val="000000"/>
          <w:kern w:val="0"/>
          <w:sz w:val="32"/>
          <w:szCs w:val="32"/>
        </w:rPr>
        <w:t>指事业单位按照事业单位会计制度的规定从非财政补助结余中分配的事业基金和职工福利基金等。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（七）年末结转和结</w:t>
      </w:r>
      <w:r>
        <w:rPr>
          <w:rFonts w:hint="eastAsia" w:ascii="仿宋_GB2312" w:eastAsia="仿宋_GB2312" w:hAnsiTheme="majorEastAsia"/>
          <w:b/>
          <w:bCs/>
          <w:color w:val="000000"/>
          <w:kern w:val="0"/>
          <w:sz w:val="32"/>
          <w:szCs w:val="32"/>
        </w:rPr>
        <mc:AlternateContent>
          <mc:Choice Requires="wpg">
            <w:drawing>
              <wp:anchor distT="0" distB="0" distL="114300" distR="114300" simplePos="0" relativeHeight="251671552" behindDoc="0" locked="1" layoutInCell="1" allowOverlap="1">
                <wp:simplePos x="0" y="0"/>
                <wp:positionH relativeFrom="column">
                  <wp:posOffset>-1029335</wp:posOffset>
                </wp:positionH>
                <wp:positionV relativeFrom="page">
                  <wp:posOffset>503555</wp:posOffset>
                </wp:positionV>
                <wp:extent cx="3363595" cy="558165"/>
                <wp:effectExtent l="2540" t="0" r="5715" b="13335"/>
                <wp:wrapNone/>
                <wp:docPr id="149" name="组合 149"/>
                <wp:cNvGraphicFramePr/>
                <a:graphic xmlns:a="http://schemas.openxmlformats.org/drawingml/2006/main">
                  <a:graphicData uri="http://schemas.microsoft.com/office/word/2010/wordprocessingGroup">
                    <wpg:wgp>
                      <wpg:cNvGrpSpPr/>
                      <wpg:grpSpPr>
                        <a:xfrm>
                          <a:off x="0" y="0"/>
                          <a:ext cx="3363595" cy="558165"/>
                          <a:chOff x="4551" y="52615"/>
                          <a:chExt cx="8546" cy="1398"/>
                        </a:xfrm>
                      </wpg:grpSpPr>
                      <wps:wsp>
                        <wps:cNvPr id="150"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51"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1.05pt;margin-top:39.65pt;height:43.95pt;width:264.85pt;mso-position-vertical-relative:page;z-index:251671552;mso-width-relative:page;mso-height-relative:page;" coordorigin="4551,52615" coordsize="8546,1398"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IWM/JvbAAAACwEAAA8AAAAAAAAAAQAgAAAAIgAAAGRycy9kb3ducmV2LnhtbFBLAQIUABQA&#10;AAAIAIdO4kDjtnK1QwMAAEAJAAAOAAAAAAAAAAEAIAAAACoBAABkcnMvZTJvRG9jLnhtbFBLBQYA&#10;AAAABgAGAFkBAADfBg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KQGEQb8AAADc&#10;AAAADwAAAGRycy9kb3ducmV2LnhtbEWPT0/DMAzF70h8h8hI3FhSpG6oLNth2sTECcYkrl7jtV0b&#10;p0qyP3x7fEDiZus9v/fzfHnzg7pQTF1gC8XEgCKug+u4sbD/2jy9gEoZ2eEQmCz8UILl4v5ujpUL&#10;V/6kyy43SkI4VWihzXmstE51Sx7TJIzEoh1D9JhljY12Ea8S7gf9bMxUe+xYGlocadVS3e/O3kK/&#10;n310ZvV2+n7vp2VcF4dZGQ/WPj4U5hVUplv+N/9db53gl4Ivz8gEevE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kBhEG/&#10;AAAA3AAAAA8AAAAAAAAAAQAgAAAAIgAAAGRycy9kb3ducmV2LnhtbFBLAQIUABQAAAAIAIdO4kAz&#10;LwWeOwAAADkAAAAQAAAAAAAAAAEAIAAAAA4BAABkcnMvc2hhcGV4bWwueG1sUEsFBgAAAAAGAAYA&#10;WwEAALgDA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azJzTrkAAADc&#10;AAAADwAAAGRycy9kb3ducmV2LnhtbEVPS4vCMBC+L/gfwgje1qSCbqlGQcFlj769Ds3YFptJSeLr&#10;35uFhb3Nx/ec2eJpW3EnHxrHGrKhAkFcOtNwpeGwX3/mIEJENtg6Jg0vCrCY9z5mWBj34C3dd7ES&#10;KYRDgRrqGLtCylDWZDEMXUecuIvzFmOCvpLG4yOF21aOlJpIiw2nhho7WtVUXnc3q2GyWa5cuc+/&#10;T/7cqI27rV/511HrQT9TUxCRnvFf/Of+MWn+OIPfZ9IFcv4G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Gsyc065AAAA3AAA&#10;AA8AAAAAAAAAAQAgAAAAIgAAAGRycy9kb3ducmV2LnhtbFBLAQIUABQAAAAIAIdO4kAzLwWeOwAA&#10;ADkAAAAQAAAAAAAAAAEAIAAAAAgBAABkcnMvc2hhcGV4bWwueG1sUEsFBgAAAAAGAAYAWwEAALID&#10;A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pPr>
                          <w:jc w:val="center"/>
                        </w:pPr>
                      </w:p>
                    </w:txbxContent>
                  </v:textbox>
                </v:rect>
                <w10:anchorlock/>
              </v:group>
            </w:pict>
          </mc:Fallback>
        </mc:AlternateContent>
      </w:r>
      <w:r>
        <w:rPr>
          <w:rFonts w:hint="eastAsia" w:ascii="仿宋_GB2312" w:eastAsia="仿宋_GB2312" w:hAnsiTheme="majorEastAsia"/>
          <w:b/>
          <w:bCs/>
          <w:color w:val="000000"/>
          <w:kern w:val="0"/>
          <w:sz w:val="32"/>
          <w:szCs w:val="32"/>
        </w:rPr>
        <w:t>余：</w:t>
      </w:r>
      <w:r>
        <w:rPr>
          <w:rFonts w:hint="eastAsia" w:ascii="仿宋_GB2312" w:eastAsia="仿宋_GB2312" w:hAnsiTheme="majorEastAsia"/>
          <w:color w:val="000000"/>
          <w:kern w:val="0"/>
          <w:sz w:val="32"/>
          <w:szCs w:val="32"/>
        </w:rPr>
        <w:t>指单位按有关规定结转到下年或以后年度继续使用的资金，或项目已完成等产生的结余资金。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（八）基本支出：</w:t>
      </w:r>
      <w:r>
        <w:rPr>
          <w:rFonts w:hint="eastAsia" w:ascii="仿宋_GB2312" w:eastAsia="仿宋_GB2312" w:hAnsiTheme="majorEastAsia"/>
          <w:color w:val="000000"/>
          <w:kern w:val="0"/>
          <w:sz w:val="32"/>
          <w:szCs w:val="32"/>
        </w:rPr>
        <w:t>填列单位为保障机构正常运转、完成日常工作任务而发生的各项支出。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（九）项目支出：</w:t>
      </w:r>
      <w:r>
        <w:rPr>
          <w:rFonts w:hint="eastAsia" w:ascii="仿宋_GB2312" w:eastAsia="仿宋_GB2312" w:hAnsiTheme="majorEastAsia"/>
          <w:color w:val="000000"/>
          <w:kern w:val="0"/>
          <w:sz w:val="32"/>
          <w:szCs w:val="32"/>
        </w:rPr>
        <w:t>填列单位为完成特定的行政工作任务或事业发展目标，在基本支出之外发生的各项支出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（十）资本性支出（基本建设）：</w:t>
      </w:r>
      <w:r>
        <w:rPr>
          <w:rFonts w:hint="eastAsia" w:ascii="仿宋_GB2312" w:eastAsia="仿宋_GB2312" w:hAnsiTheme="majorEastAsia"/>
          <w:color w:val="000000"/>
          <w:kern w:val="0"/>
          <w:sz w:val="32"/>
          <w:szCs w:val="32"/>
        </w:rPr>
        <w:t>填列切块由发展改革部门安排的基本建设支出，对企业补助支出不在此科目反映。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（十一）资本性支出：</w:t>
      </w:r>
      <w:r>
        <w:rPr>
          <w:rFonts w:hint="eastAsia" w:ascii="仿宋_GB2312" w:eastAsia="仿宋_GB2312" w:hAnsiTheme="majorEastAsia"/>
          <w:color w:val="000000"/>
          <w:kern w:val="0"/>
          <w:sz w:val="32"/>
          <w:szCs w:val="32"/>
        </w:rPr>
        <w:t>填列各单位安排的资本性支出。切块由发展改革部门安排的基本建设支出不在此科目反映。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（十二）“三公”经费：</w:t>
      </w:r>
      <w:r>
        <w:rPr>
          <w:rFonts w:hint="eastAsia" w:ascii="仿宋_GB2312" w:eastAsia="仿宋_GB2312" w:hAnsiTheme="major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w:t>
      </w:r>
      <w:r>
        <w:rPr>
          <w:rFonts w:hint="eastAsia" w:ascii="仿宋_GB2312" w:eastAsia="仿宋_GB2312" w:hAnsiTheme="majorEastAsia"/>
          <w:b/>
          <w:bCs/>
          <w:color w:val="000000"/>
          <w:kern w:val="0"/>
          <w:sz w:val="32"/>
          <w:szCs w:val="32"/>
        </w:rPr>
        <mc:AlternateContent>
          <mc:Choice Requires="wpg">
            <w:drawing>
              <wp:anchor distT="0" distB="0" distL="114300" distR="114300" simplePos="0" relativeHeight="251680768" behindDoc="0" locked="1" layoutInCell="1" allowOverlap="1">
                <wp:simplePos x="0" y="0"/>
                <wp:positionH relativeFrom="column">
                  <wp:posOffset>-1029335</wp:posOffset>
                </wp:positionH>
                <wp:positionV relativeFrom="page">
                  <wp:posOffset>503555</wp:posOffset>
                </wp:positionV>
                <wp:extent cx="3363595" cy="558165"/>
                <wp:effectExtent l="2540" t="0" r="5715" b="13335"/>
                <wp:wrapNone/>
                <wp:docPr id="94" name="组合 94"/>
                <wp:cNvGraphicFramePr/>
                <a:graphic xmlns:a="http://schemas.openxmlformats.org/drawingml/2006/main">
                  <a:graphicData uri="http://schemas.microsoft.com/office/word/2010/wordprocessingGroup">
                    <wpg:wgp>
                      <wpg:cNvGrpSpPr/>
                      <wpg:grpSpPr>
                        <a:xfrm>
                          <a:off x="0" y="0"/>
                          <a:ext cx="3363595" cy="558165"/>
                          <a:chOff x="4551" y="52615"/>
                          <a:chExt cx="8546" cy="1398"/>
                        </a:xfrm>
                      </wpg:grpSpPr>
                      <wps:wsp>
                        <wps:cNvPr id="95"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96"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1.05pt;margin-top:39.65pt;height:43.95pt;width:264.85pt;mso-position-vertical-relative:page;z-index:251680768;mso-width-relative:page;mso-height-relative:page;" coordorigin="4551,52615" coordsize="8546,1398"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kOgU6b0AAADb&#10;AAAADwAAAGRycy9kb3ducmV2LnhtbEWPQWsCMRSE74X+h/AK3mqywmpdjR7EYvFUrdDrc/PcXXfz&#10;siSp2n9vCkKPw8x8w8yXN9uJC/nQONaQDRUI4tKZhisNh6/31zcQISIb7ByThl8KsFw8P82xMO7K&#10;O7rsYyUShEOBGuoY+0LKUNZkMQxdT5y8k/MWY5K+ksbjNcFtJ0dKjaXFhtNCjT2tairb/Y/V0B4m&#10;n41abc7f23ac+3V2nOT+qPXgJVMzEJFu8T/8aH8YDdMc/r6kHyAX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Q6BTpvQAA&#10;ANsAAAAPAAAAAAAAAAEAIAAAACIAAABkcnMvZG93bnJldi54bWxQSwECFAAUAAAACACHTuJAMy8F&#10;njsAAAA5AAAAEAAAAAAAAAABACAAAAAMAQAAZHJzL3NoYXBleG1sLnhtbFBLBQYAAAAABgAGAFsB&#10;AAC2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6ZPOqLsAAADb&#10;AAAADwAAAGRycy9kb3ducmV2LnhtbEWPS4sCMRCE74L/IbSwN030MI6jUVhB2aPr89pM2plhJ50h&#10;ia9/vxEW9lhU1VfUYvW0rbiTD41jDeORAkFcOtNwpeF42AxzECEiG2wdk4YXBVgt+70FFsY9+Jvu&#10;+1iJBOFQoIY6xq6QMpQ1WQwj1xEn7+q8xZikr6Tx+Ehw28qJUpm02HBaqLGjdU3lz/5mNWS7z7Ur&#10;D/n27C+N2rnb5pVPT1p/DMZqDiLSM/6H/9pfRsMsg/eX9APk8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6ZPOqL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pPr>
                          <w:jc w:val="center"/>
                        </w:pPr>
                      </w:p>
                    </w:txbxContent>
                  </v:textbox>
                </v:rect>
                <w10:anchorlock/>
              </v:group>
            </w:pict>
          </mc:Fallback>
        </mc:AlternateContent>
      </w:r>
      <w:r>
        <w:rPr>
          <w:rFonts w:hint="eastAsia" w:ascii="仿宋_GB2312" w:eastAsia="仿宋_GB2312" w:hAnsiTheme="majorEastAsia"/>
          <w:color w:val="000000"/>
          <w:kern w:val="0"/>
          <w:sz w:val="32"/>
          <w:szCs w:val="32"/>
        </w:rPr>
        <w:t>待费反映单位按规定开支的各类公务接待（含外宾接待）支出。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（十三）其</w:t>
      </w:r>
      <w:r>
        <w:rPr>
          <w:rFonts w:hint="eastAsia" w:ascii="仿宋_GB2312" w:eastAsia="仿宋_GB2312" w:hAnsiTheme="majorEastAsia"/>
          <w:b/>
          <w:bCs/>
          <w:color w:val="000000"/>
          <w:kern w:val="0"/>
          <w:sz w:val="32"/>
          <w:szCs w:val="32"/>
        </w:rPr>
        <mc:AlternateContent>
          <mc:Choice Requires="wpg">
            <w:drawing>
              <wp:anchor distT="0" distB="0" distL="114300" distR="114300" simplePos="0" relativeHeight="251681792" behindDoc="0" locked="1" layoutInCell="1" allowOverlap="1">
                <wp:simplePos x="0" y="0"/>
                <wp:positionH relativeFrom="column">
                  <wp:posOffset>-1029335</wp:posOffset>
                </wp:positionH>
                <wp:positionV relativeFrom="page">
                  <wp:posOffset>503555</wp:posOffset>
                </wp:positionV>
                <wp:extent cx="3363595" cy="558165"/>
                <wp:effectExtent l="2540" t="0" r="5715" b="13335"/>
                <wp:wrapNone/>
                <wp:docPr id="97" name="组合 97"/>
                <wp:cNvGraphicFramePr/>
                <a:graphic xmlns:a="http://schemas.openxmlformats.org/drawingml/2006/main">
                  <a:graphicData uri="http://schemas.microsoft.com/office/word/2010/wordprocessingGroup">
                    <wpg:wgp>
                      <wpg:cNvGrpSpPr/>
                      <wpg:grpSpPr>
                        <a:xfrm>
                          <a:off x="0" y="0"/>
                          <a:ext cx="3363595" cy="558165"/>
                          <a:chOff x="4551" y="52615"/>
                          <a:chExt cx="8546" cy="1398"/>
                        </a:xfrm>
                      </wpg:grpSpPr>
                      <wps:wsp>
                        <wps:cNvPr id="98"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99"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1.05pt;margin-top:39.65pt;height:43.95pt;width:264.85pt;mso-position-vertical-relative:page;z-index:251681792;mso-width-relative:page;mso-height-relative:page;" coordorigin="4551,52615" coordsize="8546,1398"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fum7d7oAAADb&#10;AAAADwAAAGRycy9kb3ducmV2LnhtbEVPyW7CMBC9I/UfrKnUG9hBYmmK4YBART2VReI6xEMSEo8j&#10;22x/Xx8qcXx6+2zxsK24kQ+1Yw3ZQIEgLpypudRw2K/7UxAhIhtsHZOGJwVYzN96M8yNu/OWbrtY&#10;ihTCIUcNVYxdLmUoKrIYBq4jTtzZeYsxQV9K4/Gewm0rh0qNpcWaU0OFHS0rKprd1WpoDpPfWi2/&#10;L8efZjzyq+w0GfmT1h/vmfoCEekRX+J/98Zo+Exj05f0A+T8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6bt3ugAAANsA&#10;AAAPAAAAAAAAAAEAIAAAACIAAABkcnMvZG93bnJldi54bWxQSwECFAAUAAAACACHTuJAMy8FnjsA&#10;AAA5AAAAEAAAAAAAAAABACAAAAAJAQAAZHJzL3NoYXBleG1sLnhtbFBLBQYAAAAABgAGAFsBAACz&#10;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mAxa2rsAAADb&#10;AAAADwAAAGRycy9kb3ducmV2LnhtbEWPS4sCMRCE78L+h9AL3jRxDzozGoUVXDz63L02k3Zm2Eln&#10;SOLr3xtB8FhU1VfUbHGzrbiQD41jDaOhAkFcOtNwpeGwXw0yECEiG2wdk4Y7BVjMP3ozLIy78pYu&#10;u1iJBOFQoIY6xq6QMpQ1WQxD1xEn7+S8xZikr6TxeE1w28ovpcbSYsNpocaOljWV/7uz1TDefC9d&#10;uc9+fv1fozbuvLpnk6PW/c+RmoKIdIvv8Ku9NhryHJ5f0g+Q8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Axa2r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pPr>
                          <w:jc w:val="center"/>
                        </w:pPr>
                      </w:p>
                    </w:txbxContent>
                  </v:textbox>
                </v:rect>
                <w10:anchorlock/>
              </v:group>
            </w:pict>
          </mc:Fallback>
        </mc:AlternateContent>
      </w:r>
      <w:r>
        <w:rPr>
          <w:rFonts w:hint="eastAsia" w:ascii="仿宋_GB2312" w:eastAsia="仿宋_GB2312" w:hAnsiTheme="majorEastAsia"/>
          <w:b/>
          <w:bCs/>
          <w:color w:val="000000"/>
          <w:kern w:val="0"/>
          <w:sz w:val="32"/>
          <w:szCs w:val="32"/>
        </w:rPr>
        <w:t>他交通费用：</w:t>
      </w:r>
      <w:r>
        <w:rPr>
          <w:rFonts w:hint="eastAsia" w:ascii="仿宋_GB2312" w:eastAsia="仿宋_GB2312" w:hAnsiTheme="majorEastAsia"/>
          <w:color w:val="000000"/>
          <w:kern w:val="0"/>
          <w:sz w:val="32"/>
          <w:szCs w:val="32"/>
        </w:rPr>
        <w:t>填列单位除公务用车运行维护费以外的其他交通费用。如公务交通补贴、租车费用、出租车费用、飞机、船舶等的燃料费、维修费、保险费等。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（十四）公务用车购置：</w:t>
      </w:r>
      <w:r>
        <w:rPr>
          <w:rFonts w:hint="eastAsia" w:ascii="仿宋_GB2312" w:eastAsia="仿宋_GB2312" w:hAnsiTheme="majorEastAsia"/>
          <w:color w:val="000000"/>
          <w:kern w:val="0"/>
          <w:sz w:val="32"/>
          <w:szCs w:val="32"/>
        </w:rPr>
        <w:t>填列单位公务用车购置支出（含车辆购置税、牌照费）。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（十五）其他交通工具购置：</w:t>
      </w:r>
      <w:r>
        <w:rPr>
          <w:rFonts w:hint="eastAsia" w:ascii="仿宋_GB2312" w:eastAsia="仿宋_GB2312" w:hAnsiTheme="majorEastAsia"/>
          <w:color w:val="000000"/>
          <w:kern w:val="0"/>
          <w:sz w:val="32"/>
          <w:szCs w:val="32"/>
        </w:rPr>
        <w:t>填列单位除公务用车外的其他各类交通工具（如船舶、飞机）购置支出（含车辆购置税、牌照费）。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（十六）机关运行经费：</w:t>
      </w:r>
      <w:r>
        <w:rPr>
          <w:rFonts w:hint="eastAsia" w:ascii="仿宋_GB2312" w:eastAsia="仿宋_GB2312" w:hAnsiTheme="major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560" w:lineRule="exact"/>
        <w:ind w:firstLine="643" w:firstLineChars="200"/>
        <w:rPr>
          <w:rFonts w:ascii="仿宋_GB2312" w:eastAsia="仿宋_GB2312" w:cs="ArialUnicodeMS" w:hAnsiTheme="minorHAnsi"/>
          <w:kern w:val="0"/>
          <w:sz w:val="32"/>
          <w:szCs w:val="32"/>
        </w:rPr>
        <w:sectPr>
          <w:pgSz w:w="11906" w:h="16838"/>
          <w:pgMar w:top="2098" w:right="1474" w:bottom="1985" w:left="1588" w:header="851" w:footer="992" w:gutter="0"/>
          <w:cols w:space="425" w:num="1"/>
          <w:docGrid w:type="lines" w:linePitch="312" w:charSpace="0"/>
        </w:sectPr>
      </w:pPr>
      <w:r>
        <w:rPr>
          <w:rFonts w:hint="eastAsia" w:ascii="仿宋_GB2312" w:eastAsia="仿宋_GB2312" w:hAnsiTheme="majorEastAsia"/>
          <w:b/>
          <w:bCs/>
          <w:color w:val="000000"/>
          <w:kern w:val="0"/>
          <w:sz w:val="32"/>
          <w:szCs w:val="32"/>
        </w:rPr>
        <w:t>（十七）经费形式:</w:t>
      </w:r>
      <w:r>
        <w:rPr>
          <w:rFonts w:hint="eastAsia" w:ascii="仿宋_GB2312" w:eastAsia="仿宋_GB2312" w:hAnsiTheme="majorEastAsia"/>
          <w:color w:val="000000"/>
          <w:kern w:val="0"/>
          <w:sz w:val="32"/>
          <w:szCs w:val="32"/>
        </w:rPr>
        <w:t>按照经费来源，</w:t>
      </w:r>
      <w:r>
        <w:rPr>
          <w:rFonts w:hint="eastAsia" w:ascii="仿宋_GB2312" w:eastAsia="仿宋_GB2312" w:cs="ArialUnicodeMS" w:hAnsiTheme="minorHAnsi"/>
          <w:kern w:val="0"/>
          <w:sz w:val="32"/>
          <w:szCs w:val="32"/>
        </w:rPr>
        <w:t>可分为财政拨款、财政性资金基本保证、财政性资金定额或定项补助、财政性资金零补助四类。</w:t>
      </w:r>
    </w:p>
    <w:p>
      <w:pPr>
        <w:widowControl/>
        <w:spacing w:after="0" w:line="560" w:lineRule="exact"/>
        <w:ind w:firstLine="640" w:firstLineChars="200"/>
        <w:rPr>
          <w:rFonts w:ascii="仿宋_GB2312" w:eastAsia="仿宋_GB2312" w:cs="ArialUnicodeMS" w:hAnsiTheme="minorHAnsi"/>
          <w:kern w:val="0"/>
          <w:sz w:val="32"/>
          <w:szCs w:val="32"/>
        </w:rPr>
      </w:pPr>
      <w:r>
        <w:rPr>
          <w:rFonts w:ascii="仿宋_GB2312" w:eastAsia="仿宋_GB2312" w:cs="ArialUnicodeMS" w:hAnsiTheme="minorHAnsi"/>
          <w:kern w:val="0"/>
          <w:sz w:val="32"/>
          <w:szCs w:val="32"/>
        </w:rPr>
        <w:drawing>
          <wp:anchor distT="0" distB="0" distL="114300" distR="114300" simplePos="0" relativeHeight="251669504" behindDoc="1" locked="0" layoutInCell="1" allowOverlap="1">
            <wp:simplePos x="0" y="0"/>
            <wp:positionH relativeFrom="column">
              <wp:posOffset>-990600</wp:posOffset>
            </wp:positionH>
            <wp:positionV relativeFrom="paragraph">
              <wp:posOffset>-1355090</wp:posOffset>
            </wp:positionV>
            <wp:extent cx="7590155" cy="10735945"/>
            <wp:effectExtent l="0" t="0" r="10795" b="8255"/>
            <wp:wrapNone/>
            <wp:docPr id="101"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3"/>
                    <pic:cNvPicPr>
                      <a:picLocks noChangeAspect="1"/>
                    </pic:cNvPicPr>
                  </pic:nvPicPr>
                  <pic:blipFill>
                    <a:blip r:embed="rId13"/>
                    <a:stretch>
                      <a:fillRect/>
                    </a:stretch>
                  </pic:blipFill>
                  <pic:spPr>
                    <a:xfrm>
                      <a:off x="0" y="0"/>
                      <a:ext cx="7590155" cy="10735945"/>
                    </a:xfrm>
                    <a:prstGeom prst="rect">
                      <a:avLst/>
                    </a:prstGeom>
                  </pic:spPr>
                </pic:pic>
              </a:graphicData>
            </a:graphic>
          </wp:anchor>
        </w:drawing>
      </w:r>
    </w:p>
    <w:sectPr>
      <w:pgSz w:w="11906" w:h="16838"/>
      <w:pgMar w:top="2098" w:right="1474" w:bottom="1985" w:left="1588"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CE285F67-C473-462D-B30A-D4AF3C78D3D8}"/>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Cambria">
    <w:panose1 w:val="02040503050406030204"/>
    <w:charset w:val="00"/>
    <w:family w:val="roman"/>
    <w:pitch w:val="default"/>
    <w:sig w:usb0="E00006FF" w:usb1="420024FF" w:usb2="02000000" w:usb3="00000000" w:csb0="2000019F" w:csb1="00000000"/>
    <w:embedRegular r:id="rId2" w:fontKey="{3ABEA7C8-232B-4032-A2B5-65AC6800C1C0}"/>
  </w:font>
  <w:font w:name="楷体">
    <w:panose1 w:val="02010609060101010101"/>
    <w:charset w:val="86"/>
    <w:family w:val="modern"/>
    <w:pitch w:val="default"/>
    <w:sig w:usb0="800002BF" w:usb1="38CF7CFA" w:usb2="00000016" w:usb3="00000000" w:csb0="00040001" w:csb1="00000000"/>
    <w:embedRegular r:id="rId3" w:fontKey="{D82D2E7F-6629-4714-B3CD-B90504C8105A}"/>
  </w:font>
  <w:font w:name="楷体_GB2312">
    <w:panose1 w:val="02010609030101010101"/>
    <w:charset w:val="86"/>
    <w:family w:val="modern"/>
    <w:pitch w:val="default"/>
    <w:sig w:usb0="00000000" w:usb1="00000000" w:usb2="00000000" w:usb3="00000000" w:csb0="00000000" w:csb1="00000000"/>
    <w:embedRegular r:id="rId4" w:fontKey="{776C8BDB-45A1-4E8E-B70A-CECEABC13F76}"/>
  </w:font>
  <w:font w:name="仿宋_GB2312">
    <w:panose1 w:val="02010609030101010101"/>
    <w:charset w:val="86"/>
    <w:family w:val="modern"/>
    <w:pitch w:val="default"/>
    <w:sig w:usb0="00000000" w:usb1="00000000" w:usb2="00000000" w:usb3="00000000" w:csb0="00000000" w:csb1="00000000"/>
    <w:embedRegular r:id="rId5" w:fontKey="{F3C29C70-8355-4E50-84B9-F848D46E861F}"/>
  </w:font>
  <w:font w:name="ArialUnicodeMS">
    <w:altName w:val="Malgun Gothic"/>
    <w:panose1 w:val="00000000000000000000"/>
    <w:charset w:val="81"/>
    <w:family w:val="auto"/>
    <w:pitch w:val="default"/>
    <w:sig w:usb0="00000000" w:usb1="00000000" w:usb2="00000010" w:usb3="00000000" w:csb0="00080001" w:csb1="00000000"/>
    <w:embedRegular r:id="rId6" w:fontKey="{FB0A0E3E-DF5F-4C81-8D29-B757A22DE8D8}"/>
  </w:font>
  <w:font w:name="Malgun Gothic">
    <w:panose1 w:val="020B0503020000020004"/>
    <w:charset w:val="81"/>
    <w:family w:val="auto"/>
    <w:pitch w:val="default"/>
    <w:sig w:usb0="9000002F" w:usb1="29D77CFB" w:usb2="00000012" w:usb3="00000000" w:csb0="00080001" w:csb1="00000000"/>
  </w:font>
  <w:font w:name="MS-UIGothic,Bold">
    <w:altName w:val="Malgun Gothic"/>
    <w:panose1 w:val="00000000000000000000"/>
    <w:charset w:val="81"/>
    <w:family w:val="auto"/>
    <w:pitch w:val="default"/>
    <w:sig w:usb0="00000000" w:usb1="00000000" w:usb2="00000010" w:usb3="00000000" w:csb0="00080000" w:csb1="00000000"/>
    <w:embedRegular r:id="rId7" w:fontKey="{E0DE0BBC-1225-4B46-B511-D1F14BF5EF87}"/>
  </w:font>
  <w:font w:name="DengXian-Regular">
    <w:altName w:val="宋体"/>
    <w:panose1 w:val="00000000000000000000"/>
    <w:charset w:val="86"/>
    <w:family w:val="auto"/>
    <w:pitch w:val="default"/>
    <w:sig w:usb0="00000000" w:usb1="00000000" w:usb2="00000010" w:usb3="00000000" w:csb0="00040001" w:csb1="00000000"/>
    <w:embedRegular r:id="rId8" w:fontKey="{37EA2737-039F-4BA2-9BD9-FBD48EDEE2A8}"/>
  </w:font>
  <w:font w:name="DengXian-Bold">
    <w:altName w:val="宋体"/>
    <w:panose1 w:val="00000000000000000000"/>
    <w:charset w:val="86"/>
    <w:family w:val="auto"/>
    <w:pitch w:val="default"/>
    <w:sig w:usb0="00000000" w:usb1="00000000" w:usb2="00000010" w:usb3="00000000" w:csb0="00040001" w:csb1="00000000"/>
    <w:embedRegular r:id="rId9" w:fontKey="{4612B433-B16F-4F38-B187-FE5659C9DFD8}"/>
  </w:font>
  <w:font w:name="TimesNewRomanPSMT">
    <w:altName w:val="Arial"/>
    <w:panose1 w:val="00000000000000000000"/>
    <w:charset w:val="00"/>
    <w:family w:val="swiss"/>
    <w:pitch w:val="default"/>
    <w:sig w:usb0="00000000"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2292FA7"/>
    <w:multiLevelType w:val="singleLevel"/>
    <w:tmpl w:val="32292FA7"/>
    <w:lvl w:ilvl="0" w:tentative="0">
      <w:start w:val="1"/>
      <w:numFmt w:val="chineseCounting"/>
      <w:suff w:val="nothing"/>
      <w:lvlText w:val="%1、"/>
      <w:lvlJc w:val="left"/>
      <w:rPr>
        <w:rFonts w:hint="eastAsia"/>
      </w:rPr>
    </w:lvl>
  </w:abstractNum>
  <w:abstractNum w:abstractNumId="1">
    <w:nsid w:val="45DB9A87"/>
    <w:multiLevelType w:val="singleLevel"/>
    <w:tmpl w:val="45DB9A87"/>
    <w:lvl w:ilvl="0" w:tentative="0">
      <w:start w:val="3"/>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1"/>
  <w:bordersDoNotSurroundFooter w:val="1"/>
  <w:documentProtection w:enforcement="0"/>
  <w:defaultTabStop w:val="420"/>
  <w:drawingGridHorizontalSpacing w:val="105"/>
  <w:drawingGridVerticalSpacing w:val="156"/>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1413"/>
    <w:rsid w:val="00024E7F"/>
    <w:rsid w:val="000475A0"/>
    <w:rsid w:val="000838C3"/>
    <w:rsid w:val="00090521"/>
    <w:rsid w:val="000B2446"/>
    <w:rsid w:val="000B74C9"/>
    <w:rsid w:val="000C5558"/>
    <w:rsid w:val="000D7C65"/>
    <w:rsid w:val="000E2F81"/>
    <w:rsid w:val="000F6912"/>
    <w:rsid w:val="00117946"/>
    <w:rsid w:val="00117E2C"/>
    <w:rsid w:val="00127B78"/>
    <w:rsid w:val="00131669"/>
    <w:rsid w:val="00146C47"/>
    <w:rsid w:val="00152FB8"/>
    <w:rsid w:val="00176658"/>
    <w:rsid w:val="0018239E"/>
    <w:rsid w:val="001B3410"/>
    <w:rsid w:val="001C030D"/>
    <w:rsid w:val="001C4A84"/>
    <w:rsid w:val="001E5902"/>
    <w:rsid w:val="00233705"/>
    <w:rsid w:val="00275CA2"/>
    <w:rsid w:val="002A65A5"/>
    <w:rsid w:val="002C04C4"/>
    <w:rsid w:val="002D08B0"/>
    <w:rsid w:val="002D1AE3"/>
    <w:rsid w:val="002F2ECE"/>
    <w:rsid w:val="0033423A"/>
    <w:rsid w:val="00341C8F"/>
    <w:rsid w:val="0035463A"/>
    <w:rsid w:val="00391D9D"/>
    <w:rsid w:val="00391E1D"/>
    <w:rsid w:val="003B6C51"/>
    <w:rsid w:val="003C1413"/>
    <w:rsid w:val="003C549F"/>
    <w:rsid w:val="003D5A16"/>
    <w:rsid w:val="003E7DB3"/>
    <w:rsid w:val="003F7EC9"/>
    <w:rsid w:val="00427F14"/>
    <w:rsid w:val="00431175"/>
    <w:rsid w:val="0044727B"/>
    <w:rsid w:val="004B6E37"/>
    <w:rsid w:val="004C32BA"/>
    <w:rsid w:val="00575922"/>
    <w:rsid w:val="005A6C90"/>
    <w:rsid w:val="005E3FB0"/>
    <w:rsid w:val="005F4B66"/>
    <w:rsid w:val="005F5208"/>
    <w:rsid w:val="00641318"/>
    <w:rsid w:val="0064405D"/>
    <w:rsid w:val="00685302"/>
    <w:rsid w:val="00695557"/>
    <w:rsid w:val="006D4EA7"/>
    <w:rsid w:val="0070012A"/>
    <w:rsid w:val="0070664B"/>
    <w:rsid w:val="007071B8"/>
    <w:rsid w:val="007414DE"/>
    <w:rsid w:val="007905A9"/>
    <w:rsid w:val="007A7713"/>
    <w:rsid w:val="007E5500"/>
    <w:rsid w:val="007F055B"/>
    <w:rsid w:val="0080644C"/>
    <w:rsid w:val="00811C2F"/>
    <w:rsid w:val="00833D46"/>
    <w:rsid w:val="00837E6D"/>
    <w:rsid w:val="00840A97"/>
    <w:rsid w:val="008C0149"/>
    <w:rsid w:val="008D5DED"/>
    <w:rsid w:val="008E25CA"/>
    <w:rsid w:val="008E4174"/>
    <w:rsid w:val="008F34FC"/>
    <w:rsid w:val="00944CD7"/>
    <w:rsid w:val="009831B2"/>
    <w:rsid w:val="009A1ABE"/>
    <w:rsid w:val="009B1B7F"/>
    <w:rsid w:val="009E1243"/>
    <w:rsid w:val="009E21A4"/>
    <w:rsid w:val="009F22C6"/>
    <w:rsid w:val="00A07E50"/>
    <w:rsid w:val="00A15397"/>
    <w:rsid w:val="00A35CE0"/>
    <w:rsid w:val="00A4462E"/>
    <w:rsid w:val="00A44AA4"/>
    <w:rsid w:val="00A61623"/>
    <w:rsid w:val="00A84687"/>
    <w:rsid w:val="00AB0A0E"/>
    <w:rsid w:val="00AD3B6E"/>
    <w:rsid w:val="00B1751F"/>
    <w:rsid w:val="00B511EE"/>
    <w:rsid w:val="00B56722"/>
    <w:rsid w:val="00B74D39"/>
    <w:rsid w:val="00B91DA4"/>
    <w:rsid w:val="00BA3EC7"/>
    <w:rsid w:val="00C12630"/>
    <w:rsid w:val="00C34562"/>
    <w:rsid w:val="00C3774E"/>
    <w:rsid w:val="00C57456"/>
    <w:rsid w:val="00C65387"/>
    <w:rsid w:val="00C74D1F"/>
    <w:rsid w:val="00C87FAB"/>
    <w:rsid w:val="00C91FF7"/>
    <w:rsid w:val="00C94E53"/>
    <w:rsid w:val="00D0048E"/>
    <w:rsid w:val="00D23E7A"/>
    <w:rsid w:val="00D61063"/>
    <w:rsid w:val="00DB35AF"/>
    <w:rsid w:val="00DD72D7"/>
    <w:rsid w:val="00DF5B88"/>
    <w:rsid w:val="00E0589E"/>
    <w:rsid w:val="00E241FA"/>
    <w:rsid w:val="00E2595E"/>
    <w:rsid w:val="00E35374"/>
    <w:rsid w:val="00E50C19"/>
    <w:rsid w:val="00E64655"/>
    <w:rsid w:val="00E73081"/>
    <w:rsid w:val="00E856C9"/>
    <w:rsid w:val="00EA3B22"/>
    <w:rsid w:val="00EB6A8B"/>
    <w:rsid w:val="00EF38C6"/>
    <w:rsid w:val="00F27E7E"/>
    <w:rsid w:val="00F679C7"/>
    <w:rsid w:val="00F7711A"/>
    <w:rsid w:val="00FA0D58"/>
    <w:rsid w:val="00FA56F4"/>
    <w:rsid w:val="00FB4EDA"/>
    <w:rsid w:val="00FD3BD5"/>
    <w:rsid w:val="00FE3DC8"/>
    <w:rsid w:val="04073F84"/>
    <w:rsid w:val="05FE099C"/>
    <w:rsid w:val="0B60750A"/>
    <w:rsid w:val="10686488"/>
    <w:rsid w:val="10DF728A"/>
    <w:rsid w:val="1264200E"/>
    <w:rsid w:val="141C5B77"/>
    <w:rsid w:val="18D8339D"/>
    <w:rsid w:val="1A21388F"/>
    <w:rsid w:val="1A570D2F"/>
    <w:rsid w:val="2495799B"/>
    <w:rsid w:val="28FB0B8D"/>
    <w:rsid w:val="2A9870FC"/>
    <w:rsid w:val="2D2B7942"/>
    <w:rsid w:val="2D46481D"/>
    <w:rsid w:val="2E733B28"/>
    <w:rsid w:val="31852B5A"/>
    <w:rsid w:val="32D01238"/>
    <w:rsid w:val="3DFC59A8"/>
    <w:rsid w:val="3ECF245E"/>
    <w:rsid w:val="3FB96314"/>
    <w:rsid w:val="53A44FAF"/>
    <w:rsid w:val="594329EC"/>
    <w:rsid w:val="5BEE1540"/>
    <w:rsid w:val="5DDE1CA2"/>
    <w:rsid w:val="5DE61A5D"/>
    <w:rsid w:val="63C04243"/>
    <w:rsid w:val="649C01C7"/>
    <w:rsid w:val="699A3F60"/>
    <w:rsid w:val="72902E62"/>
    <w:rsid w:val="73C61104"/>
    <w:rsid w:val="74F265BC"/>
    <w:rsid w:val="76145C86"/>
    <w:rsid w:val="776452EA"/>
    <w:rsid w:val="7DC663B9"/>
    <w:rsid w:val="7FD210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7"/>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8"/>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9"/>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30"/>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6">
    <w:name w:val="Date"/>
    <w:basedOn w:val="1"/>
    <w:next w:val="1"/>
    <w:link w:val="31"/>
    <w:semiHidden/>
    <w:unhideWhenUsed/>
    <w:qFormat/>
    <w:uiPriority w:val="99"/>
    <w:pPr>
      <w:ind w:left="100" w:leftChars="2500"/>
    </w:pPr>
  </w:style>
  <w:style w:type="paragraph" w:styleId="7">
    <w:name w:val="Balloon Text"/>
    <w:basedOn w:val="1"/>
    <w:link w:val="19"/>
    <w:semiHidden/>
    <w:unhideWhenUsed/>
    <w:qFormat/>
    <w:uiPriority w:val="99"/>
    <w:rPr>
      <w:sz w:val="18"/>
      <w:szCs w:val="18"/>
    </w:rPr>
  </w:style>
  <w:style w:type="paragraph" w:styleId="8">
    <w:name w:val="footer"/>
    <w:basedOn w:val="1"/>
    <w:link w:val="16"/>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9">
    <w:name w:val="header"/>
    <w:basedOn w:val="1"/>
    <w:link w:val="15"/>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0">
    <w:name w:val="Subtitle"/>
    <w:basedOn w:val="1"/>
    <w:next w:val="1"/>
    <w:link w:val="21"/>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14:textFill>
        <w14:solidFill>
          <w14:schemeClr w14:val="accent1"/>
        </w14:solidFill>
      </w14:textFill>
    </w:rPr>
  </w:style>
  <w:style w:type="paragraph" w:styleId="11">
    <w:name w:val="Title"/>
    <w:basedOn w:val="1"/>
    <w:next w:val="1"/>
    <w:link w:val="20"/>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B2C24" w:themeColor="text2" w:themeShade="BF"/>
      <w:spacing w:val="5"/>
      <w:kern w:val="28"/>
      <w:sz w:val="52"/>
      <w:szCs w:val="52"/>
    </w:rPr>
  </w:style>
  <w:style w:type="table" w:styleId="13">
    <w:name w:val="Table Grid"/>
    <w:basedOn w:val="12"/>
    <w:qFormat/>
    <w:uiPriority w:val="1"/>
    <w:rPr>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customStyle="1" w:styleId="15">
    <w:name w:val="页眉 Char"/>
    <w:basedOn w:val="14"/>
    <w:link w:val="9"/>
    <w:qFormat/>
    <w:uiPriority w:val="99"/>
    <w:rPr>
      <w:sz w:val="18"/>
      <w:szCs w:val="18"/>
    </w:rPr>
  </w:style>
  <w:style w:type="character" w:customStyle="1" w:styleId="16">
    <w:name w:val="页脚 Char"/>
    <w:basedOn w:val="14"/>
    <w:link w:val="8"/>
    <w:qFormat/>
    <w:uiPriority w:val="99"/>
    <w:rPr>
      <w:sz w:val="18"/>
      <w:szCs w:val="18"/>
    </w:rPr>
  </w:style>
  <w:style w:type="paragraph" w:styleId="17">
    <w:name w:val="No Spacing"/>
    <w:link w:val="18"/>
    <w:qFormat/>
    <w:uiPriority w:val="1"/>
    <w:pPr>
      <w:spacing w:after="160" w:line="480" w:lineRule="auto"/>
    </w:pPr>
    <w:rPr>
      <w:rFonts w:asciiTheme="minorHAnsi" w:hAnsiTheme="minorHAnsi" w:eastAsiaTheme="minorEastAsia" w:cstheme="minorBidi"/>
      <w:sz w:val="22"/>
      <w:szCs w:val="22"/>
      <w:lang w:val="en-US" w:eastAsia="zh-CN" w:bidi="ar-SA"/>
    </w:rPr>
  </w:style>
  <w:style w:type="character" w:customStyle="1" w:styleId="18">
    <w:name w:val="无间隔 Char"/>
    <w:basedOn w:val="14"/>
    <w:link w:val="17"/>
    <w:qFormat/>
    <w:uiPriority w:val="1"/>
    <w:rPr>
      <w:kern w:val="0"/>
      <w:sz w:val="22"/>
    </w:rPr>
  </w:style>
  <w:style w:type="character" w:customStyle="1" w:styleId="19">
    <w:name w:val="批注框文本 Char"/>
    <w:basedOn w:val="14"/>
    <w:link w:val="7"/>
    <w:semiHidden/>
    <w:qFormat/>
    <w:uiPriority w:val="99"/>
    <w:rPr>
      <w:rFonts w:ascii="Times New Roman" w:hAnsi="Times New Roman" w:eastAsia="宋体" w:cs="Times New Roman"/>
      <w:sz w:val="18"/>
      <w:szCs w:val="18"/>
    </w:rPr>
  </w:style>
  <w:style w:type="character" w:customStyle="1" w:styleId="20">
    <w:name w:val="标题 Char"/>
    <w:basedOn w:val="14"/>
    <w:link w:val="11"/>
    <w:qFormat/>
    <w:uiPriority w:val="10"/>
    <w:rPr>
      <w:rFonts w:asciiTheme="majorHAnsi" w:hAnsiTheme="majorHAnsi" w:eastAsiaTheme="majorEastAsia" w:cstheme="majorBidi"/>
      <w:color w:val="3B2C24" w:themeColor="text2" w:themeShade="BF"/>
      <w:spacing w:val="5"/>
      <w:kern w:val="28"/>
      <w:sz w:val="52"/>
      <w:szCs w:val="52"/>
    </w:rPr>
  </w:style>
  <w:style w:type="character" w:customStyle="1" w:styleId="21">
    <w:name w:val="副标题 Char"/>
    <w:basedOn w:val="14"/>
    <w:link w:val="10"/>
    <w:qFormat/>
    <w:uiPriority w:val="11"/>
    <w:rPr>
      <w:rFonts w:asciiTheme="majorHAnsi" w:hAnsiTheme="majorHAnsi" w:eastAsiaTheme="majorEastAsia" w:cstheme="majorBidi"/>
      <w:i/>
      <w:iCs/>
      <w:color w:val="F0A22E" w:themeColor="accent1"/>
      <w:spacing w:val="15"/>
      <w:kern w:val="0"/>
      <w:sz w:val="24"/>
      <w:szCs w:val="24"/>
      <w14:textFill>
        <w14:solidFill>
          <w14:schemeClr w14:val="accent1"/>
        </w14:solidFill>
      </w14:textFill>
    </w:rPr>
  </w:style>
  <w:style w:type="character" w:customStyle="1" w:styleId="22">
    <w:name w:val="Style1"/>
    <w:basedOn w:val="14"/>
    <w:qFormat/>
    <w:uiPriority w:val="1"/>
    <w:rPr>
      <w:rFonts w:asciiTheme="minorHAnsi" w:hAnsiTheme="minorEastAsia" w:eastAsiaTheme="minorEastAsia" w:cstheme="minorBidi"/>
      <w:sz w:val="22"/>
      <w:szCs w:val="22"/>
      <w:lang w:eastAsia="zh-CN"/>
    </w:rPr>
  </w:style>
  <w:style w:type="character" w:customStyle="1" w:styleId="23">
    <w:name w:val="Style2"/>
    <w:basedOn w:val="14"/>
    <w:qFormat/>
    <w:uiPriority w:val="1"/>
    <w:rPr>
      <w:rFonts w:asciiTheme="minorHAnsi" w:hAnsiTheme="minorEastAsia" w:eastAsiaTheme="minorEastAsia" w:cstheme="minorBidi"/>
      <w:sz w:val="22"/>
      <w:szCs w:val="22"/>
      <w:lang w:eastAsia="zh-CN"/>
    </w:rPr>
  </w:style>
  <w:style w:type="character" w:customStyle="1" w:styleId="24">
    <w:name w:val="Style3"/>
    <w:basedOn w:val="14"/>
    <w:qFormat/>
    <w:uiPriority w:val="1"/>
    <w:rPr>
      <w:rFonts w:asciiTheme="minorHAnsi" w:hAnsiTheme="minorEastAsia" w:eastAsiaTheme="minorEastAsia" w:cstheme="minorBidi"/>
      <w:szCs w:val="22"/>
      <w:lang w:eastAsia="zh-CN"/>
    </w:rPr>
  </w:style>
  <w:style w:type="character" w:customStyle="1" w:styleId="25">
    <w:name w:val="Style4"/>
    <w:basedOn w:val="14"/>
    <w:qFormat/>
    <w:uiPriority w:val="1"/>
    <w:rPr>
      <w:rFonts w:asciiTheme="minorHAnsi" w:hAnsiTheme="minorEastAsia" w:eastAsiaTheme="minorEastAsia" w:cstheme="minorBidi"/>
      <w:szCs w:val="22"/>
      <w:lang w:eastAsia="zh-CN"/>
    </w:rPr>
  </w:style>
  <w:style w:type="character" w:customStyle="1" w:styleId="26">
    <w:name w:val="Style5"/>
    <w:basedOn w:val="14"/>
    <w:qFormat/>
    <w:uiPriority w:val="1"/>
    <w:rPr>
      <w:rFonts w:asciiTheme="minorHAnsi" w:hAnsiTheme="minorEastAsia" w:eastAsiaTheme="minorEastAsia" w:cstheme="minorBidi"/>
      <w:sz w:val="22"/>
      <w:szCs w:val="22"/>
      <w:lang w:eastAsia="zh-CN"/>
    </w:rPr>
  </w:style>
  <w:style w:type="character" w:customStyle="1" w:styleId="27">
    <w:name w:val="标题 1 Char"/>
    <w:basedOn w:val="14"/>
    <w:link w:val="2"/>
    <w:qFormat/>
    <w:uiPriority w:val="9"/>
    <w:rPr>
      <w:rFonts w:ascii="Times New Roman" w:hAnsi="Times New Roman" w:eastAsia="宋体" w:cs="Times New Roman"/>
      <w:b/>
      <w:bCs/>
      <w:kern w:val="44"/>
      <w:sz w:val="44"/>
      <w:szCs w:val="44"/>
    </w:rPr>
  </w:style>
  <w:style w:type="character" w:customStyle="1" w:styleId="28">
    <w:name w:val="标题 2 Char"/>
    <w:basedOn w:val="14"/>
    <w:link w:val="3"/>
    <w:qFormat/>
    <w:uiPriority w:val="9"/>
    <w:rPr>
      <w:rFonts w:asciiTheme="majorHAnsi" w:hAnsiTheme="majorHAnsi" w:eastAsiaTheme="majorEastAsia" w:cstheme="majorBidi"/>
      <w:b/>
      <w:bCs/>
      <w:sz w:val="32"/>
      <w:szCs w:val="32"/>
    </w:rPr>
  </w:style>
  <w:style w:type="character" w:customStyle="1" w:styleId="29">
    <w:name w:val="标题 3 Char"/>
    <w:basedOn w:val="14"/>
    <w:link w:val="4"/>
    <w:qFormat/>
    <w:uiPriority w:val="9"/>
    <w:rPr>
      <w:rFonts w:ascii="Times New Roman" w:hAnsi="Times New Roman" w:eastAsia="宋体" w:cs="Times New Roman"/>
      <w:b/>
      <w:bCs/>
      <w:sz w:val="32"/>
      <w:szCs w:val="32"/>
    </w:rPr>
  </w:style>
  <w:style w:type="character" w:customStyle="1" w:styleId="30">
    <w:name w:val="标题 4 Char"/>
    <w:basedOn w:val="14"/>
    <w:link w:val="5"/>
    <w:qFormat/>
    <w:uiPriority w:val="9"/>
    <w:rPr>
      <w:rFonts w:asciiTheme="majorHAnsi" w:hAnsiTheme="majorHAnsi" w:eastAsiaTheme="majorEastAsia" w:cstheme="majorBidi"/>
      <w:b/>
      <w:bCs/>
      <w:sz w:val="28"/>
      <w:szCs w:val="28"/>
    </w:rPr>
  </w:style>
  <w:style w:type="character" w:customStyle="1" w:styleId="31">
    <w:name w:val="日期 Char"/>
    <w:basedOn w:val="14"/>
    <w:link w:val="6"/>
    <w:semiHidden/>
    <w:qFormat/>
    <w:uiPriority w:val="99"/>
    <w:rPr>
      <w:rFonts w:ascii="Times New Roman" w:hAnsi="Times New Roman" w:eastAsia="宋体" w:cs="Times New Roman"/>
      <w:szCs w:val="24"/>
    </w:rPr>
  </w:style>
  <w:style w:type="paragraph" w:styleId="32">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chart" Target="charts/chart2.xml"/><Relationship Id="rId8" Type="http://schemas.openxmlformats.org/officeDocument/2006/relationships/chart" Target="charts/chart1.xml"/><Relationship Id="rId7" Type="http://schemas.openxmlformats.org/officeDocument/2006/relationships/image" Target="media/image2.jpeg"/><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8" Type="http://schemas.openxmlformats.org/officeDocument/2006/relationships/fontTable" Target="fontTable.xml"/><Relationship Id="rId17" Type="http://schemas.openxmlformats.org/officeDocument/2006/relationships/customXml" Target="../customXml/item3.xml"/><Relationship Id="rId16" Type="http://schemas.openxmlformats.org/officeDocument/2006/relationships/customXml" Target="../customXml/item2.xml"/><Relationship Id="rId15" Type="http://schemas.openxmlformats.org/officeDocument/2006/relationships/numbering" Target="numbering.xml"/><Relationship Id="rId14" Type="http://schemas.openxmlformats.org/officeDocument/2006/relationships/customXml" Target="../customXml/item1.xml"/><Relationship Id="rId13" Type="http://schemas.openxmlformats.org/officeDocument/2006/relationships/image" Target="media/image3.jpeg"/><Relationship Id="rId12" Type="http://schemas.openxmlformats.org/officeDocument/2006/relationships/chart" Target="charts/chart5.xml"/><Relationship Id="rId11" Type="http://schemas.openxmlformats.org/officeDocument/2006/relationships/chart" Target="charts/chart4.xml"/><Relationship Id="rId10" Type="http://schemas.openxmlformats.org/officeDocument/2006/relationships/chart" Target="charts/chart3.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Workbook5.xlsx"/></Relationships>
</file>

<file path=word/charts/_rels/chart4.xml.rels><?xml version="1.0" encoding="UTF-8" standalone="yes"?>
<Relationships xmlns="http://schemas.openxmlformats.org/package/2006/relationships"><Relationship Id="rId1" Type="http://schemas.openxmlformats.org/officeDocument/2006/relationships/package" Target="../embeddings/Workbook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Workbook4.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txPr>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p>
      </c:txPr>
    </c:title>
    <c:autoTitleDeleted val="0"/>
    <c:plotArea>
      <c:layout/>
      <c:pieChart>
        <c:varyColors val="1"/>
        <c:ser>
          <c:idx val="0"/>
          <c:order val="0"/>
          <c:tx>
            <c:strRef>
              <c:f>Sheet1!$C$6</c:f>
              <c:strCache>
                <c:ptCount val="1"/>
                <c:pt idx="0">
                  <c:v>2018年度本年收入</c:v>
                </c:pt>
              </c:strCache>
            </c:strRef>
          </c:tx>
          <c:explosion val="0"/>
          <c:dPt>
            <c:idx val="0"/>
            <c:bubble3D val="0"/>
          </c:dPt>
          <c:dPt>
            <c:idx val="1"/>
            <c:bubble3D val="0"/>
          </c:dPt>
          <c:dPt>
            <c:idx val="2"/>
            <c:bubble3D val="0"/>
          </c:dPt>
          <c:dPt>
            <c:idx val="3"/>
            <c:bubble3D val="0"/>
          </c:dPt>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ext>
            </c:extLst>
          </c:dLbls>
          <c:cat>
            <c:strRef>
              <c:f>Sheet1!$D$5:$G$5</c:f>
              <c:strCache>
                <c:ptCount val="4"/>
                <c:pt idx="0">
                  <c:v>财政拨款收入</c:v>
                </c:pt>
                <c:pt idx="1">
                  <c:v>事业收入</c:v>
                </c:pt>
                <c:pt idx="2">
                  <c:v>经营收入</c:v>
                </c:pt>
                <c:pt idx="3">
                  <c:v>其他收入</c:v>
                </c:pt>
              </c:strCache>
            </c:strRef>
          </c:cat>
          <c:val>
            <c:numRef>
              <c:f>Sheet1!$D$6:$G$6</c:f>
              <c:numCache>
                <c:formatCode>General</c:formatCode>
                <c:ptCount val="4"/>
                <c:pt idx="0">
                  <c:v>1245.49</c:v>
                </c:pt>
                <c:pt idx="1">
                  <c:v>0</c:v>
                </c:pt>
                <c:pt idx="2">
                  <c:v>0</c:v>
                </c:pt>
                <c:pt idx="3">
                  <c:v>0</c:v>
                </c:pt>
              </c:numCache>
            </c:numRef>
          </c:val>
        </c:ser>
        <c:dLbls>
          <c:showLegendKey val="0"/>
          <c:showVal val="0"/>
          <c:showCatName val="0"/>
          <c:showSerName val="0"/>
          <c:showPercent val="0"/>
          <c:showBubbleSize val="0"/>
          <c:showLeaderLines val="1"/>
        </c:dLbls>
        <c:firstSliceAng val="0"/>
      </c:pieChart>
    </c:plotArea>
    <c:legend>
      <c:legendPos val="r"/>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txPr>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p>
      </c:txPr>
    </c:title>
    <c:autoTitleDeleted val="0"/>
    <c:plotArea>
      <c:layout/>
      <c:pieChart>
        <c:varyColors val="1"/>
        <c:ser>
          <c:idx val="0"/>
          <c:order val="0"/>
          <c:tx>
            <c:strRef>
              <c:f>Sheet1!$C$6</c:f>
              <c:strCache>
                <c:ptCount val="1"/>
                <c:pt idx="0">
                  <c:v>2018年度本年支出</c:v>
                </c:pt>
              </c:strCache>
            </c:strRef>
          </c:tx>
          <c:explosion val="0"/>
          <c:dPt>
            <c:idx val="0"/>
            <c:bubble3D val="0"/>
          </c:dPt>
          <c:dPt>
            <c:idx val="1"/>
            <c:bubble3D val="0"/>
          </c:dPt>
          <c:dPt>
            <c:idx val="2"/>
            <c:bubble3D val="0"/>
          </c:dPt>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ext>
            </c:extLst>
          </c:dLbls>
          <c:cat>
            <c:strRef>
              <c:f>Sheet1!$D$5:$F$5</c:f>
              <c:strCache>
                <c:ptCount val="3"/>
                <c:pt idx="0">
                  <c:v>基本支出</c:v>
                </c:pt>
                <c:pt idx="1">
                  <c:v>项目支出</c:v>
                </c:pt>
                <c:pt idx="2">
                  <c:v>经营支出</c:v>
                </c:pt>
              </c:strCache>
            </c:strRef>
          </c:cat>
          <c:val>
            <c:numRef>
              <c:f>Sheet1!$D$6:$F$6</c:f>
              <c:numCache>
                <c:formatCode>General</c:formatCode>
                <c:ptCount val="3"/>
                <c:pt idx="0">
                  <c:v>530.6</c:v>
                </c:pt>
                <c:pt idx="1">
                  <c:v>703.78</c:v>
                </c:pt>
                <c:pt idx="2">
                  <c:v>0</c:v>
                </c:pt>
              </c:numCache>
            </c:numRef>
          </c:val>
        </c:ser>
        <c:dLbls>
          <c:showLegendKey val="0"/>
          <c:showVal val="0"/>
          <c:showCatName val="0"/>
          <c:showSerName val="0"/>
          <c:showPercent val="0"/>
          <c:showBubbleSize val="0"/>
          <c:showLeaderLines val="1"/>
        </c:dLbls>
        <c:firstSliceAng val="0"/>
      </c:pieChart>
    </c:plotArea>
    <c:legend>
      <c:legendPos val="r"/>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Sheet1!$N$7</c:f>
              <c:strCache>
                <c:ptCount val="1"/>
                <c:pt idx="0">
                  <c:v>2017</c:v>
                </c:pt>
              </c:strCache>
            </c:strRef>
          </c:tx>
          <c:invertIfNegative val="0"/>
          <c:dLbls>
            <c:delete val="1"/>
          </c:dLbls>
          <c:cat>
            <c:strRef>
              <c:f>Sheet1!$O$6:$P$6</c:f>
              <c:strCache>
                <c:ptCount val="2"/>
                <c:pt idx="0">
                  <c:v>收入</c:v>
                </c:pt>
                <c:pt idx="1">
                  <c:v>支出</c:v>
                </c:pt>
              </c:strCache>
            </c:strRef>
          </c:cat>
          <c:val>
            <c:numRef>
              <c:f>Sheet1!$O$7:$P$7</c:f>
              <c:numCache>
                <c:formatCode>General</c:formatCode>
                <c:ptCount val="2"/>
                <c:pt idx="0">
                  <c:v>976.91</c:v>
                </c:pt>
                <c:pt idx="1">
                  <c:v>976.91</c:v>
                </c:pt>
              </c:numCache>
            </c:numRef>
          </c:val>
        </c:ser>
        <c:ser>
          <c:idx val="1"/>
          <c:order val="1"/>
          <c:tx>
            <c:strRef>
              <c:f>Sheet1!$N$8</c:f>
              <c:strCache>
                <c:ptCount val="1"/>
                <c:pt idx="0">
                  <c:v>2018</c:v>
                </c:pt>
              </c:strCache>
            </c:strRef>
          </c:tx>
          <c:invertIfNegative val="0"/>
          <c:dLbls>
            <c:delete val="1"/>
          </c:dLbls>
          <c:cat>
            <c:strRef>
              <c:f>Sheet1!$O$6:$P$6</c:f>
              <c:strCache>
                <c:ptCount val="2"/>
                <c:pt idx="0">
                  <c:v>收入</c:v>
                </c:pt>
                <c:pt idx="1">
                  <c:v>支出</c:v>
                </c:pt>
              </c:strCache>
            </c:strRef>
          </c:cat>
          <c:val>
            <c:numRef>
              <c:f>Sheet1!$O$8:$P$8</c:f>
              <c:numCache>
                <c:formatCode>General</c:formatCode>
                <c:ptCount val="2"/>
                <c:pt idx="0">
                  <c:v>1245.49</c:v>
                </c:pt>
                <c:pt idx="1">
                  <c:v>1234.38</c:v>
                </c:pt>
              </c:numCache>
            </c:numRef>
          </c:val>
        </c:ser>
        <c:dLbls>
          <c:showLegendKey val="0"/>
          <c:showVal val="0"/>
          <c:showCatName val="0"/>
          <c:showSerName val="0"/>
          <c:showPercent val="0"/>
          <c:showBubbleSize val="0"/>
        </c:dLbls>
        <c:gapWidth val="150"/>
        <c:axId val="208398592"/>
        <c:axId val="208446208"/>
      </c:barChart>
      <c:catAx>
        <c:axId val="208398592"/>
        <c:scaling>
          <c:orientation val="minMax"/>
        </c:scaling>
        <c:delete val="0"/>
        <c:axPos val="b"/>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08446208"/>
        <c:crosses val="autoZero"/>
        <c:auto val="1"/>
        <c:lblAlgn val="ctr"/>
        <c:lblOffset val="100"/>
        <c:noMultiLvlLbl val="0"/>
      </c:catAx>
      <c:valAx>
        <c:axId val="208446208"/>
        <c:scaling>
          <c:orientation val="minMax"/>
        </c:scaling>
        <c:delete val="0"/>
        <c:axPos val="l"/>
        <c:majorGridlines/>
        <c:numFmt formatCode="General" sourceLinked="1"/>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08398592"/>
        <c:crosses val="autoZero"/>
        <c:crossBetween val="between"/>
      </c:valAx>
    </c:plotArea>
    <c:legend>
      <c:legendPos val="r"/>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Sheet1!$N$7</c:f>
              <c:strCache>
                <c:ptCount val="1"/>
                <c:pt idx="0">
                  <c:v>预算数</c:v>
                </c:pt>
              </c:strCache>
            </c:strRef>
          </c:tx>
          <c:invertIfNegative val="0"/>
          <c:dLbls>
            <c:delete val="1"/>
          </c:dLbls>
          <c:cat>
            <c:strRef>
              <c:f>Sheet1!$O$6:$P$6</c:f>
              <c:strCache>
                <c:ptCount val="2"/>
                <c:pt idx="0">
                  <c:v>收入</c:v>
                </c:pt>
                <c:pt idx="1">
                  <c:v>支出</c:v>
                </c:pt>
              </c:strCache>
            </c:strRef>
          </c:cat>
          <c:val>
            <c:numRef>
              <c:f>Sheet1!$O$7:$P$7</c:f>
              <c:numCache>
                <c:formatCode>General</c:formatCode>
                <c:ptCount val="2"/>
                <c:pt idx="0">
                  <c:v>1104.11</c:v>
                </c:pt>
                <c:pt idx="1">
                  <c:v>1094.11</c:v>
                </c:pt>
              </c:numCache>
            </c:numRef>
          </c:val>
        </c:ser>
        <c:ser>
          <c:idx val="1"/>
          <c:order val="1"/>
          <c:tx>
            <c:strRef>
              <c:f>Sheet1!$N$8</c:f>
              <c:strCache>
                <c:ptCount val="1"/>
                <c:pt idx="0">
                  <c:v>决算数</c:v>
                </c:pt>
              </c:strCache>
            </c:strRef>
          </c:tx>
          <c:invertIfNegative val="0"/>
          <c:dLbls>
            <c:delete val="1"/>
          </c:dLbls>
          <c:cat>
            <c:strRef>
              <c:f>Sheet1!$O$6:$P$6</c:f>
              <c:strCache>
                <c:ptCount val="2"/>
                <c:pt idx="0">
                  <c:v>收入</c:v>
                </c:pt>
                <c:pt idx="1">
                  <c:v>支出</c:v>
                </c:pt>
              </c:strCache>
            </c:strRef>
          </c:cat>
          <c:val>
            <c:numRef>
              <c:f>Sheet1!$O$8:$P$8</c:f>
              <c:numCache>
                <c:formatCode>General</c:formatCode>
                <c:ptCount val="2"/>
                <c:pt idx="0">
                  <c:v>1245.49</c:v>
                </c:pt>
                <c:pt idx="1">
                  <c:v>1234.38</c:v>
                </c:pt>
              </c:numCache>
            </c:numRef>
          </c:val>
        </c:ser>
        <c:dLbls>
          <c:showLegendKey val="0"/>
          <c:showVal val="0"/>
          <c:showCatName val="0"/>
          <c:showSerName val="0"/>
          <c:showPercent val="0"/>
          <c:showBubbleSize val="0"/>
        </c:dLbls>
        <c:gapWidth val="150"/>
        <c:axId val="195646976"/>
        <c:axId val="195651840"/>
      </c:barChart>
      <c:catAx>
        <c:axId val="195646976"/>
        <c:scaling>
          <c:orientation val="minMax"/>
        </c:scaling>
        <c:delete val="0"/>
        <c:axPos val="b"/>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95651840"/>
        <c:crosses val="autoZero"/>
        <c:auto val="1"/>
        <c:lblAlgn val="ctr"/>
        <c:lblOffset val="100"/>
        <c:noMultiLvlLbl val="0"/>
      </c:catAx>
      <c:valAx>
        <c:axId val="195651840"/>
        <c:scaling>
          <c:orientation val="minMax"/>
        </c:scaling>
        <c:delete val="0"/>
        <c:axPos val="l"/>
        <c:majorGridlines/>
        <c:numFmt formatCode="General" sourceLinked="1"/>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95646976"/>
        <c:crosses val="autoZero"/>
        <c:crossBetween val="between"/>
      </c:valAx>
    </c:plotArea>
    <c:legend>
      <c:legendPos val="r"/>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invertIfNegative val="0"/>
          <c:dLbls>
            <c:delete val="1"/>
          </c:dLbls>
          <c:cat>
            <c:strRef>
              <c:f>Sheet1!$O$11:$O$17</c:f>
              <c:strCache>
                <c:ptCount val="7"/>
                <c:pt idx="0">
                  <c:v>一般公共服务（类）支出</c:v>
                </c:pt>
                <c:pt idx="1">
                  <c:v>公共安全类（类）支出</c:v>
                </c:pt>
                <c:pt idx="2">
                  <c:v>教育（类）支出</c:v>
                </c:pt>
                <c:pt idx="3">
                  <c:v>科学技术（类）支出</c:v>
                </c:pt>
                <c:pt idx="4">
                  <c:v>社会保障和就业（类）支出</c:v>
                </c:pt>
                <c:pt idx="5">
                  <c:v>住房保障（类）支出</c:v>
                </c:pt>
                <c:pt idx="6">
                  <c:v>文化体育与传媒支出</c:v>
                </c:pt>
              </c:strCache>
            </c:strRef>
          </c:cat>
          <c:val>
            <c:numRef>
              <c:f>Sheet1!$P$11:$P$17</c:f>
              <c:numCache>
                <c:formatCode>General</c:formatCode>
                <c:ptCount val="7"/>
              </c:numCache>
            </c:numRef>
          </c:val>
        </c:ser>
        <c:ser>
          <c:idx val="1"/>
          <c:order val="1"/>
          <c:invertIfNegative val="0"/>
          <c:dLbls>
            <c:delete val="1"/>
          </c:dLbls>
          <c:cat>
            <c:strRef>
              <c:f>Sheet1!$O$11:$O$17</c:f>
              <c:strCache>
                <c:ptCount val="7"/>
                <c:pt idx="0">
                  <c:v>一般公共服务（类）支出</c:v>
                </c:pt>
                <c:pt idx="1">
                  <c:v>公共安全类（类）支出</c:v>
                </c:pt>
                <c:pt idx="2">
                  <c:v>教育（类）支出</c:v>
                </c:pt>
                <c:pt idx="3">
                  <c:v>科学技术（类）支出</c:v>
                </c:pt>
                <c:pt idx="4">
                  <c:v>社会保障和就业（类）支出</c:v>
                </c:pt>
                <c:pt idx="5">
                  <c:v>住房保障（类）支出</c:v>
                </c:pt>
                <c:pt idx="6">
                  <c:v>文化体育与传媒支出</c:v>
                </c:pt>
              </c:strCache>
            </c:strRef>
          </c:cat>
          <c:val>
            <c:numRef>
              <c:f>Sheet1!$Q$11:$Q$17</c:f>
              <c:numCache>
                <c:formatCode>General</c:formatCode>
                <c:ptCount val="7"/>
              </c:numCache>
            </c:numRef>
          </c:val>
        </c:ser>
        <c:ser>
          <c:idx val="2"/>
          <c:order val="2"/>
          <c:invertIfNegative val="0"/>
          <c:dLbls>
            <c:delete val="1"/>
          </c:dLbls>
          <c:cat>
            <c:strRef>
              <c:f>Sheet1!$O$11:$O$17</c:f>
              <c:strCache>
                <c:ptCount val="7"/>
                <c:pt idx="0">
                  <c:v>一般公共服务（类）支出</c:v>
                </c:pt>
                <c:pt idx="1">
                  <c:v>公共安全类（类）支出</c:v>
                </c:pt>
                <c:pt idx="2">
                  <c:v>教育（类）支出</c:v>
                </c:pt>
                <c:pt idx="3">
                  <c:v>科学技术（类）支出</c:v>
                </c:pt>
                <c:pt idx="4">
                  <c:v>社会保障和就业（类）支出</c:v>
                </c:pt>
                <c:pt idx="5">
                  <c:v>住房保障（类）支出</c:v>
                </c:pt>
                <c:pt idx="6">
                  <c:v>文化体育与传媒支出</c:v>
                </c:pt>
              </c:strCache>
            </c:strRef>
          </c:cat>
          <c:val>
            <c:numRef>
              <c:f>Sheet1!$R$11:$R$17</c:f>
              <c:numCache>
                <c:formatCode>General</c:formatCode>
                <c:ptCount val="7"/>
                <c:pt idx="0">
                  <c:v>0</c:v>
                </c:pt>
                <c:pt idx="1">
                  <c:v>0</c:v>
                </c:pt>
                <c:pt idx="2">
                  <c:v>0</c:v>
                </c:pt>
                <c:pt idx="3">
                  <c:v>0</c:v>
                </c:pt>
                <c:pt idx="4">
                  <c:v>0</c:v>
                </c:pt>
                <c:pt idx="5">
                  <c:v>0</c:v>
                </c:pt>
                <c:pt idx="6">
                  <c:v>1204.38</c:v>
                </c:pt>
              </c:numCache>
            </c:numRef>
          </c:val>
        </c:ser>
        <c:dLbls>
          <c:showLegendKey val="0"/>
          <c:showVal val="0"/>
          <c:showCatName val="0"/>
          <c:showSerName val="0"/>
          <c:showPercent val="0"/>
          <c:showBubbleSize val="0"/>
        </c:dLbls>
        <c:gapWidth val="150"/>
        <c:axId val="251953536"/>
        <c:axId val="251955072"/>
      </c:barChart>
      <c:catAx>
        <c:axId val="251953536"/>
        <c:scaling>
          <c:orientation val="minMax"/>
        </c:scaling>
        <c:delete val="0"/>
        <c:axPos val="b"/>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51955072"/>
        <c:crosses val="autoZero"/>
        <c:auto val="1"/>
        <c:lblAlgn val="ctr"/>
        <c:lblOffset val="100"/>
        <c:noMultiLvlLbl val="0"/>
      </c:catAx>
      <c:valAx>
        <c:axId val="251955072"/>
        <c:scaling>
          <c:orientation val="minMax"/>
        </c:scaling>
        <c:delete val="0"/>
        <c:axPos val="l"/>
        <c:majorGridlines/>
        <c:numFmt formatCode="General" sourceLinked="1"/>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51953536"/>
        <c:crosses val="autoZero"/>
        <c:crossBetween val="between"/>
      </c:valAx>
    </c:plotArea>
    <c:plotVisOnly val="1"/>
    <c:dispBlanksAs val="gap"/>
    <c:showDLblsOverMax val="0"/>
  </c:chart>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ops>
  <customShpExts>
    <customShpInfo spid="_x0000_s1026" textRotate="1"/>
  </customShpExts>
</s:customData>
</file>

<file path=customXml/item2.xml><?xml version="1.0" encoding="utf-8"?>
<CoverPageProperties xmlns="http://schemas.microsoft.com/office/2006/coverPageProps">
  <PublishDate>2017</PublishDate>
  <Abstract/>
  <CompanyAddress/>
  <CompanyPhone/>
  <CompanyFax/>
  <CompanyEmail/>
</CoverPageProperties>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5AF091B-3C7A-41E3-B477-F2FDAA23CFDA}">
  <ds:schemaRefs/>
</ds:datastoreItem>
</file>

<file path=customXml/itemProps3.xml><?xml version="1.0" encoding="utf-8"?>
<ds:datastoreItem xmlns:ds="http://schemas.openxmlformats.org/officeDocument/2006/customXml" ds:itemID="{BC163995-6A06-4C93-87A8-A500DBFCA957}">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22</Pages>
  <Words>657</Words>
  <Characters>3751</Characters>
  <Lines>31</Lines>
  <Paragraphs>8</Paragraphs>
  <TotalTime>5</TotalTime>
  <ScaleCrop>false</ScaleCrop>
  <LinksUpToDate>false</LinksUpToDate>
  <CharactersWithSpaces>4400</CharactersWithSpaces>
  <Application>WPS Office_11.1.0.10495_F1E327BC-269C-435d-A152-05C5408002CA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2019-10-31T08:17:00Z</dcterms:created>
  <dc:creator>User</dc:creator>
  <cp:lastModifiedBy>Administrator</cp:lastModifiedBy>
  <cp:lastPrinted>2019-08-02T01:01:00Z</cp:lastPrinted>
  <dcterms:modified xsi:type="dcterms:W3CDTF">2021-05-18T02:21:55Z</dcterms:modified>
  <dc:subject>石家庄市xxx部门</dc:subject>
  <dc:title>2017年度部门决算</dc:title>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2052-11.1.0.10495</vt:lpwstr>
  </property>
  <property fmtid="{D5CDD505-2E9C-101B-9397-08002B2CF9AE}" pid="3" name="ICV">
    <vt:lpwstr>0C44748F09944DBDA271E8EED2F82E43</vt:lpwstr>
  </property>
</Properties>
</file>