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topLinePunct w:val="0"/>
        <w:autoSpaceDE/>
        <w:autoSpaceDN/>
        <w:bidi w:val="0"/>
        <w:spacing w:line="240" w:lineRule="auto"/>
        <w:ind w:left="0" w:leftChars="0" w:right="0" w:rightChars="0"/>
        <w:jc w:val="center"/>
        <w:rPr>
          <w:rFonts w:hint="eastAsia" w:ascii="宋体" w:hAnsi="宋体" w:cstheme="minorEastAsia"/>
          <w:b/>
          <w:bCs/>
          <w:sz w:val="44"/>
          <w:szCs w:val="44"/>
          <w:lang w:eastAsia="zh-CN"/>
        </w:rPr>
      </w:pPr>
      <w:r>
        <w:rPr>
          <w:rFonts w:hint="eastAsia" w:ascii="宋体" w:hAnsi="宋体" w:cstheme="minorEastAsia"/>
          <w:b/>
          <w:bCs/>
          <w:sz w:val="44"/>
          <w:szCs w:val="44"/>
          <w:lang w:eastAsia="zh-CN"/>
        </w:rPr>
        <w:t>南孟镇行政综合服务中心</w:t>
      </w:r>
    </w:p>
    <w:p>
      <w:pPr>
        <w:keepNext w:val="0"/>
        <w:keepLines w:val="0"/>
        <w:pageBreakBefore w:val="0"/>
        <w:widowControl w:val="0"/>
        <w:numPr>
          <w:ilvl w:val="0"/>
          <w:numId w:val="0"/>
        </w:numPr>
        <w:kinsoku/>
        <w:wordWrap/>
        <w:overflowPunct/>
        <w:topLinePunct w:val="0"/>
        <w:autoSpaceDE/>
        <w:autoSpaceDN/>
        <w:bidi w:val="0"/>
        <w:adjustRightInd/>
        <w:snapToGrid/>
        <w:jc w:val="center"/>
        <w:textAlignment w:val="auto"/>
        <w:rPr>
          <w:rFonts w:hint="eastAsia" w:asciiTheme="minorEastAsia" w:hAnsiTheme="minorEastAsia" w:eastAsiaTheme="minorEastAsia" w:cstheme="minorEastAsia"/>
          <w:b/>
          <w:bCs/>
          <w:sz w:val="44"/>
          <w:szCs w:val="44"/>
          <w:lang w:val="en-US" w:eastAsia="zh-CN"/>
        </w:rPr>
      </w:pPr>
      <w:bookmarkStart w:id="0" w:name="_GoBack"/>
      <w:bookmarkEnd w:id="0"/>
      <w:r>
        <w:rPr>
          <w:rFonts w:hint="eastAsia" w:asciiTheme="minorEastAsia" w:hAnsiTheme="minorEastAsia" w:eastAsiaTheme="minorEastAsia" w:cstheme="minorEastAsia"/>
          <w:b/>
          <w:bCs/>
          <w:sz w:val="44"/>
          <w:szCs w:val="44"/>
          <w:lang w:val="en-US" w:eastAsia="zh-CN"/>
        </w:rPr>
        <w:t>首问负责制</w:t>
      </w:r>
    </w:p>
    <w:p>
      <w:pPr>
        <w:keepNext w:val="0"/>
        <w:keepLines w:val="0"/>
        <w:pageBreakBefore w:val="0"/>
        <w:kinsoku/>
        <w:wordWrap/>
        <w:topLinePunct w:val="0"/>
        <w:autoSpaceDE/>
        <w:autoSpaceDN/>
        <w:bidi w:val="0"/>
        <w:spacing w:line="240" w:lineRule="auto"/>
        <w:ind w:left="0" w:leftChars="0" w:right="0" w:rightChars="0" w:firstLine="560" w:firstLineChars="200"/>
        <w:rPr>
          <w:rFonts w:ascii="黑体" w:hAnsi="黑体" w:eastAsia="黑体" w:cs="黑体"/>
          <w:sz w:val="28"/>
          <w:szCs w:val="28"/>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_GB2312" w:hAnsi="ˎ̥" w:eastAsia="仿宋_GB2312"/>
          <w:sz w:val="32"/>
          <w:szCs w:val="32"/>
        </w:rPr>
      </w:pPr>
      <w:r>
        <w:rPr>
          <w:rFonts w:hint="eastAsia" w:ascii="仿宋_GB2312" w:hAnsi="ˎ̥" w:eastAsia="仿宋_GB2312"/>
          <w:sz w:val="32"/>
          <w:szCs w:val="32"/>
        </w:rPr>
        <w:t>为进一步转变工作作风，提升服务质量，有效解决群众和市场主体到大厅办事遇到的推诿扯皮、“踢皮球”、推三阻四不担当，办事拖拉、久拖不办、故意拖办等问题，制定本制度。</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textAlignment w:val="auto"/>
        <w:rPr>
          <w:rFonts w:ascii="仿宋_GB2312" w:hAnsi="ˎ̥" w:eastAsia="仿宋_GB2312"/>
          <w:sz w:val="32"/>
          <w:szCs w:val="32"/>
        </w:rPr>
      </w:pPr>
      <w:r>
        <w:rPr>
          <w:rFonts w:hint="eastAsia" w:ascii="黑体" w:hAnsi="黑体" w:eastAsia="黑体" w:cs="黑体"/>
          <w:sz w:val="32"/>
          <w:szCs w:val="32"/>
        </w:rPr>
        <w:t>第一条</w:t>
      </w:r>
      <w:r>
        <w:rPr>
          <w:rFonts w:hint="eastAsia" w:ascii="仿宋_GB2312" w:hAnsi="黑体" w:eastAsia="仿宋_GB2312" w:cs="黑体"/>
          <w:sz w:val="32"/>
          <w:szCs w:val="32"/>
        </w:rPr>
        <w:t xml:space="preserve"> </w:t>
      </w:r>
      <w:r>
        <w:rPr>
          <w:rFonts w:hint="eastAsia" w:ascii="仿宋_GB2312" w:hAnsi="ˎ̥" w:eastAsia="仿宋_GB2312"/>
          <w:sz w:val="32"/>
          <w:szCs w:val="32"/>
        </w:rPr>
        <w:t>首问负责制指群众和市场主体向窗口咨询政策及办理有关业务事项时，首位接待和受理的工作人员按照职责告知、领办导办的制度。</w:t>
      </w:r>
    </w:p>
    <w:p>
      <w:pPr>
        <w:keepNext w:val="0"/>
        <w:keepLines w:val="0"/>
        <w:pageBreakBefore w:val="0"/>
        <w:kinsoku/>
        <w:wordWrap/>
        <w:topLinePunct w:val="0"/>
        <w:autoSpaceDE/>
        <w:autoSpaceDN/>
        <w:bidi w:val="0"/>
        <w:spacing w:line="240" w:lineRule="auto"/>
        <w:ind w:left="0" w:leftChars="0" w:right="0" w:rightChars="0" w:firstLine="640" w:firstLineChars="200"/>
        <w:rPr>
          <w:rFonts w:ascii="仿宋_GB2312" w:hAnsi="ˎ̥" w:eastAsia="仿宋_GB2312"/>
          <w:sz w:val="32"/>
          <w:szCs w:val="32"/>
        </w:rPr>
      </w:pPr>
      <w:r>
        <w:rPr>
          <w:rFonts w:hint="eastAsia" w:ascii="黑体" w:hAnsi="黑体" w:eastAsia="黑体" w:cs="黑体"/>
          <w:sz w:val="32"/>
          <w:szCs w:val="32"/>
        </w:rPr>
        <w:t>第二条</w:t>
      </w:r>
      <w:r>
        <w:rPr>
          <w:rFonts w:hint="eastAsia" w:ascii="仿宋_GB2312" w:hAnsi="黑体" w:eastAsia="仿宋_GB2312" w:cs="黑体"/>
          <w:sz w:val="32"/>
          <w:szCs w:val="32"/>
        </w:rPr>
        <w:t xml:space="preserve"> </w:t>
      </w:r>
      <w:r>
        <w:rPr>
          <w:rFonts w:hint="eastAsia" w:ascii="仿宋_GB2312" w:hAnsi="ˎ̥" w:eastAsia="仿宋_GB2312"/>
          <w:sz w:val="32"/>
          <w:szCs w:val="32"/>
        </w:rPr>
        <w:t>接受询问和业务办理的首位工作人员为首问负责人。首问负责人对咨询事项和办理业务的市场主体热情接待、认真解答、负责办理、一盯到底，并承担首问负责人责任。</w:t>
      </w:r>
    </w:p>
    <w:p>
      <w:pPr>
        <w:keepNext w:val="0"/>
        <w:keepLines w:val="0"/>
        <w:pageBreakBefore w:val="0"/>
        <w:kinsoku/>
        <w:wordWrap/>
        <w:topLinePunct w:val="0"/>
        <w:autoSpaceDE/>
        <w:autoSpaceDN/>
        <w:bidi w:val="0"/>
        <w:spacing w:line="240" w:lineRule="auto"/>
        <w:ind w:left="0" w:leftChars="0" w:right="0" w:rightChars="0" w:firstLine="640" w:firstLineChars="200"/>
        <w:rPr>
          <w:rFonts w:ascii="仿宋_GB2312" w:hAnsi="ˎ̥" w:eastAsia="仿宋_GB2312"/>
          <w:sz w:val="32"/>
          <w:szCs w:val="32"/>
        </w:rPr>
      </w:pPr>
      <w:r>
        <w:rPr>
          <w:rFonts w:hint="eastAsia" w:ascii="黑体" w:hAnsi="黑体" w:eastAsia="黑体" w:cs="黑体"/>
          <w:sz w:val="32"/>
          <w:szCs w:val="32"/>
        </w:rPr>
        <w:t xml:space="preserve">第三条 </w:t>
      </w:r>
      <w:r>
        <w:rPr>
          <w:rFonts w:hint="eastAsia" w:ascii="仿宋_GB2312" w:hAnsi="ˎ̥" w:eastAsia="仿宋_GB2312"/>
          <w:sz w:val="32"/>
          <w:szCs w:val="32"/>
        </w:rPr>
        <w:t>本制度适用于行政综合服务中心所有工作人员。已进入仲裁、行政复议、诉讼等法定程序办理的事项，不适用本规定。</w:t>
      </w:r>
    </w:p>
    <w:p>
      <w:pPr>
        <w:keepNext w:val="0"/>
        <w:keepLines w:val="0"/>
        <w:pageBreakBefore w:val="0"/>
        <w:kinsoku/>
        <w:wordWrap/>
        <w:topLinePunct w:val="0"/>
        <w:autoSpaceDE/>
        <w:autoSpaceDN/>
        <w:bidi w:val="0"/>
        <w:spacing w:line="240" w:lineRule="auto"/>
        <w:ind w:left="0" w:leftChars="0" w:right="0" w:rightChars="0" w:firstLine="640" w:firstLineChars="200"/>
        <w:rPr>
          <w:rFonts w:ascii="仿宋_GB2312" w:hAnsi="ˎ̥" w:eastAsia="仿宋_GB2312"/>
          <w:sz w:val="32"/>
          <w:szCs w:val="32"/>
        </w:rPr>
      </w:pPr>
      <w:r>
        <w:rPr>
          <w:rFonts w:hint="eastAsia" w:ascii="黑体" w:hAnsi="黑体" w:eastAsia="黑体" w:cs="黑体"/>
          <w:sz w:val="32"/>
          <w:szCs w:val="32"/>
        </w:rPr>
        <w:t>第四条</w:t>
      </w:r>
      <w:r>
        <w:rPr>
          <w:rFonts w:hint="eastAsia" w:ascii="仿宋_GB2312" w:hAnsi="ˎ̥" w:eastAsia="仿宋_GB2312"/>
          <w:sz w:val="32"/>
          <w:szCs w:val="32"/>
        </w:rPr>
        <w:t xml:space="preserve"> 各窗口工作人员实施首问负责制要遵循</w:t>
      </w:r>
      <w:r>
        <w:rPr>
          <w:rFonts w:hint="eastAsia" w:ascii="仿宋_GB2312" w:hAnsi="ˎ̥" w:eastAsia="仿宋_GB2312"/>
          <w:sz w:val="32"/>
          <w:szCs w:val="32"/>
          <w:lang w:eastAsia="zh-CN"/>
        </w:rPr>
        <w:t>“</w:t>
      </w:r>
      <w:r>
        <w:rPr>
          <w:rFonts w:hint="eastAsia" w:ascii="仿宋_GB2312" w:hAnsi="ˎ̥" w:eastAsia="仿宋_GB2312"/>
          <w:sz w:val="32"/>
          <w:szCs w:val="32"/>
        </w:rPr>
        <w:t>热情主动、服务规范、合法合规、及时高效</w:t>
      </w:r>
      <w:r>
        <w:rPr>
          <w:rFonts w:hint="eastAsia" w:ascii="仿宋_GB2312" w:hAnsi="ˎ̥" w:eastAsia="仿宋_GB2312"/>
          <w:sz w:val="32"/>
          <w:szCs w:val="32"/>
          <w:lang w:eastAsia="zh-CN"/>
        </w:rPr>
        <w:t>”</w:t>
      </w:r>
      <w:r>
        <w:rPr>
          <w:rFonts w:hint="eastAsia" w:ascii="仿宋_GB2312" w:hAnsi="ˎ̥" w:eastAsia="仿宋_GB2312"/>
          <w:sz w:val="32"/>
          <w:szCs w:val="32"/>
        </w:rPr>
        <w:t>的原则。在大厅显著位置张贴、公布首问负责制、职责内容，窗口人员挂牌上岗，公示姓名、职务、工作岗位、业务范围，方便服务对象知情和掌握。实行首</w:t>
      </w:r>
      <w:r>
        <w:rPr>
          <w:rFonts w:hint="eastAsia" w:ascii="仿宋_GB2312" w:hAnsi="ˎ̥" w:eastAsia="仿宋_GB2312"/>
          <w:sz w:val="32"/>
          <w:szCs w:val="32"/>
          <w:lang w:val="en-US" w:eastAsia="zh-CN"/>
        </w:rPr>
        <w:t>问</w:t>
      </w:r>
      <w:r>
        <w:rPr>
          <w:rFonts w:hint="eastAsia" w:ascii="仿宋_GB2312" w:hAnsi="ˎ̥" w:eastAsia="仿宋_GB2312"/>
          <w:sz w:val="32"/>
          <w:szCs w:val="32"/>
        </w:rPr>
        <w:t>负责制受理及处理结果情况登记制，建立登记台账、运行流程、办结时限、结果反馈、问责追责等具体制度规定。</w:t>
      </w:r>
      <w:r>
        <w:rPr>
          <w:rFonts w:hint="eastAsia" w:ascii="仿宋_GB2312" w:hAnsi="ˎ̥" w:eastAsia="仿宋_GB2312"/>
          <w:sz w:val="32"/>
          <w:szCs w:val="32"/>
        </w:rPr>
        <w:br w:type="textWrapping"/>
      </w:r>
      <w:r>
        <w:rPr>
          <w:rFonts w:hint="eastAsia" w:ascii="黑体" w:hAnsi="黑体" w:eastAsia="黑体" w:cs="黑体"/>
          <w:sz w:val="32"/>
          <w:szCs w:val="32"/>
        </w:rPr>
        <w:t xml:space="preserve">    第五条 </w:t>
      </w:r>
      <w:r>
        <w:rPr>
          <w:rFonts w:hint="eastAsia" w:ascii="仿宋_GB2312" w:hAnsi="ˎ̥" w:eastAsia="仿宋_GB2312"/>
          <w:sz w:val="32"/>
          <w:szCs w:val="32"/>
        </w:rPr>
        <w:t>对服务对象咨询或申请办理工作事项,首问负责人根据不同情形履行如下义务:</w:t>
      </w:r>
    </w:p>
    <w:p>
      <w:pPr>
        <w:keepNext w:val="0"/>
        <w:keepLines w:val="0"/>
        <w:pageBreakBefore w:val="0"/>
        <w:kinsoku/>
        <w:wordWrap/>
        <w:topLinePunct w:val="0"/>
        <w:autoSpaceDE/>
        <w:autoSpaceDN/>
        <w:bidi w:val="0"/>
        <w:spacing w:line="240" w:lineRule="auto"/>
        <w:ind w:left="0" w:leftChars="0" w:right="0" w:rightChars="0" w:firstLine="640" w:firstLineChars="200"/>
        <w:rPr>
          <w:rFonts w:ascii="仿宋_GB2312" w:hAnsi="ˎ̥" w:eastAsia="仿宋_GB2312"/>
          <w:sz w:val="32"/>
          <w:szCs w:val="32"/>
        </w:rPr>
      </w:pPr>
      <w:r>
        <w:rPr>
          <w:rFonts w:hint="eastAsia" w:ascii="仿宋_GB2312" w:hAnsi="ˎ̥" w:eastAsia="仿宋_GB2312"/>
          <w:sz w:val="32"/>
          <w:szCs w:val="32"/>
        </w:rPr>
        <w:t>(一)对属于本人岗位职责范围内的事项,实行限时办结制度，一次告知咨询事项的办理依据、时限、程序、所需材料、相关手续等，依法受理、按照规定时间、程序和要求办结</w:t>
      </w:r>
      <w:r>
        <w:rPr>
          <w:rFonts w:hint="eastAsia" w:ascii="仿宋_GB2312" w:hAnsi="ˎ̥" w:eastAsia="仿宋_GB2312"/>
          <w:sz w:val="32"/>
          <w:szCs w:val="32"/>
          <w:lang w:eastAsia="zh-CN"/>
        </w:rPr>
        <w:t>。</w:t>
      </w:r>
      <w:r>
        <w:rPr>
          <w:rFonts w:hint="eastAsia" w:ascii="仿宋_GB2312" w:hAnsi="ˎ̥" w:eastAsia="仿宋_GB2312"/>
          <w:sz w:val="32"/>
          <w:szCs w:val="32"/>
        </w:rPr>
        <w:br w:type="textWrapping"/>
      </w:r>
      <w:r>
        <w:rPr>
          <w:rFonts w:hint="eastAsia" w:ascii="仿宋_GB2312" w:hAnsi="ˎ̥" w:eastAsia="仿宋_GB2312"/>
          <w:sz w:val="32"/>
          <w:szCs w:val="32"/>
        </w:rPr>
        <w:t xml:space="preserve">    (二）对明确属于其他岗位职责范围内的事项，负责领办导办到具体承办人员，按照规定时限办结。对一时不能明确的，负责引导至行政综合服务中心，由</w:t>
      </w:r>
      <w:r>
        <w:rPr>
          <w:rFonts w:hint="eastAsia" w:ascii="仿宋_GB2312" w:eastAsia="仿宋_GB2312"/>
          <w:sz w:val="32"/>
          <w:szCs w:val="32"/>
        </w:rPr>
        <w:t>行政综合服务中心</w:t>
      </w:r>
      <w:r>
        <w:rPr>
          <w:rFonts w:hint="eastAsia" w:ascii="仿宋_GB2312" w:hAnsi="ˎ̥" w:eastAsia="仿宋_GB2312"/>
          <w:sz w:val="32"/>
          <w:szCs w:val="32"/>
        </w:rPr>
        <w:t>向服务对象反馈明确具体承办</w:t>
      </w:r>
      <w:r>
        <w:rPr>
          <w:rFonts w:hint="eastAsia" w:ascii="仿宋_GB2312" w:hAnsi="ˎ̥" w:eastAsia="仿宋_GB2312"/>
          <w:sz w:val="32"/>
          <w:szCs w:val="32"/>
          <w:lang w:val="en-US" w:eastAsia="zh-CN"/>
        </w:rPr>
        <w:t>人</w:t>
      </w:r>
      <w:r>
        <w:rPr>
          <w:rFonts w:hint="eastAsia" w:ascii="仿宋_GB2312" w:hAnsi="ˎ̥" w:eastAsia="仿宋_GB2312"/>
          <w:sz w:val="32"/>
          <w:szCs w:val="32"/>
        </w:rPr>
        <w:t>姓名</w:t>
      </w:r>
      <w:r>
        <w:rPr>
          <w:rFonts w:hint="eastAsia" w:ascii="仿宋_GB2312" w:hAnsi="ˎ̥" w:eastAsia="仿宋_GB2312"/>
          <w:sz w:val="32"/>
          <w:szCs w:val="32"/>
          <w:lang w:eastAsia="zh-CN"/>
        </w:rPr>
        <w:t>、</w:t>
      </w:r>
      <w:r>
        <w:rPr>
          <w:rFonts w:hint="eastAsia" w:ascii="仿宋_GB2312" w:hAnsi="ˎ̥" w:eastAsia="仿宋_GB2312"/>
          <w:sz w:val="32"/>
          <w:szCs w:val="32"/>
        </w:rPr>
        <w:t>联系方式并负责盯办到底。</w:t>
      </w:r>
      <w:r>
        <w:rPr>
          <w:rFonts w:hint="eastAsia" w:ascii="仿宋_GB2312" w:hAnsi="ˎ̥" w:eastAsia="仿宋_GB2312"/>
          <w:sz w:val="32"/>
          <w:szCs w:val="32"/>
        </w:rPr>
        <w:br w:type="textWrapping"/>
      </w:r>
      <w:r>
        <w:rPr>
          <w:rFonts w:hint="eastAsia" w:ascii="黑体" w:hAnsi="黑体" w:eastAsia="黑体" w:cs="黑体"/>
          <w:sz w:val="32"/>
          <w:szCs w:val="32"/>
        </w:rPr>
        <w:t xml:space="preserve">    第六条 </w:t>
      </w:r>
      <w:r>
        <w:rPr>
          <w:rFonts w:hint="eastAsia" w:ascii="仿宋_GB2312" w:hAnsi="ˎ̥" w:eastAsia="仿宋_GB2312"/>
          <w:sz w:val="32"/>
          <w:szCs w:val="32"/>
        </w:rPr>
        <w:t>对不属本单位职责范围内的工作事项，应向服务对象说明理由，对能够确定该事项主管机关的，由</w:t>
      </w:r>
      <w:r>
        <w:rPr>
          <w:rFonts w:hint="eastAsia" w:ascii="仿宋_GB2312" w:eastAsia="仿宋_GB2312"/>
          <w:sz w:val="32"/>
          <w:szCs w:val="32"/>
        </w:rPr>
        <w:t>行政综合服务中心</w:t>
      </w:r>
      <w:r>
        <w:rPr>
          <w:rFonts w:hint="eastAsia" w:ascii="仿宋_GB2312" w:hAnsi="ˎ̥" w:eastAsia="仿宋_GB2312"/>
          <w:sz w:val="32"/>
          <w:szCs w:val="32"/>
        </w:rPr>
        <w:t>出具转办函，注明服务对象咨询或办理事项，经主管领导审签后，交由服务对象，并与承办单位沟通反馈转办情况。</w:t>
      </w:r>
    </w:p>
    <w:p>
      <w:pPr>
        <w:keepNext w:val="0"/>
        <w:keepLines w:val="0"/>
        <w:pageBreakBefore w:val="0"/>
        <w:kinsoku/>
        <w:wordWrap/>
        <w:topLinePunct w:val="0"/>
        <w:autoSpaceDE/>
        <w:autoSpaceDN/>
        <w:bidi w:val="0"/>
        <w:spacing w:line="240" w:lineRule="auto"/>
        <w:ind w:left="0" w:leftChars="0" w:right="0" w:rightChars="0" w:firstLine="640" w:firstLineChars="200"/>
        <w:rPr>
          <w:rFonts w:ascii="仿宋_GB2312" w:hAnsi="ˎ̥" w:eastAsia="仿宋_GB2312"/>
          <w:sz w:val="32"/>
          <w:szCs w:val="32"/>
        </w:rPr>
      </w:pPr>
      <w:r>
        <w:rPr>
          <w:rFonts w:hint="eastAsia" w:ascii="黑体" w:hAnsi="黑体" w:eastAsia="黑体" w:cs="黑体"/>
          <w:sz w:val="32"/>
          <w:szCs w:val="32"/>
        </w:rPr>
        <w:t xml:space="preserve">第七条 </w:t>
      </w:r>
      <w:r>
        <w:rPr>
          <w:rFonts w:hint="eastAsia" w:ascii="仿宋_GB2312" w:hAnsi="ˎ̥" w:eastAsia="仿宋_GB2312"/>
          <w:sz w:val="32"/>
          <w:szCs w:val="32"/>
        </w:rPr>
        <w:t>对不能明确主管机关或难以明确行政管辖区域的事项，由</w:t>
      </w:r>
      <w:r>
        <w:rPr>
          <w:rFonts w:hint="eastAsia" w:ascii="仿宋_GB2312" w:eastAsia="仿宋_GB2312"/>
          <w:sz w:val="32"/>
          <w:szCs w:val="32"/>
        </w:rPr>
        <w:t>行政综合服务中心</w:t>
      </w:r>
      <w:r>
        <w:rPr>
          <w:rFonts w:hint="eastAsia" w:ascii="仿宋_GB2312" w:hAnsi="ˎ̥" w:eastAsia="仿宋_GB2312"/>
          <w:sz w:val="32"/>
          <w:szCs w:val="32"/>
        </w:rPr>
        <w:t>向区委编办、区民政局出具咨询函，并在规定时间内提醒区委编办、区民政局及时书面反馈。</w:t>
      </w:r>
    </w:p>
    <w:p>
      <w:pPr>
        <w:keepNext w:val="0"/>
        <w:keepLines w:val="0"/>
        <w:pageBreakBefore w:val="0"/>
        <w:kinsoku/>
        <w:wordWrap/>
        <w:topLinePunct w:val="0"/>
        <w:autoSpaceDE/>
        <w:autoSpaceDN/>
        <w:bidi w:val="0"/>
        <w:spacing w:line="240" w:lineRule="auto"/>
        <w:ind w:left="0" w:leftChars="0" w:right="0" w:rightChars="0"/>
        <w:rPr>
          <w:rFonts w:ascii="仿宋_GB2312" w:hAnsi="仿宋_GB2312" w:eastAsia="仿宋_GB2312" w:cs="仿宋_GB2312"/>
          <w:sz w:val="32"/>
          <w:szCs w:val="32"/>
          <w:shd w:val="clear" w:color="auto" w:fill="FFFFFF"/>
        </w:rPr>
      </w:pPr>
      <w:r>
        <w:rPr>
          <w:rFonts w:hint="eastAsia" w:ascii="仿宋_GB2312" w:hAnsi="黑体" w:eastAsia="仿宋_GB2312" w:cs="黑体"/>
          <w:sz w:val="32"/>
          <w:szCs w:val="32"/>
        </w:rPr>
        <w:t xml:space="preserve">   </w:t>
      </w:r>
      <w:r>
        <w:rPr>
          <w:rFonts w:hint="eastAsia" w:ascii="黑体" w:hAnsi="黑体" w:eastAsia="黑体" w:cs="黑体"/>
          <w:sz w:val="32"/>
          <w:szCs w:val="32"/>
        </w:rPr>
        <w:t xml:space="preserve"> 第八条</w:t>
      </w:r>
      <w:r>
        <w:rPr>
          <w:rFonts w:hint="eastAsia" w:ascii="仿宋_GB2312" w:hAnsi="黑体" w:eastAsia="仿宋_GB2312" w:cs="黑体"/>
          <w:sz w:val="32"/>
          <w:szCs w:val="32"/>
        </w:rPr>
        <w:t xml:space="preserve"> </w:t>
      </w:r>
      <w:r>
        <w:rPr>
          <w:rFonts w:hint="eastAsia" w:ascii="仿宋_GB2312" w:hAnsi="仿宋_GB2312" w:eastAsia="仿宋_GB2312" w:cs="仿宋_GB2312"/>
          <w:sz w:val="32"/>
          <w:szCs w:val="32"/>
          <w:shd w:val="clear" w:color="auto" w:fill="FFFFFF"/>
        </w:rPr>
        <w:t>首问负责制采取逐级负责的监督管理机制。</w:t>
      </w:r>
    </w:p>
    <w:p>
      <w:pPr>
        <w:keepNext w:val="0"/>
        <w:keepLines w:val="0"/>
        <w:pageBreakBefore w:val="0"/>
        <w:kinsoku/>
        <w:wordWrap/>
        <w:topLinePunct w:val="0"/>
        <w:autoSpaceDE/>
        <w:autoSpaceDN/>
        <w:bidi w:val="0"/>
        <w:spacing w:line="240" w:lineRule="auto"/>
        <w:ind w:left="0" w:leftChars="0" w:right="0" w:rightChars="0" w:firstLine="515" w:firstLineChars="161"/>
        <w:rPr>
          <w:rFonts w:ascii="仿宋_GB2312" w:hAnsi="仿宋_GB2312" w:eastAsia="仿宋_GB2312" w:cs="仿宋_GB2312"/>
          <w:sz w:val="32"/>
          <w:szCs w:val="32"/>
        </w:rPr>
      </w:pPr>
      <w:r>
        <w:rPr>
          <w:rFonts w:hint="eastAsia" w:ascii="仿宋_GB2312" w:hAnsi="仿宋_GB2312" w:eastAsia="仿宋_GB2312" w:cs="仿宋_GB2312"/>
          <w:sz w:val="32"/>
          <w:szCs w:val="32"/>
          <w:shd w:val="clear" w:color="auto" w:fill="FFFFFF"/>
        </w:rPr>
        <w:t>（一）</w:t>
      </w:r>
      <w:r>
        <w:rPr>
          <w:rFonts w:hint="eastAsia" w:ascii="仿宋_GB2312" w:hAnsi="仿宋_GB2312" w:eastAsia="仿宋_GB2312" w:cs="仿宋_GB2312"/>
          <w:sz w:val="32"/>
          <w:szCs w:val="32"/>
        </w:rPr>
        <w:t>单位主要负责人对首问负责制负总责，分管负责人负领导责任，首问负责人负直接责任。</w:t>
      </w:r>
    </w:p>
    <w:p>
      <w:pPr>
        <w:keepNext w:val="0"/>
        <w:keepLines w:val="0"/>
        <w:pageBreakBefore w:val="0"/>
        <w:kinsoku/>
        <w:wordWrap/>
        <w:topLinePunct w:val="0"/>
        <w:autoSpaceDE/>
        <w:autoSpaceDN/>
        <w:bidi w:val="0"/>
        <w:spacing w:line="240" w:lineRule="auto"/>
        <w:ind w:left="0" w:leftChars="0" w:right="0" w:rightChars="0" w:firstLine="515" w:firstLineChars="161"/>
        <w:rPr>
          <w:rFonts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shd w:val="clear" w:color="auto" w:fill="FFFFFF"/>
        </w:rPr>
        <w:t>各窗口负责人应对本窗口工作人员落实首问负责制的过程进行监督检查，对违反首问负责制的行为，及时提出批评，并责令改正。</w:t>
      </w:r>
    </w:p>
    <w:p>
      <w:pPr>
        <w:keepNext w:val="0"/>
        <w:keepLines w:val="0"/>
        <w:pageBreakBefore w:val="0"/>
        <w:kinsoku/>
        <w:wordWrap/>
        <w:topLinePunct w:val="0"/>
        <w:autoSpaceDE/>
        <w:autoSpaceDN/>
        <w:bidi w:val="0"/>
        <w:spacing w:line="240" w:lineRule="auto"/>
        <w:ind w:left="0" w:leftChars="0" w:right="0" w:righ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eastAsia="仿宋_GB2312"/>
          <w:sz w:val="32"/>
          <w:szCs w:val="32"/>
        </w:rPr>
        <w:t>行政综合服务中心</w:t>
      </w:r>
      <w:r>
        <w:rPr>
          <w:rFonts w:hint="eastAsia" w:ascii="仿宋_GB2312" w:hAnsi="仿宋_GB2312" w:eastAsia="仿宋_GB2312" w:cs="仿宋_GB2312"/>
          <w:sz w:val="32"/>
          <w:szCs w:val="32"/>
        </w:rPr>
        <w:t>负责监督检查首问首办负责制落实情况，定期通报检查结果，公布投诉渠道，及时受理、办理投诉。对违反首问负责制经劝阻仍不执行的行为，提请乡镇党委对相关人员实施责任追究。</w:t>
      </w:r>
    </w:p>
    <w:p>
      <w:pPr>
        <w:keepNext w:val="0"/>
        <w:keepLines w:val="0"/>
        <w:pageBreakBefore w:val="0"/>
        <w:kinsoku/>
        <w:wordWrap/>
        <w:topLinePunct w:val="0"/>
        <w:autoSpaceDE/>
        <w:autoSpaceDN/>
        <w:bidi w:val="0"/>
        <w:spacing w:line="240" w:lineRule="auto"/>
        <w:ind w:left="0" w:leftChars="0" w:right="0" w:rightChars="0"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第九条</w:t>
      </w:r>
      <w:r>
        <w:rPr>
          <w:rFonts w:hint="eastAsia" w:ascii="仿宋_GB2312" w:hAnsi="仿宋_GB2312" w:eastAsia="仿宋_GB2312" w:cs="仿宋_GB2312"/>
          <w:sz w:val="32"/>
          <w:szCs w:val="32"/>
        </w:rPr>
        <w:t xml:space="preserve"> 强化投诉举报渠道，公布设立违反首问负责制投诉电话：</w:t>
      </w:r>
      <w:r>
        <w:rPr>
          <w:rFonts w:hint="eastAsia" w:ascii="仿宋_GB2312" w:hAnsi="仿宋_GB2312" w:eastAsia="仿宋_GB2312" w:cs="仿宋_GB2312"/>
          <w:sz w:val="32"/>
          <w:szCs w:val="32"/>
          <w:lang w:val="en-US" w:eastAsia="zh-CN"/>
        </w:rPr>
        <w:t>0311--88330251</w:t>
      </w:r>
      <w:r>
        <w:rPr>
          <w:rFonts w:hint="eastAsia" w:ascii="仿宋_GB2312" w:hAnsi="仿宋_GB2312" w:eastAsia="仿宋_GB2312" w:cs="仿宋_GB2312"/>
          <w:sz w:val="32"/>
          <w:szCs w:val="32"/>
        </w:rPr>
        <w:t>；举报邮箱：</w:t>
      </w:r>
      <w:r>
        <w:rPr>
          <w:rFonts w:hint="eastAsia" w:ascii="仿宋_GB2312" w:hAnsi="仿宋_GB2312" w:eastAsia="仿宋_GB2312" w:cs="仿宋_GB2312"/>
          <w:sz w:val="32"/>
          <w:szCs w:val="32"/>
          <w:lang w:val="en-US" w:eastAsia="zh-CN"/>
        </w:rPr>
        <w:t>mnzxzzhfwzx@126.com。</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FD1D9A"/>
    <w:rsid w:val="12FD1D9A"/>
    <w:rsid w:val="7B901C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paragraph" w:customStyle="1" w:styleId="4">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2020-11-02T15:50:00Z</dcterms:created>
  <dc:creator>Administrator</dc:creator>
  <cp:lastModifiedBy>Administrator</cp:lastModifiedBy>
  <dcterms:modified xsi:type="dcterms:W3CDTF">2020-11-03T00:06:22Z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