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二〇二〇年九月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二〇二〇年九月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highlight w:val="yellow"/>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kern w:val="0"/>
          <w:sz w:val="44"/>
          <w:szCs w:val="44"/>
        </w:rPr>
        <w:t>石家庄市藁城区常安镇人民政府</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二〇二〇年九月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tbl>
      <w:tblPr>
        <w:tblStyle w:val="7"/>
        <w:tblpPr w:leftFromText="180" w:rightFromText="180" w:vertAnchor="text" w:horzAnchor="page" w:tblpXSpec="center" w:tblpY="1026"/>
        <w:tblOverlap w:val="never"/>
        <w:tblW w:w="94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9"/>
        <w:gridCol w:w="68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tblHeader/>
          <w:jc w:val="center"/>
        </w:trPr>
        <w:tc>
          <w:tcPr>
            <w:tcW w:w="2579" w:type="dxa"/>
            <w:vMerge w:val="restart"/>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职责活动</w:t>
            </w:r>
          </w:p>
        </w:tc>
        <w:tc>
          <w:tcPr>
            <w:tcW w:w="6881" w:type="dxa"/>
            <w:vMerge w:val="restart"/>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内容描述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tblHeader/>
          <w:jc w:val="center"/>
        </w:trPr>
        <w:tc>
          <w:tcPr>
            <w:tcW w:w="2579" w:type="dxa"/>
            <w:vMerge w:val="continue"/>
            <w:noWrap/>
            <w:vAlign w:val="center"/>
          </w:tcPr>
          <w:p>
            <w:pPr>
              <w:spacing w:line="300" w:lineRule="exact"/>
              <w:outlineLvl w:val="0"/>
              <w:rPr>
                <w:rFonts w:ascii="仿宋" w:hAnsi="仿宋" w:eastAsia="仿宋" w:cs="仿宋"/>
                <w:sz w:val="32"/>
                <w:szCs w:val="32"/>
              </w:rPr>
            </w:pPr>
          </w:p>
        </w:tc>
        <w:tc>
          <w:tcPr>
            <w:tcW w:w="6881" w:type="dxa"/>
            <w:vMerge w:val="continue"/>
            <w:noWrap/>
            <w:vAlign w:val="center"/>
          </w:tcPr>
          <w:p>
            <w:pPr>
              <w:spacing w:line="300" w:lineRule="exact"/>
              <w:outlineLvl w:val="0"/>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4"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政务管理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处理机关日常事务，保证镇政府值班工作，及时报告重要情况，传达和督促落实镇党委、政府领导指示。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7"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综合业务、事务管理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加强推进党的基层组织建设、纪检监察、党风廉政建设、统一战线、人民武装、精神文明建设、组织人事工作。加强机关事务性管理，开展机关自身能力建设。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应急管理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保证镇政府值班工作，及时报告重要情况，传达和督促落实镇政府领导指示。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69"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社会治安综合治理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宣传贯彻国家法律法规和政策，增强农民法律知识，做好社会治安综合治理工作，做好司法、宗教工作，打击邪教；做好群众</w:t>
            </w:r>
            <w:r>
              <w:rPr>
                <w:rFonts w:ascii="仿宋" w:hAnsi="仿宋" w:eastAsia="仿宋" w:cs="仿宋"/>
                <w:sz w:val="32"/>
                <w:szCs w:val="32"/>
              </w:rPr>
              <w:t xml:space="preserve"> </w:t>
            </w:r>
            <w:r>
              <w:rPr>
                <w:rFonts w:hint="eastAsia" w:ascii="仿宋" w:hAnsi="仿宋" w:eastAsia="仿宋" w:cs="仿宋"/>
                <w:sz w:val="32"/>
                <w:szCs w:val="32"/>
              </w:rPr>
              <w:t>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73"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协调维护社会治安稳定</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做好社会治安综合治理工作，做好司法、宗教工作，打击邪教；做好群众</w:t>
            </w:r>
            <w:r>
              <w:rPr>
                <w:rFonts w:ascii="仿宋" w:hAnsi="仿宋" w:eastAsia="仿宋" w:cs="仿宋"/>
                <w:sz w:val="32"/>
                <w:szCs w:val="32"/>
              </w:rPr>
              <w:t xml:space="preserve"> </w:t>
            </w:r>
            <w:r>
              <w:rPr>
                <w:rFonts w:hint="eastAsia" w:ascii="仿宋" w:hAnsi="仿宋" w:eastAsia="仿宋" w:cs="仿宋"/>
                <w:sz w:val="32"/>
                <w:szCs w:val="32"/>
              </w:rPr>
              <w:t>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18"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经济发展</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制定经济发展规划，促进民营企业发展，招商引资，大力发展第二、三产业。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0"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民生改善</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加强基础设施建设，落实强农惠农措施，搞好技术推广应用。大力发展苗木种植产业化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0"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农业生产</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推进农村集体产权制度改革，完善农村土地承包制度，引导农村土地合理流转。创新农业经营主体。实施科学管理</w:t>
            </w:r>
            <w:r>
              <w:rPr>
                <w:rFonts w:ascii="仿宋" w:hAnsi="仿宋" w:eastAsia="仿宋" w:cs="仿宋"/>
                <w:sz w:val="32"/>
                <w:szCs w:val="32"/>
              </w:rPr>
              <w:t>,</w:t>
            </w:r>
            <w:r>
              <w:rPr>
                <w:rFonts w:hint="eastAsia" w:ascii="仿宋" w:hAnsi="仿宋" w:eastAsia="仿宋" w:cs="仿宋"/>
                <w:sz w:val="32"/>
                <w:szCs w:val="32"/>
              </w:rPr>
              <w:t>提高农产品产量、质量，提高生产经营效益。提高农业机械化水平，建立健全农业科技服务和防灾减灾体系，推动农业生产向现代农业发展。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20"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农业技术推广农业教育与技能培训，开展粮食等作物高产创建。</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开展农业新技术推广、示范。</w:t>
            </w:r>
            <w:r>
              <w:rPr>
                <w:rFonts w:ascii="仿宋" w:hAnsi="仿宋" w:eastAsia="仿宋" w:cs="仿宋"/>
                <w:sz w:val="32"/>
                <w:szCs w:val="32"/>
              </w:rPr>
              <w:t>"</w:t>
            </w:r>
            <w:r>
              <w:rPr>
                <w:rFonts w:hint="eastAsia" w:ascii="仿宋" w:hAnsi="仿宋" w:eastAsia="仿宋" w:cs="仿宋"/>
                <w:sz w:val="32"/>
                <w:szCs w:val="32"/>
              </w:rPr>
              <w:t>通过推广优良品种，辐射带动大面积的平衡增产，提高单产水平。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5"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加强土地使用管理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管理土地使用情况管理汇报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2"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土地管理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加强规范土地使用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8"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社会救助政策及管理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承担社会救助体系建设，负责农村居民最低生活保障、五保供养、医疗救助。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7"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农村居民最低生活保障</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负责符合条件的农村居民最低生活保障工作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3"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农村五保供养</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负责农村五保户的分散供养工作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临时生活救助</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负责符合条件的农村居民的临时生活救助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环境保护与治理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承担环境保护和治理环境污染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环境管理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强化区域环境管理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5"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食品安全管理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依法进行食品安全管理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安全生产管理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依法强化安全生产监管，建立安全生产监管台账，打击非法生产企业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96"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预算管理、财务管理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负责镇财政预算管理与执行，负责镇机关收支活动，组织实施镇财务核算及监督工作。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0"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合理安排预算</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按照保工资、保运转的顺序做好预算安排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1"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严格票据管理</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6"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村财镇管、涉农资金</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负责村级财务核算及监督工作，负责涉农资金的落实，负责管理镇国有资产，实施债权债务监督管理。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8"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坚持抽查制度、定期核查、以收定支。</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不定期进村入户抽查涉农资金落实情况。采用按月进行资产核查。坚持以收定支，杜绝举债行为发生。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1"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计划生育</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提供各类生育技术服务，建立利益导向机制，开展出生人口性别比治理以及流动人口计划生育管理等各项工作。落实计生相关法律法规，业务宣传工作。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8"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计划生育奖励扶持政策</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采取奖励、扶助、社会保障等机制，引导家庭和个人打取计划生育措施，提高计划生育家庭发展能力。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76"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计划生育咨询服务、计划生育保健及优生服务</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开展计生宣传教育，政策落实等综合业务工作。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0"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文教卫生</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配合教育、科技、文体、卫生等部门搞好义务教育，普及推广科学技术，丰富农村文化生活，开展全民健身运动，推行和完善新型合作医疗制度，提高参保率，加强农村食品安全监管。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8"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提供公共服务</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搞好义务教育，新型农村合作医疗、食品药品安全监管。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乡村建设</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公共基础设施建设、农村面貌提升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4" w:hRule="atLeast"/>
          <w:jc w:val="center"/>
        </w:trPr>
        <w:tc>
          <w:tcPr>
            <w:tcW w:w="2579" w:type="dxa"/>
            <w:noWrap/>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新农村建设</w:t>
            </w:r>
          </w:p>
        </w:tc>
        <w:tc>
          <w:tcPr>
            <w:tcW w:w="6881" w:type="dxa"/>
            <w:noWrap/>
            <w:vAlign w:val="center"/>
          </w:tcPr>
          <w:p>
            <w:pPr>
              <w:spacing w:line="300" w:lineRule="exact"/>
              <w:rPr>
                <w:rFonts w:ascii="仿宋" w:hAnsi="仿宋" w:eastAsia="仿宋" w:cs="仿宋"/>
                <w:sz w:val="32"/>
                <w:szCs w:val="32"/>
              </w:rPr>
            </w:pPr>
            <w:r>
              <w:rPr>
                <w:rFonts w:hint="eastAsia" w:ascii="仿宋" w:hAnsi="仿宋" w:eastAsia="仿宋" w:cs="仿宋"/>
                <w:sz w:val="32"/>
                <w:szCs w:val="32"/>
              </w:rPr>
              <w:t>完成区域内污水处理、垃圾处理、厕所改造、村庄绿化、危房改造、饮水安全、道路硬化基础设施建设和农村卫生长效机制管理。</w:t>
            </w:r>
          </w:p>
        </w:tc>
      </w:tr>
    </w:tbl>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ascii="仿宋_GB2312" w:hAnsi="Cambria" w:eastAsia="仿宋_GB2312" w:cs="ArialUnicodeMS"/>
                <w:kern w:val="0"/>
                <w:sz w:val="28"/>
                <w:szCs w:val="28"/>
              </w:rPr>
              <w:t>1</w:t>
            </w:r>
          </w:p>
        </w:tc>
        <w:tc>
          <w:tcPr>
            <w:tcW w:w="3485" w:type="dxa"/>
            <w:vAlign w:val="top"/>
          </w:tcPr>
          <w:p>
            <w:pPr>
              <w:tabs>
                <w:tab w:val="left" w:pos="1560"/>
              </w:tabs>
              <w:jc w:val="distribute"/>
              <w:rPr>
                <w:rFonts w:ascii="仿宋_GB2312" w:hAnsi="Calibri" w:eastAsia="仿宋_GB2312" w:cs="ArialUnicodeMS"/>
                <w:kern w:val="0"/>
                <w:sz w:val="28"/>
                <w:szCs w:val="28"/>
              </w:rPr>
            </w:pPr>
            <w:r>
              <w:rPr>
                <w:rFonts w:ascii="????_GBK" w:eastAsia="Times New Roman"/>
                <w:sz w:val="24"/>
              </w:rPr>
              <w:t>石家庄市藁城区常安镇人民政府</w:t>
            </w:r>
          </w:p>
        </w:tc>
        <w:tc>
          <w:tcPr>
            <w:tcW w:w="244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vAlign w:val="top"/>
          </w:tcPr>
          <w:p>
            <w:pPr>
              <w:spacing w:line="560" w:lineRule="exact"/>
              <w:jc w:val="center"/>
              <w:rPr>
                <w:rFonts w:ascii="仿宋_GB2312" w:hAnsi="Calibri" w:eastAsia="仿宋_GB2312" w:cs="ArialUnicodeMS"/>
                <w:kern w:val="0"/>
                <w:sz w:val="28"/>
                <w:szCs w:val="28"/>
              </w:rPr>
            </w:pPr>
            <w:r>
              <w:rPr>
                <w:rFonts w:hint="eastAsia" w:ascii="Calibri" w:hAnsi="Calibri" w:eastAsia="仿宋_GB2312" w:cs="Calibr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ascii="仿宋_GB2312" w:hAnsi="Cambria" w:eastAsia="仿宋_GB2312" w:cs="ArialUnicodeMS"/>
                <w:kern w:val="0"/>
                <w:sz w:val="28"/>
                <w:szCs w:val="28"/>
              </w:rPr>
              <w:t>2</w:t>
            </w:r>
          </w:p>
        </w:tc>
        <w:tc>
          <w:tcPr>
            <w:tcW w:w="3485" w:type="dxa"/>
            <w:vAlign w:val="top"/>
          </w:tcPr>
          <w:p>
            <w:pPr>
              <w:jc w:val="center"/>
              <w:rPr>
                <w:rFonts w:ascii="仿宋_GB2312" w:hAnsi="Calibri" w:eastAsia="仿宋_GB2312" w:cs="ArialUnicodeMS"/>
                <w:kern w:val="0"/>
                <w:sz w:val="28"/>
                <w:szCs w:val="28"/>
              </w:rPr>
            </w:pPr>
            <w:r>
              <w:rPr>
                <w:rFonts w:ascii="????_GBK" w:eastAsia="Times New Roman"/>
                <w:sz w:val="24"/>
              </w:rPr>
              <w:t>藁城区常安镇学区</w:t>
            </w:r>
          </w:p>
        </w:tc>
        <w:tc>
          <w:tcPr>
            <w:tcW w:w="244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财政补助事业单位</w:t>
            </w:r>
          </w:p>
        </w:tc>
        <w:tc>
          <w:tcPr>
            <w:tcW w:w="2665" w:type="dxa"/>
            <w:vAlign w:val="top"/>
          </w:tcPr>
          <w:p>
            <w:pPr>
              <w:spacing w:line="560" w:lineRule="exact"/>
              <w:jc w:val="center"/>
              <w:rPr>
                <w:rFonts w:ascii="仿宋_GB2312" w:hAnsi="Calibri" w:eastAsia="仿宋_GB2312" w:cs="ArialUnicodeMS"/>
                <w:kern w:val="0"/>
                <w:sz w:val="28"/>
                <w:szCs w:val="28"/>
              </w:rPr>
            </w:pPr>
            <w:r>
              <w:rPr>
                <w:rFonts w:hint="eastAsia" w:ascii="Calibri" w:hAnsi="Calibri" w:eastAsia="仿宋_GB2312" w:cs="Calibr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年度收支总计（含结转和结余）</w:t>
      </w:r>
      <w:r>
        <w:rPr>
          <w:rFonts w:ascii="仿宋_GB2312" w:hAnsi="Times New Roman" w:eastAsia="仿宋_GB2312" w:cs="DengXian-Regular"/>
          <w:sz w:val="32"/>
          <w:szCs w:val="32"/>
        </w:rPr>
        <w:t>4394.25</w:t>
      </w:r>
      <w:r>
        <w:rPr>
          <w:rFonts w:hint="eastAsia" w:ascii="仿宋_GB2312" w:hAnsi="Times New Roman" w:eastAsia="仿宋_GB2312" w:cs="DengXian-Regular"/>
          <w:sz w:val="32"/>
          <w:szCs w:val="32"/>
        </w:rPr>
        <w:t>万元。与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年度决算相比，收支各减少</w:t>
      </w:r>
      <w:r>
        <w:rPr>
          <w:rFonts w:ascii="仿宋_GB2312" w:hAnsi="Times New Roman" w:eastAsia="仿宋_GB2312" w:cs="DengXian-Regular"/>
          <w:sz w:val="32"/>
          <w:szCs w:val="32"/>
        </w:rPr>
        <w:t>1674</w:t>
      </w:r>
      <w:r>
        <w:rPr>
          <w:rFonts w:hint="eastAsia" w:ascii="仿宋_GB2312" w:hAnsi="Times New Roman" w:eastAsia="仿宋_GB2312" w:cs="DengXian-Regular"/>
          <w:sz w:val="32"/>
          <w:szCs w:val="32"/>
        </w:rPr>
        <w:t>万元，减少</w:t>
      </w:r>
      <w:r>
        <w:rPr>
          <w:rFonts w:ascii="仿宋_GB2312" w:hAnsi="Times New Roman" w:eastAsia="仿宋_GB2312" w:cs="DengXian-Regular"/>
          <w:sz w:val="32"/>
          <w:szCs w:val="32"/>
        </w:rPr>
        <w:t>27.59%</w:t>
      </w:r>
      <w:r>
        <w:rPr>
          <w:rFonts w:hint="eastAsia" w:ascii="仿宋_GB2312" w:hAnsi="Times New Roman" w:eastAsia="仿宋_GB2312" w:cs="DengXian-Regular"/>
          <w:sz w:val="32"/>
          <w:szCs w:val="32"/>
        </w:rPr>
        <w:t>，主要原因是</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年厉行节约，降低开支，人员经费减少。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年度本年收入合计</w:t>
      </w:r>
      <w:r>
        <w:rPr>
          <w:rFonts w:ascii="仿宋_GB2312" w:hAnsi="Times New Roman" w:eastAsia="仿宋_GB2312" w:cs="DengXian-Regular"/>
          <w:sz w:val="32"/>
          <w:szCs w:val="32"/>
        </w:rPr>
        <w:t>4394.25</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4394.25</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r>
        <w:rPr>
          <w:rFonts w:ascii="宋体" w:hAnsi="宋体"/>
          <w:sz w:val="32"/>
          <w:szCs w:val="32"/>
        </w:rPr>
        <w:drawing>
          <wp:anchor distT="0" distB="0" distL="114300" distR="114300" simplePos="0" relativeHeight="251693056" behindDoc="0" locked="0" layoutInCell="1" allowOverlap="1">
            <wp:simplePos x="0" y="0"/>
            <wp:positionH relativeFrom="column">
              <wp:posOffset>867410</wp:posOffset>
            </wp:positionH>
            <wp:positionV relativeFrom="paragraph">
              <wp:posOffset>44450</wp:posOffset>
            </wp:positionV>
            <wp:extent cx="3771900" cy="2667000"/>
            <wp:effectExtent l="0" t="0" r="0" b="0"/>
            <wp:wrapNone/>
            <wp:docPr id="28" name="图片 2"/>
            <wp:cNvGraphicFramePr/>
            <a:graphic xmlns:a="http://schemas.openxmlformats.org/drawingml/2006/main">
              <a:graphicData uri="http://schemas.openxmlformats.org/drawingml/2006/picture">
                <pic:pic xmlns:pic="http://schemas.openxmlformats.org/drawingml/2006/picture">
                  <pic:nvPicPr>
                    <pic:cNvPr id="28" name="图片 2"/>
                    <pic:cNvPicPr/>
                  </pic:nvPicPr>
                  <pic:blipFill>
                    <a:blip r:embed="rId29"/>
                    <a:stretch>
                      <a:fillRect/>
                    </a:stretch>
                  </pic:blipFill>
                  <pic:spPr>
                    <a:xfrm>
                      <a:off x="0" y="0"/>
                      <a:ext cx="3771900" cy="2667000"/>
                    </a:xfrm>
                    <a:prstGeom prst="rect">
                      <a:avLst/>
                    </a:prstGeom>
                    <a:noFill/>
                    <a:ln>
                      <a:noFill/>
                    </a:ln>
                  </pic:spPr>
                </pic:pic>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年度本年支出合计</w:t>
      </w:r>
      <w:r>
        <w:rPr>
          <w:rFonts w:ascii="仿宋_GB2312" w:hAnsi="Times New Roman" w:eastAsia="仿宋_GB2312" w:cs="DengXian-Regular"/>
          <w:sz w:val="32"/>
          <w:szCs w:val="32"/>
        </w:rPr>
        <w:t>4324.25</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4203.32</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97.2%</w:t>
      </w:r>
      <w:r>
        <w:rPr>
          <w:rFonts w:hint="eastAsia" w:ascii="仿宋_GB2312" w:hAnsi="Times New Roman" w:eastAsia="仿宋_GB2312" w:cs="DengXian-Regular"/>
          <w:sz w:val="32"/>
          <w:szCs w:val="32"/>
        </w:rPr>
        <w:t>；项目支出</w:t>
      </w:r>
      <w:r>
        <w:rPr>
          <w:rFonts w:ascii="仿宋_GB2312" w:hAnsi="Times New Roman" w:eastAsia="仿宋_GB2312" w:cs="DengXian-Regular"/>
          <w:sz w:val="32"/>
          <w:szCs w:val="32"/>
        </w:rPr>
        <w:t>120.93</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2.8%</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94080" behindDoc="0" locked="0" layoutInCell="1" allowOverlap="1">
            <wp:simplePos x="0" y="0"/>
            <wp:positionH relativeFrom="column">
              <wp:posOffset>626110</wp:posOffset>
            </wp:positionH>
            <wp:positionV relativeFrom="paragraph">
              <wp:posOffset>-145415</wp:posOffset>
            </wp:positionV>
            <wp:extent cx="3764915" cy="2259330"/>
            <wp:effectExtent l="4445" t="4445" r="21590" b="22225"/>
            <wp:wrapNone/>
            <wp:docPr id="32" name="图表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年度形成的财政拨款收支均为一般公共预算财政拨款，其中本年收入</w:t>
      </w:r>
      <w:r>
        <w:rPr>
          <w:rFonts w:ascii="仿宋_GB2312" w:hAnsi="Times New Roman" w:eastAsia="仿宋_GB2312" w:cs="DengXian-Regular"/>
          <w:sz w:val="32"/>
          <w:szCs w:val="32"/>
        </w:rPr>
        <w:t>4394.25</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年度减少</w:t>
      </w:r>
      <w:r>
        <w:rPr>
          <w:rFonts w:ascii="仿宋_GB2312" w:hAnsi="Times New Roman" w:eastAsia="仿宋_GB2312" w:cs="DengXian-Regular"/>
          <w:sz w:val="32"/>
          <w:szCs w:val="32"/>
        </w:rPr>
        <w:t>1674</w:t>
      </w:r>
      <w:r>
        <w:rPr>
          <w:rFonts w:hint="eastAsia" w:ascii="仿宋_GB2312" w:hAnsi="Times New Roman" w:eastAsia="仿宋_GB2312" w:cs="DengXian-Regular"/>
          <w:sz w:val="32"/>
          <w:szCs w:val="32"/>
        </w:rPr>
        <w:t>万元，减少</w:t>
      </w:r>
      <w:r>
        <w:rPr>
          <w:rFonts w:ascii="仿宋_GB2312" w:hAnsi="Times New Roman" w:eastAsia="仿宋_GB2312" w:cs="DengXian-Regular"/>
          <w:sz w:val="32"/>
          <w:szCs w:val="32"/>
        </w:rPr>
        <w:t>27.59%</w:t>
      </w:r>
      <w:r>
        <w:rPr>
          <w:rFonts w:hint="eastAsia" w:ascii="仿宋_GB2312" w:hAnsi="Times New Roman" w:eastAsia="仿宋_GB2312" w:cs="DengXian-Regular"/>
          <w:sz w:val="32"/>
          <w:szCs w:val="32"/>
        </w:rPr>
        <w:t>，主要是厉行节约，降低开支，人员经费减少。</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5104" behindDoc="0" locked="0" layoutInCell="1" allowOverlap="1">
            <wp:simplePos x="0" y="0"/>
            <wp:positionH relativeFrom="column">
              <wp:posOffset>638175</wp:posOffset>
            </wp:positionH>
            <wp:positionV relativeFrom="paragraph">
              <wp:posOffset>142240</wp:posOffset>
            </wp:positionV>
            <wp:extent cx="3865245" cy="2147570"/>
            <wp:effectExtent l="4445" t="4445" r="16510" b="19685"/>
            <wp:wrapNone/>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年度一般公共预算财政拨款收入</w:t>
      </w:r>
      <w:r>
        <w:rPr>
          <w:rFonts w:ascii="仿宋_GB2312" w:hAnsi="Times New Roman" w:eastAsia="仿宋_GB2312" w:cs="DengXian-Regular"/>
          <w:sz w:val="32"/>
          <w:szCs w:val="32"/>
        </w:rPr>
        <w:t>4394.25</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91.93%,</w:t>
      </w:r>
      <w:r>
        <w:rPr>
          <w:rFonts w:hint="eastAsia" w:ascii="仿宋_GB2312" w:hAnsi="Times New Roman" w:eastAsia="仿宋_GB2312" w:cs="DengXian-Regular"/>
          <w:sz w:val="32"/>
          <w:szCs w:val="32"/>
        </w:rPr>
        <w:t>比年初预算减少</w:t>
      </w:r>
      <w:r>
        <w:rPr>
          <w:rFonts w:ascii="仿宋_GB2312" w:hAnsi="Times New Roman" w:eastAsia="仿宋_GB2312" w:cs="DengXian-Regular"/>
          <w:sz w:val="32"/>
          <w:szCs w:val="32"/>
        </w:rPr>
        <w:t>385.73</w:t>
      </w:r>
      <w:r>
        <w:rPr>
          <w:rFonts w:hint="eastAsia" w:ascii="仿宋_GB2312" w:hAnsi="Times New Roman" w:eastAsia="仿宋_GB2312" w:cs="DengXian-Regular"/>
          <w:sz w:val="32"/>
          <w:szCs w:val="32"/>
        </w:rPr>
        <w:t>万元，决算数小于预算数主要原因是厉行节约，节省开支。</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6128" behindDoc="0" locked="0" layoutInCell="1" allowOverlap="1">
            <wp:simplePos x="0" y="0"/>
            <wp:positionH relativeFrom="column">
              <wp:posOffset>762000</wp:posOffset>
            </wp:positionH>
            <wp:positionV relativeFrom="paragraph">
              <wp:posOffset>90805</wp:posOffset>
            </wp:positionV>
            <wp:extent cx="3926840" cy="2194560"/>
            <wp:effectExtent l="4445" t="4445" r="12065" b="10795"/>
            <wp:wrapNone/>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ascii="仿宋_GB2312" w:hAnsi="Times New Roman" w:eastAsia="仿宋_GB2312" w:cs="DengXian-Regular"/>
          <w:sz w:val="32"/>
          <w:szCs w:val="32"/>
        </w:rPr>
        <w:t xml:space="preserve">2019 </w:t>
      </w:r>
      <w:r>
        <w:rPr>
          <w:rFonts w:hint="eastAsia" w:ascii="仿宋_GB2312" w:hAnsi="Times New Roman" w:eastAsia="仿宋_GB2312" w:cs="DengXian-Regular"/>
          <w:sz w:val="32"/>
          <w:szCs w:val="32"/>
        </w:rPr>
        <w:t>年度财政拨款支出</w:t>
      </w:r>
      <w:r>
        <w:rPr>
          <w:rFonts w:ascii="仿宋_GB2312" w:hAnsi="Times New Roman" w:eastAsia="仿宋_GB2312" w:cs="DengXian-Regular"/>
          <w:sz w:val="32"/>
          <w:szCs w:val="32"/>
        </w:rPr>
        <w:t>4324.25</w:t>
      </w:r>
      <w:r>
        <w:rPr>
          <w:rFonts w:hint="eastAsia" w:ascii="仿宋_GB2312" w:hAnsi="Times New Roman" w:eastAsia="仿宋_GB2312" w:cs="DengXian-Regular"/>
          <w:sz w:val="32"/>
          <w:szCs w:val="32"/>
        </w:rPr>
        <w:t>万元，主要用于以下方面：一般公共服务支出</w:t>
      </w:r>
      <w:r>
        <w:rPr>
          <w:rFonts w:ascii="仿宋_GB2312" w:hAnsi="Times New Roman" w:eastAsia="仿宋_GB2312" w:cs="DengXian-Regular"/>
          <w:sz w:val="32"/>
          <w:szCs w:val="32"/>
        </w:rPr>
        <w:t>842.6</w:t>
      </w:r>
      <w:r>
        <w:rPr>
          <w:rFonts w:hint="eastAsia" w:ascii="仿宋_GB2312" w:hAnsi="Times New Roman" w:eastAsia="仿宋_GB2312" w:cs="DengXian-Regular"/>
          <w:sz w:val="32"/>
          <w:szCs w:val="32"/>
        </w:rPr>
        <w:t>万元，占比</w:t>
      </w:r>
      <w:r>
        <w:rPr>
          <w:rFonts w:ascii="仿宋_GB2312" w:hAnsi="Times New Roman" w:eastAsia="仿宋_GB2312" w:cs="DengXian-Regular"/>
          <w:sz w:val="32"/>
          <w:szCs w:val="32"/>
        </w:rPr>
        <w:t>19.48%</w:t>
      </w:r>
      <w:r>
        <w:rPr>
          <w:rFonts w:hint="eastAsia" w:ascii="仿宋_GB2312" w:hAnsi="Times New Roman" w:eastAsia="仿宋_GB2312" w:cs="DengXian-Regular"/>
          <w:sz w:val="32"/>
          <w:szCs w:val="32"/>
        </w:rPr>
        <w:t>、教育支出</w:t>
      </w:r>
      <w:r>
        <w:rPr>
          <w:rFonts w:ascii="仿宋_GB2312" w:hAnsi="Times New Roman" w:eastAsia="仿宋_GB2312" w:cs="DengXian-Regular"/>
          <w:sz w:val="32"/>
          <w:szCs w:val="32"/>
        </w:rPr>
        <w:t>3481.6</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万元，占比</w:t>
      </w:r>
      <w:r>
        <w:rPr>
          <w:rFonts w:ascii="仿宋_GB2312" w:hAnsi="Times New Roman" w:eastAsia="仿宋_GB2312" w:cs="DengXian-Regular"/>
          <w:sz w:val="32"/>
          <w:szCs w:val="32"/>
        </w:rPr>
        <w:t>80.52%</w:t>
      </w:r>
      <w:r>
        <w:rPr>
          <w:rFonts w:hint="eastAsia" w:ascii="仿宋_GB2312" w:hAnsi="Times New Roman" w:eastAsia="仿宋_GB2312" w:cs="DengXian-Regular"/>
          <w:sz w:val="32"/>
          <w:szCs w:val="32"/>
          <w:lang w:eastAsia="zh-CN"/>
        </w:rPr>
        <w:t>。</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97152" behindDoc="0" locked="0" layoutInCell="1" allowOverlap="1">
            <wp:simplePos x="0" y="0"/>
            <wp:positionH relativeFrom="column">
              <wp:posOffset>635000</wp:posOffset>
            </wp:positionH>
            <wp:positionV relativeFrom="paragraph">
              <wp:posOffset>218440</wp:posOffset>
            </wp:positionV>
            <wp:extent cx="3905885" cy="2418080"/>
            <wp:effectExtent l="4445" t="5080" r="13970" b="15240"/>
            <wp:wrapNone/>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keepNext/>
        <w:keepLines/>
        <w:snapToGrid w:val="0"/>
        <w:spacing w:line="580" w:lineRule="exact"/>
        <w:ind w:firstLine="640" w:firstLineChars="200"/>
        <w:outlineLvl w:val="1"/>
        <w:rPr>
          <w:rFonts w:ascii="黑体" w:hAnsi="Calibri" w:eastAsia="黑体" w:cs="Times New Roman"/>
          <w:sz w:val="32"/>
          <w:szCs w:val="32"/>
        </w:rPr>
      </w:pPr>
      <w:r>
        <w:rPr>
          <w:rFonts w:ascii="仿宋_GB2312" w:hAnsi="Times New Roman" w:eastAsia="仿宋_GB2312" w:cs="DengXian-Regular"/>
          <w:sz w:val="32"/>
          <w:szCs w:val="32"/>
        </w:rPr>
        <w:t xml:space="preserve">2019 </w:t>
      </w:r>
      <w:r>
        <w:rPr>
          <w:rFonts w:hint="eastAsia" w:ascii="仿宋_GB2312" w:hAnsi="Times New Roman" w:eastAsia="仿宋_GB2312" w:cs="DengXian-Regular"/>
          <w:sz w:val="32"/>
          <w:szCs w:val="32"/>
        </w:rPr>
        <w:t>年度财政拨款基本支出</w:t>
      </w:r>
      <w:r>
        <w:rPr>
          <w:rFonts w:ascii="仿宋_GB2312" w:hAnsi="Times New Roman" w:eastAsia="仿宋_GB2312" w:cs="DengXian-Regular"/>
          <w:sz w:val="32"/>
          <w:szCs w:val="32"/>
        </w:rPr>
        <w:t>4203.32</w:t>
      </w:r>
      <w:r>
        <w:rPr>
          <w:rFonts w:hint="eastAsia" w:ascii="仿宋_GB2312" w:hAnsi="Times New Roman" w:eastAsia="仿宋_GB2312" w:cs="DengXian-Regular"/>
          <w:sz w:val="32"/>
          <w:szCs w:val="32"/>
        </w:rPr>
        <w:t>万元，其中：人员经费</w:t>
      </w:r>
      <w:r>
        <w:rPr>
          <w:rFonts w:ascii="仿宋_GB2312" w:hAnsi="Times New Roman" w:eastAsia="仿宋_GB2312" w:cs="DengXian-Regular"/>
          <w:sz w:val="32"/>
          <w:szCs w:val="32"/>
        </w:rPr>
        <w:t>4027.79</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hAnsi="Times New Roman" w:eastAsia="仿宋_GB2312" w:cs="DengXian-Regular"/>
          <w:sz w:val="32"/>
          <w:szCs w:val="32"/>
        </w:rPr>
        <w:t>175.5</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年度“三公”经费支出共计</w:t>
      </w:r>
      <w:r>
        <w:rPr>
          <w:rFonts w:ascii="仿宋_GB2312" w:hAnsi="Times New Roman" w:eastAsia="仿宋_GB2312" w:cs="DengXian-Regular"/>
          <w:sz w:val="32"/>
          <w:szCs w:val="32"/>
        </w:rPr>
        <w:t>2.1</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万元，完成预算的</w:t>
      </w:r>
      <w:r>
        <w:rPr>
          <w:rFonts w:ascii="仿宋_GB2312" w:hAnsi="Times New Roman" w:eastAsia="仿宋_GB2312" w:cs="DengXian-Regular"/>
          <w:sz w:val="32"/>
          <w:szCs w:val="32"/>
        </w:rPr>
        <w:t>41.</w:t>
      </w:r>
      <w:r>
        <w:rPr>
          <w:rFonts w:hint="eastAsia" w:ascii="仿宋_GB2312" w:hAnsi="Times New Roman" w:eastAsia="仿宋_GB2312" w:cs="DengXian-Regular"/>
          <w:sz w:val="32"/>
          <w:szCs w:val="32"/>
          <w:lang w:val="en-US" w:eastAsia="zh-CN"/>
        </w:rPr>
        <w:t>73</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较预算减少</w:t>
      </w:r>
      <w:r>
        <w:rPr>
          <w:rFonts w:ascii="仿宋_GB2312" w:hAnsi="Times New Roman" w:eastAsia="仿宋_GB2312" w:cs="DengXian-Regular"/>
          <w:sz w:val="32"/>
          <w:szCs w:val="32"/>
        </w:rPr>
        <w:t>3.0</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58.</w:t>
      </w:r>
      <w:r>
        <w:rPr>
          <w:rFonts w:hint="eastAsia" w:ascii="仿宋_GB2312" w:hAnsi="Times New Roman" w:eastAsia="仿宋_GB2312" w:cs="DengXian-Regular"/>
          <w:sz w:val="32"/>
          <w:szCs w:val="32"/>
          <w:lang w:val="en-US" w:eastAsia="zh-CN"/>
        </w:rPr>
        <w:t>27</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，主要是认真贯彻落实中央八项规定精神和厉行节约要求，全年实际支出比预算有所节约；较</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年度减少</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lang w:val="en-US" w:eastAsia="zh-CN"/>
        </w:rPr>
        <w:t>19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减少50.23%</w:t>
      </w:r>
      <w:r>
        <w:rPr>
          <w:rFonts w:hint="eastAsia" w:ascii="仿宋_GB2312" w:hAnsi="Times New Roman" w:eastAsia="仿宋_GB2312" w:cs="DengXian-Regular"/>
          <w:sz w:val="32"/>
          <w:szCs w:val="32"/>
        </w:rPr>
        <w:t>，主要是从严控制“三公”经费开支，具体情况如下：</w:t>
      </w:r>
    </w:p>
    <w:p>
      <w:pPr>
        <w:numPr>
          <w:ilvl w:val="0"/>
          <w:numId w:val="2"/>
        </w:num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因公出国（境）费支出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增加0%，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增加0%，</w:t>
      </w:r>
      <w:r>
        <w:rPr>
          <w:rFonts w:hint="eastAsia" w:ascii="仿宋_GB2312" w:hAnsi="Times New Roman" w:eastAsia="仿宋_GB2312" w:cs="DengXian-Regular"/>
          <w:sz w:val="32"/>
          <w:szCs w:val="32"/>
        </w:rPr>
        <w:t>主要是从严控制“三公”经费开支。</w:t>
      </w:r>
    </w:p>
    <w:p>
      <w:pPr>
        <w:numPr>
          <w:ilvl w:val="0"/>
          <w:numId w:val="2"/>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公务用车购置及运行维护费支出</w:t>
      </w:r>
      <w:r>
        <w:rPr>
          <w:rFonts w:ascii="楷体_GB2312" w:hAnsi="Times New Roman" w:eastAsia="楷体_GB2312" w:cs="DengXian-Bold"/>
          <w:b/>
          <w:bCs/>
          <w:sz w:val="32"/>
          <w:szCs w:val="32"/>
        </w:rPr>
        <w:t>2.1</w:t>
      </w:r>
      <w:r>
        <w:rPr>
          <w:rFonts w:hint="eastAsia" w:ascii="楷体_GB2312" w:hAnsi="Times New Roman" w:eastAsia="楷体_GB2312" w:cs="DengXian-Bold"/>
          <w:b/>
          <w:bCs/>
          <w:sz w:val="32"/>
          <w:szCs w:val="32"/>
          <w:lang w:val="en-US" w:eastAsia="zh-CN"/>
        </w:rPr>
        <w:t>7</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年度公务用车购置及运行维护费较预算减少</w:t>
      </w:r>
      <w:r>
        <w:rPr>
          <w:rFonts w:ascii="仿宋_GB2312" w:hAnsi="Times New Roman" w:eastAsia="仿宋_GB2312" w:cs="DengXian-Regular"/>
          <w:sz w:val="32"/>
          <w:szCs w:val="32"/>
        </w:rPr>
        <w:t>2.2</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50.68</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主要是认真贯彻落实中央八项规定精神和厉行节约要求，全年实际支出比预算有所节约；较上年减少</w:t>
      </w:r>
      <w:r>
        <w:rPr>
          <w:rFonts w:ascii="仿宋_GB2312" w:hAnsi="Times New Roman" w:eastAsia="仿宋_GB2312" w:cs="DengXian-Regular"/>
          <w:sz w:val="32"/>
          <w:szCs w:val="32"/>
        </w:rPr>
        <w:t>2.19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减少50.23%，</w:t>
      </w:r>
      <w:r>
        <w:rPr>
          <w:rFonts w:hint="eastAsia" w:ascii="仿宋_GB2312" w:hAnsi="Times New Roman" w:eastAsia="仿宋_GB2312" w:cs="DengXian-Regular"/>
          <w:sz w:val="32"/>
          <w:szCs w:val="32"/>
        </w:rPr>
        <w:t>主要是从严控制“三公”经费开支。</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年度公务用车购置量</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辆，发生“公务用车购置”经费支出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万元。公务用车购置费支出较年初预算持平、与</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年度决算支出持平</w:t>
      </w:r>
      <w:bookmarkStart w:id="0" w:name="_GoBack"/>
      <w:bookmarkEnd w:id="0"/>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年度单位公务用车保有量</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2.23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50.68</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主要是认真贯彻落实中央八项规定精神和厉行节约要求，全年实际支出比预算有所节约；较上年减少</w:t>
      </w:r>
      <w:r>
        <w:rPr>
          <w:rFonts w:hint="eastAsia" w:ascii="仿宋_GB2312" w:hAnsi="Times New Roman" w:eastAsia="仿宋_GB2312" w:cs="DengXian-Regular"/>
          <w:sz w:val="32"/>
          <w:szCs w:val="32"/>
          <w:lang w:val="en-US" w:eastAsia="zh-CN"/>
        </w:rPr>
        <w:t>2.19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减少50.23%，</w:t>
      </w:r>
      <w:r>
        <w:rPr>
          <w:rFonts w:hint="eastAsia" w:ascii="仿宋_GB2312" w:hAnsi="Times New Roman" w:eastAsia="仿宋_GB2312" w:cs="DengXian-Regular"/>
          <w:sz w:val="32"/>
          <w:szCs w:val="32"/>
        </w:rPr>
        <w:t>主要是从严控制“三公”经费开支。</w:t>
      </w:r>
    </w:p>
    <w:p>
      <w:pPr>
        <w:adjustRightInd w:val="0"/>
        <w:snapToGrid w:val="0"/>
        <w:spacing w:after="0" w:afterLines="0"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（三）公务接待费支出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年度公务接待共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批次、</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人次。公务接待费支出较年初预算数</w:t>
      </w:r>
      <w:r>
        <w:rPr>
          <w:rFonts w:hint="eastAsia" w:ascii="仿宋_GB2312" w:hAnsi="Times New Roman" w:eastAsia="仿宋_GB2312" w:cs="DengXian-Regular"/>
          <w:sz w:val="32"/>
          <w:szCs w:val="32"/>
          <w:lang w:val="en-US" w:eastAsia="zh-CN"/>
        </w:rPr>
        <w:t>减少0.8万元，减少100%，</w:t>
      </w:r>
      <w:r>
        <w:rPr>
          <w:rFonts w:hint="eastAsia" w:ascii="仿宋_GB2312" w:eastAsia="仿宋_GB2312" w:cs="DengXian-Regular"/>
          <w:sz w:val="32"/>
          <w:szCs w:val="32"/>
        </w:rPr>
        <w:t>主要是</w:t>
      </w:r>
      <w:r>
        <w:rPr>
          <w:rFonts w:hint="eastAsia" w:ascii="Calibri" w:hAnsi="Calibri" w:eastAsia="仿宋_GB2312" w:cs="Calibri"/>
          <w:sz w:val="32"/>
          <w:szCs w:val="32"/>
        </w:rPr>
        <w:t>从严落实公务接待相关规定，</w:t>
      </w:r>
      <w:r>
        <w:rPr>
          <w:rFonts w:hint="eastAsia" w:ascii="仿宋" w:hAnsi="仿宋" w:eastAsia="仿宋" w:cs="微软雅黑"/>
          <w:sz w:val="32"/>
          <w:szCs w:val="32"/>
        </w:rPr>
        <w:t>压缩费用支出</w:t>
      </w:r>
      <w:r>
        <w:rPr>
          <w:rFonts w:hint="eastAsia" w:ascii="仿宋" w:hAnsi="仿宋" w:eastAsia="仿宋" w:cs="微软雅黑"/>
          <w:sz w:val="32"/>
          <w:szCs w:val="32"/>
          <w:lang w:eastAsia="zh-CN"/>
        </w:rPr>
        <w:t>；</w:t>
      </w:r>
      <w:r>
        <w:rPr>
          <w:rFonts w:hint="eastAsia" w:ascii="仿宋_GB2312" w:hAnsi="Times New Roman" w:eastAsia="仿宋_GB2312" w:cs="DengXian-Regular"/>
          <w:sz w:val="32"/>
          <w:szCs w:val="32"/>
        </w:rPr>
        <w:t>较上年度决算支出数持平</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年度一般公共预算项目支出全面开展绩效自评，其中，一级项目</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个，二级项目</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个，共涉及资金</w:t>
      </w:r>
      <w:r>
        <w:rPr>
          <w:rFonts w:ascii="仿宋_GB2312" w:hAnsi="仿宋_GB2312" w:eastAsia="仿宋_GB2312" w:cs="仿宋_GB2312"/>
          <w:sz w:val="32"/>
          <w:szCs w:val="32"/>
        </w:rPr>
        <w:t>120.93</w:t>
      </w:r>
      <w:r>
        <w:rPr>
          <w:rFonts w:hint="eastAsia" w:ascii="仿宋_GB2312" w:hAnsi="仿宋_GB2312" w:eastAsia="仿宋_GB2312" w:cs="仿宋_GB2312"/>
          <w:sz w:val="32"/>
          <w:szCs w:val="32"/>
        </w:rPr>
        <w:t>万元，占一般公共预算项目支出总额的</w:t>
      </w:r>
      <w:r>
        <w:rPr>
          <w:rFonts w:ascii="仿宋_GB2312" w:hAnsi="仿宋_GB2312" w:eastAsia="仿宋_GB2312" w:cs="仿宋_GB2312"/>
          <w:sz w:val="32"/>
          <w:szCs w:val="32"/>
        </w:rPr>
        <w:t>37.35%</w:t>
      </w:r>
      <w:r>
        <w:rPr>
          <w:rFonts w:hint="eastAsia" w:ascii="仿宋_GB2312" w:hAnsi="仿宋_GB2312" w:eastAsia="仿宋_GB2312" w:cs="仿宋_GB2312"/>
          <w:sz w:val="32"/>
          <w:szCs w:val="32"/>
        </w:rPr>
        <w:t>。组织对“政府学区工会费”“综合经费”等</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个项目开展了部门评价，涉及一般公共预算支出</w:t>
      </w:r>
      <w:r>
        <w:rPr>
          <w:rFonts w:ascii="仿宋_GB2312" w:hAnsi="仿宋_GB2312" w:eastAsia="仿宋_GB2312" w:cs="仿宋_GB2312"/>
          <w:sz w:val="32"/>
          <w:szCs w:val="32"/>
        </w:rPr>
        <w:t>120.93</w:t>
      </w:r>
      <w:r>
        <w:rPr>
          <w:rFonts w:hint="eastAsia" w:ascii="仿宋_GB2312" w:hAnsi="仿宋_GB2312" w:eastAsia="仿宋_GB2312" w:cs="仿宋_GB2312"/>
          <w:sz w:val="32"/>
          <w:szCs w:val="32"/>
        </w:rPr>
        <w:t>万元，政府性基金预算支出</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万元。从评价情况来看，本单位对部门全面规范绩效预算编制、严格预算执行管理、推进绩效评价工作等方面进行了自评，考核结果为优秀。根据预算绩效管理要求，本单位组织对</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年度一般公共预算项目支出全面开展绩效自评，涉及政府学区工会费、综合经费等</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个项目，涉及资金</w:t>
      </w:r>
      <w:r>
        <w:rPr>
          <w:rFonts w:ascii="仿宋_GB2312" w:hAnsi="仿宋_GB2312" w:eastAsia="仿宋_GB2312" w:cs="仿宋_GB2312"/>
          <w:sz w:val="32"/>
          <w:szCs w:val="32"/>
        </w:rPr>
        <w:t>120.93</w:t>
      </w:r>
      <w:r>
        <w:rPr>
          <w:rFonts w:hint="eastAsia" w:ascii="仿宋_GB2312" w:hAnsi="仿宋_GB2312" w:eastAsia="仿宋_GB2312" w:cs="仿宋_GB2312"/>
          <w:sz w:val="32"/>
          <w:szCs w:val="32"/>
        </w:rPr>
        <w:t>万元。自评总体情况良好</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总体来看，我单位不断强化依法理财、科学理财的意识，以绩效为导向，预算支出管理较为规范，能按照有关规章制度开展工作；重大支出项目立项规范，资金到位及时，资金使用较合理规范，实现了部门职责绩效目标。</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“政府学区工会费”、“综合经费”项目等</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个项目绩效自评结果。</w:t>
      </w:r>
    </w:p>
    <w:p>
      <w:pPr>
        <w:numPr>
          <w:ilvl w:val="0"/>
          <w:numId w:val="3"/>
        </w:numPr>
        <w:adjustRightInd w:val="0"/>
        <w:snapToGrid w:val="0"/>
        <w:spacing w:line="620" w:lineRule="exact"/>
        <w:ind w:firstLine="640" w:firstLineChars="200"/>
        <w:rPr>
          <w:rFonts w:hint="eastAsia" w:ascii="仿宋_GB2312" w:hAnsi="仿宋" w:eastAsia="仿宋_GB2312"/>
          <w:sz w:val="32"/>
          <w:szCs w:val="32"/>
        </w:rPr>
      </w:pPr>
      <w:r>
        <w:rPr>
          <w:rFonts w:hint="eastAsia" w:ascii="仿宋_GB2312" w:hAnsi="仿宋_GB2312" w:eastAsia="仿宋_GB2312" w:cs="仿宋_GB2312"/>
          <w:sz w:val="32"/>
          <w:szCs w:val="32"/>
        </w:rPr>
        <w:t>“学区工会费”项目自评综述：根据年初设定的绩效目标，“学区工会费”项目绩效自评得分为</w:t>
      </w:r>
      <w:r>
        <w:rPr>
          <w:rFonts w:ascii="仿宋_GB2312" w:hAnsi="仿宋_GB2312" w:eastAsia="仿宋_GB2312" w:cs="仿宋_GB2312"/>
          <w:sz w:val="32"/>
          <w:szCs w:val="32"/>
        </w:rPr>
        <w:t>92</w:t>
      </w:r>
      <w:r>
        <w:rPr>
          <w:rFonts w:hint="eastAsia" w:ascii="仿宋_GB2312" w:hAnsi="仿宋_GB2312" w:eastAsia="仿宋_GB2312" w:cs="仿宋_GB2312"/>
          <w:sz w:val="32"/>
          <w:szCs w:val="32"/>
        </w:rPr>
        <w:t>分（绩效自评表附后）。全年预算数为</w:t>
      </w:r>
      <w:r>
        <w:rPr>
          <w:rFonts w:ascii="仿宋_GB2312" w:hAnsi="仿宋_GB2312" w:eastAsia="仿宋_GB2312" w:cs="仿宋_GB2312"/>
          <w:sz w:val="32"/>
          <w:szCs w:val="32"/>
        </w:rPr>
        <w:t>18</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18</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。项目绩效目标完成情况：一是</w:t>
      </w:r>
      <w:r>
        <w:rPr>
          <w:rFonts w:hint="eastAsia" w:ascii="仿宋" w:hAnsi="仿宋" w:eastAsia="仿宋"/>
          <w:sz w:val="32"/>
          <w:szCs w:val="32"/>
        </w:rPr>
        <w:t>业务管理情况分析。</w:t>
      </w:r>
      <w:r>
        <w:rPr>
          <w:rFonts w:hint="eastAsia" w:ascii="仿宋_GB2312" w:eastAsia="仿宋_GB2312"/>
          <w:sz w:val="32"/>
          <w:szCs w:val="32"/>
        </w:rPr>
        <w:t>单位组织相关人员对项目实施过程全程管理，有效保证了管理制度健全性、制度执行有效性和项目质量可控性</w:t>
      </w:r>
      <w:r>
        <w:rPr>
          <w:rFonts w:hint="eastAsia" w:ascii="仿宋" w:hAnsi="仿宋" w:eastAsia="仿宋"/>
          <w:sz w:val="32"/>
          <w:szCs w:val="32"/>
        </w:rPr>
        <w:t>。二是财务管理情况，</w:t>
      </w:r>
      <w:r>
        <w:rPr>
          <w:rFonts w:ascii="仿宋_GB2312" w:hAnsi="仿宋" w:eastAsia="仿宋_GB2312"/>
          <w:sz w:val="32"/>
          <w:szCs w:val="32"/>
        </w:rPr>
        <w:t>2019</w:t>
      </w:r>
      <w:r>
        <w:rPr>
          <w:rFonts w:hint="eastAsia" w:ascii="仿宋_GB2312" w:hAnsi="仿宋" w:eastAsia="仿宋_GB2312"/>
          <w:sz w:val="32"/>
          <w:szCs w:val="32"/>
        </w:rPr>
        <w:t>年度石家庄市藁城区常安镇人民政府严格执行财经制度和管理规定，按时完成预算执行进度，严格控制、合理利用各项经费，鼓励合法合规的经费开支，按要求进行预算管理。</w:t>
      </w:r>
    </w:p>
    <w:tbl>
      <w:tblPr>
        <w:tblStyle w:val="7"/>
        <w:tblW w:w="11371" w:type="dxa"/>
        <w:tblInd w:w="93" w:type="dxa"/>
        <w:tblLayout w:type="fixed"/>
        <w:tblCellMar>
          <w:top w:w="0" w:type="dxa"/>
          <w:left w:w="108" w:type="dxa"/>
          <w:bottom w:w="0" w:type="dxa"/>
          <w:right w:w="108" w:type="dxa"/>
        </w:tblCellMar>
      </w:tblPr>
      <w:tblGrid>
        <w:gridCol w:w="1593"/>
        <w:gridCol w:w="1486"/>
        <w:gridCol w:w="997"/>
        <w:gridCol w:w="1604"/>
        <w:gridCol w:w="1286"/>
        <w:gridCol w:w="1575"/>
        <w:gridCol w:w="1276"/>
        <w:gridCol w:w="1554"/>
      </w:tblGrid>
      <w:tr>
        <w:tblPrEx>
          <w:tblCellMar>
            <w:top w:w="0" w:type="dxa"/>
            <w:left w:w="108" w:type="dxa"/>
            <w:bottom w:w="0" w:type="dxa"/>
            <w:right w:w="108" w:type="dxa"/>
          </w:tblCellMar>
        </w:tblPrEx>
        <w:trPr>
          <w:trHeight w:val="624" w:hRule="atLeast"/>
        </w:trPr>
        <w:tc>
          <w:tcPr>
            <w:tcW w:w="11371" w:type="dxa"/>
            <w:gridSpan w:val="8"/>
            <w:vMerge w:val="restart"/>
            <w:tcBorders>
              <w:top w:val="nil"/>
              <w:left w:val="nil"/>
              <w:bottom w:val="nil"/>
              <w:right w:val="nil"/>
            </w:tcBorders>
            <w:noWrap/>
            <w:vAlign w:val="center"/>
          </w:tcPr>
          <w:p>
            <w:pPr>
              <w:jc w:val="center"/>
              <w:rPr>
                <w:rFonts w:ascii="宋体" w:cs="宋体"/>
                <w:b/>
                <w:bCs/>
                <w:color w:val="000000"/>
                <w:sz w:val="36"/>
                <w:szCs w:val="36"/>
              </w:rPr>
            </w:pPr>
            <w:r>
              <w:rPr>
                <w:rFonts w:hint="eastAsia" w:ascii="宋体" w:hAnsi="宋体" w:cs="宋体"/>
                <w:b/>
                <w:bCs/>
                <w:color w:val="000000"/>
                <w:sz w:val="36"/>
                <w:szCs w:val="36"/>
              </w:rPr>
              <w:t>区级部门预算项目绩效自评表</w:t>
            </w:r>
          </w:p>
        </w:tc>
      </w:tr>
      <w:tr>
        <w:tblPrEx>
          <w:tblCellMar>
            <w:top w:w="0" w:type="dxa"/>
            <w:left w:w="108" w:type="dxa"/>
            <w:bottom w:w="0" w:type="dxa"/>
            <w:right w:w="108" w:type="dxa"/>
          </w:tblCellMar>
        </w:tblPrEx>
        <w:trPr>
          <w:trHeight w:val="624" w:hRule="atLeast"/>
        </w:trPr>
        <w:tc>
          <w:tcPr>
            <w:tcW w:w="11371" w:type="dxa"/>
            <w:gridSpan w:val="8"/>
            <w:vMerge w:val="continue"/>
            <w:tcBorders>
              <w:top w:val="nil"/>
              <w:left w:val="nil"/>
              <w:bottom w:val="nil"/>
              <w:right w:val="nil"/>
            </w:tcBorders>
            <w:vAlign w:val="center"/>
          </w:tcPr>
          <w:p>
            <w:pPr>
              <w:rPr>
                <w:rFonts w:ascii="宋体" w:cs="宋体"/>
                <w:b/>
                <w:bCs/>
                <w:color w:val="000000"/>
                <w:sz w:val="36"/>
                <w:szCs w:val="36"/>
              </w:rPr>
            </w:pPr>
          </w:p>
        </w:tc>
      </w:tr>
      <w:tr>
        <w:tblPrEx>
          <w:tblCellMar>
            <w:top w:w="0" w:type="dxa"/>
            <w:left w:w="108" w:type="dxa"/>
            <w:bottom w:w="0" w:type="dxa"/>
            <w:right w:w="108" w:type="dxa"/>
          </w:tblCellMar>
        </w:tblPrEx>
        <w:trPr>
          <w:trHeight w:val="300" w:hRule="atLeast"/>
        </w:trPr>
        <w:tc>
          <w:tcPr>
            <w:tcW w:w="11371" w:type="dxa"/>
            <w:gridSpan w:val="8"/>
            <w:tcBorders>
              <w:top w:val="nil"/>
              <w:left w:val="nil"/>
              <w:bottom w:val="nil"/>
              <w:right w:val="nil"/>
            </w:tcBorders>
            <w:noWrap/>
            <w:vAlign w:val="center"/>
          </w:tcPr>
          <w:p>
            <w:pPr>
              <w:jc w:val="center"/>
              <w:rPr>
                <w:rFonts w:ascii="宋体" w:cs="宋体"/>
                <w:color w:val="000000"/>
                <w:sz w:val="22"/>
              </w:rPr>
            </w:pPr>
            <w:r>
              <w:rPr>
                <w:rFonts w:hint="eastAsia" w:ascii="宋体" w:hAnsi="宋体" w:cs="宋体"/>
                <w:color w:val="000000"/>
                <w:sz w:val="22"/>
              </w:rPr>
              <w:t>（</w:t>
            </w:r>
            <w:r>
              <w:rPr>
                <w:rFonts w:ascii="Times New Roman" w:hAnsi="Times New Roman"/>
                <w:color w:val="000000"/>
                <w:sz w:val="22"/>
              </w:rPr>
              <w:t xml:space="preserve">  2019 </w:t>
            </w:r>
            <w:r>
              <w:rPr>
                <w:rFonts w:hint="eastAsia" w:ascii="宋体" w:hAnsi="宋体" w:cs="宋体"/>
                <w:color w:val="000000"/>
                <w:sz w:val="22"/>
              </w:rPr>
              <w:t>年度）</w:t>
            </w:r>
          </w:p>
        </w:tc>
      </w:tr>
      <w:tr>
        <w:tblPrEx>
          <w:tblCellMar>
            <w:top w:w="0" w:type="dxa"/>
            <w:left w:w="108" w:type="dxa"/>
            <w:bottom w:w="0" w:type="dxa"/>
            <w:right w:w="108" w:type="dxa"/>
          </w:tblCellMar>
        </w:tblPrEx>
        <w:trPr>
          <w:trHeight w:val="270" w:hRule="atLeast"/>
        </w:trPr>
        <w:tc>
          <w:tcPr>
            <w:tcW w:w="1593" w:type="dxa"/>
            <w:tcBorders>
              <w:top w:val="nil"/>
              <w:left w:val="nil"/>
              <w:bottom w:val="nil"/>
              <w:right w:val="nil"/>
            </w:tcBorders>
            <w:noWrap/>
            <w:vAlign w:val="center"/>
          </w:tcPr>
          <w:p>
            <w:pPr>
              <w:rPr>
                <w:rFonts w:ascii="宋体" w:cs="宋体"/>
                <w:color w:val="000000"/>
                <w:sz w:val="22"/>
              </w:rPr>
            </w:pPr>
            <w:r>
              <w:rPr>
                <w:rFonts w:hint="eastAsia" w:ascii="宋体" w:hAnsi="宋体" w:cs="宋体"/>
                <w:color w:val="000000"/>
                <w:sz w:val="22"/>
              </w:rPr>
              <w:t>填报单位：</w:t>
            </w:r>
          </w:p>
        </w:tc>
        <w:tc>
          <w:tcPr>
            <w:tcW w:w="2483" w:type="dxa"/>
            <w:gridSpan w:val="2"/>
            <w:tcBorders>
              <w:top w:val="nil"/>
              <w:left w:val="nil"/>
              <w:bottom w:val="nil"/>
              <w:right w:val="nil"/>
            </w:tcBorders>
            <w:noWrap/>
            <w:vAlign w:val="center"/>
          </w:tcPr>
          <w:p>
            <w:pPr>
              <w:rPr>
                <w:rFonts w:ascii="宋体" w:cs="宋体"/>
                <w:color w:val="000000"/>
                <w:sz w:val="22"/>
              </w:rPr>
            </w:pPr>
            <w:r>
              <w:rPr>
                <w:rFonts w:hint="eastAsia" w:ascii="宋体" w:hAnsi="宋体" w:cs="宋体"/>
                <w:color w:val="000000"/>
                <w:sz w:val="22"/>
              </w:rPr>
              <w:t>常安镇人民政府</w:t>
            </w:r>
          </w:p>
        </w:tc>
        <w:tc>
          <w:tcPr>
            <w:tcW w:w="1604" w:type="dxa"/>
            <w:tcBorders>
              <w:top w:val="nil"/>
              <w:left w:val="nil"/>
              <w:bottom w:val="nil"/>
              <w:right w:val="nil"/>
            </w:tcBorders>
            <w:noWrap/>
            <w:vAlign w:val="center"/>
          </w:tcPr>
          <w:p>
            <w:pPr>
              <w:rPr>
                <w:rFonts w:ascii="宋体" w:cs="宋体"/>
                <w:color w:val="000000"/>
                <w:sz w:val="22"/>
              </w:rPr>
            </w:pPr>
          </w:p>
        </w:tc>
        <w:tc>
          <w:tcPr>
            <w:tcW w:w="1286" w:type="dxa"/>
            <w:tcBorders>
              <w:top w:val="nil"/>
              <w:left w:val="nil"/>
              <w:bottom w:val="nil"/>
              <w:right w:val="nil"/>
            </w:tcBorders>
            <w:noWrap/>
            <w:vAlign w:val="center"/>
          </w:tcPr>
          <w:p>
            <w:pPr>
              <w:rPr>
                <w:rFonts w:ascii="宋体" w:cs="宋体"/>
                <w:color w:val="000000"/>
                <w:sz w:val="22"/>
              </w:rPr>
            </w:pPr>
          </w:p>
        </w:tc>
        <w:tc>
          <w:tcPr>
            <w:tcW w:w="1575" w:type="dxa"/>
            <w:tcBorders>
              <w:top w:val="nil"/>
              <w:left w:val="nil"/>
              <w:bottom w:val="nil"/>
              <w:right w:val="nil"/>
            </w:tcBorders>
            <w:noWrap/>
            <w:vAlign w:val="center"/>
          </w:tcPr>
          <w:p>
            <w:pPr>
              <w:rPr>
                <w:rFonts w:ascii="宋体" w:cs="宋体"/>
                <w:color w:val="000000"/>
                <w:sz w:val="22"/>
              </w:rPr>
            </w:pPr>
          </w:p>
        </w:tc>
        <w:tc>
          <w:tcPr>
            <w:tcW w:w="2830" w:type="dxa"/>
            <w:gridSpan w:val="2"/>
            <w:tcBorders>
              <w:top w:val="nil"/>
              <w:left w:val="nil"/>
              <w:bottom w:val="single" w:color="auto" w:sz="4" w:space="0"/>
              <w:right w:val="nil"/>
            </w:tcBorders>
            <w:noWrap/>
            <w:vAlign w:val="center"/>
          </w:tcPr>
          <w:p>
            <w:pPr>
              <w:jc w:val="right"/>
              <w:rPr>
                <w:rFonts w:ascii="宋体" w:cs="宋体"/>
                <w:color w:val="000000"/>
                <w:sz w:val="22"/>
              </w:rPr>
            </w:pPr>
            <w:r>
              <w:rPr>
                <w:rFonts w:hint="eastAsia" w:ascii="宋体" w:hAnsi="宋体" w:cs="宋体"/>
                <w:color w:val="000000"/>
                <w:sz w:val="22"/>
              </w:rPr>
              <w:t>单位金额：万元</w:t>
            </w:r>
          </w:p>
        </w:tc>
      </w:tr>
      <w:tr>
        <w:tblPrEx>
          <w:tblCellMar>
            <w:top w:w="0" w:type="dxa"/>
            <w:left w:w="108" w:type="dxa"/>
            <w:bottom w:w="0" w:type="dxa"/>
            <w:right w:w="108" w:type="dxa"/>
          </w:tblCellMar>
        </w:tblPrEx>
        <w:trPr>
          <w:trHeight w:val="900" w:hRule="atLeast"/>
        </w:trPr>
        <w:tc>
          <w:tcPr>
            <w:tcW w:w="1593" w:type="dxa"/>
            <w:tcBorders>
              <w:top w:val="single" w:color="auto" w:sz="4" w:space="0"/>
              <w:left w:val="single" w:color="auto" w:sz="4" w:space="0"/>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一、基本情况</w:t>
            </w:r>
          </w:p>
        </w:tc>
        <w:tc>
          <w:tcPr>
            <w:tcW w:w="4087" w:type="dxa"/>
            <w:gridSpan w:val="3"/>
            <w:tcBorders>
              <w:top w:val="single" w:color="auto" w:sz="4" w:space="0"/>
              <w:left w:val="nil"/>
              <w:bottom w:val="single" w:color="auto" w:sz="4" w:space="0"/>
              <w:right w:val="single" w:color="000000" w:sz="4" w:space="0"/>
            </w:tcBorders>
            <w:noWrap/>
            <w:vAlign w:val="center"/>
          </w:tcPr>
          <w:p>
            <w:pPr>
              <w:rPr>
                <w:rFonts w:ascii="宋体" w:cs="宋体"/>
                <w:color w:val="000000"/>
                <w:sz w:val="22"/>
              </w:rPr>
            </w:pPr>
            <w:r>
              <w:rPr>
                <w:rFonts w:eastAsia="Times New Roman"/>
                <w:color w:val="000000"/>
                <w:sz w:val="22"/>
              </w:rPr>
              <w:t>2019</w:t>
            </w:r>
            <w:r>
              <w:rPr>
                <w:rFonts w:hint="eastAsia" w:ascii="宋体" w:hAnsi="宋体" w:cs="宋体"/>
                <w:color w:val="000000"/>
                <w:sz w:val="22"/>
              </w:rPr>
              <w:t>年度常安镇学区工会费</w:t>
            </w:r>
          </w:p>
        </w:tc>
        <w:tc>
          <w:tcPr>
            <w:tcW w:w="1286" w:type="dxa"/>
            <w:tcBorders>
              <w:top w:val="single" w:color="auto" w:sz="4" w:space="0"/>
              <w:left w:val="nil"/>
              <w:bottom w:val="single" w:color="auto" w:sz="4" w:space="0"/>
              <w:right w:val="single" w:color="auto" w:sz="4" w:space="0"/>
            </w:tcBorders>
            <w:vAlign w:val="center"/>
          </w:tcPr>
          <w:p>
            <w:pPr>
              <w:rPr>
                <w:rFonts w:ascii="宋体" w:cs="宋体"/>
                <w:color w:val="000000"/>
                <w:sz w:val="22"/>
              </w:rPr>
            </w:pPr>
            <w:r>
              <w:rPr>
                <w:rFonts w:hint="eastAsia" w:ascii="宋体" w:hAnsi="宋体" w:cs="宋体"/>
                <w:color w:val="000000"/>
                <w:sz w:val="22"/>
              </w:rPr>
              <w:t>实施（主管单位）</w:t>
            </w:r>
          </w:p>
        </w:tc>
        <w:tc>
          <w:tcPr>
            <w:tcW w:w="4405" w:type="dxa"/>
            <w:gridSpan w:val="3"/>
            <w:tcBorders>
              <w:top w:val="single" w:color="auto" w:sz="4" w:space="0"/>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常安镇人民政府</w:t>
            </w:r>
          </w:p>
        </w:tc>
      </w:tr>
      <w:tr>
        <w:tblPrEx>
          <w:tblCellMar>
            <w:top w:w="0" w:type="dxa"/>
            <w:left w:w="108" w:type="dxa"/>
            <w:bottom w:w="0" w:type="dxa"/>
            <w:right w:w="108" w:type="dxa"/>
          </w:tblCellMar>
        </w:tblPrEx>
        <w:trPr>
          <w:trHeight w:val="900" w:hRule="atLeast"/>
        </w:trPr>
        <w:tc>
          <w:tcPr>
            <w:tcW w:w="1593" w:type="dxa"/>
            <w:vMerge w:val="restart"/>
            <w:tcBorders>
              <w:top w:val="nil"/>
              <w:left w:val="single" w:color="auto" w:sz="4" w:space="0"/>
              <w:bottom w:val="single" w:color="auto"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二、预算执行</w:t>
            </w:r>
            <w:r>
              <w:rPr>
                <w:rFonts w:ascii="Times New Roman" w:hAnsi="Times New Roman"/>
                <w:color w:val="000000"/>
                <w:sz w:val="22"/>
              </w:rPr>
              <w:br w:type="textWrapping"/>
            </w:r>
            <w:r>
              <w:rPr>
                <w:rFonts w:hint="eastAsia" w:ascii="宋体" w:hAnsi="宋体" w:cs="宋体"/>
                <w:color w:val="000000"/>
                <w:sz w:val="22"/>
              </w:rPr>
              <w:t>情况</w:t>
            </w:r>
          </w:p>
        </w:tc>
        <w:tc>
          <w:tcPr>
            <w:tcW w:w="2483" w:type="dxa"/>
            <w:gridSpan w:val="2"/>
            <w:tcBorders>
              <w:top w:val="single" w:color="auto" w:sz="4" w:space="0"/>
              <w:left w:val="nil"/>
              <w:bottom w:val="single" w:color="auto" w:sz="4" w:space="0"/>
              <w:right w:val="single" w:color="000000" w:sz="4" w:space="0"/>
            </w:tcBorders>
            <w:noWrap/>
            <w:vAlign w:val="center"/>
          </w:tcPr>
          <w:p>
            <w:pPr>
              <w:jc w:val="center"/>
              <w:rPr>
                <w:rFonts w:ascii="宋体" w:cs="宋体"/>
                <w:color w:val="000000"/>
                <w:sz w:val="22"/>
              </w:rPr>
            </w:pPr>
            <w:r>
              <w:rPr>
                <w:rFonts w:hint="eastAsia" w:ascii="宋体" w:hAnsi="宋体" w:cs="宋体"/>
                <w:color w:val="000000"/>
                <w:sz w:val="22"/>
              </w:rPr>
              <w:t>预算安排情况（调整后）</w:t>
            </w:r>
          </w:p>
        </w:tc>
        <w:tc>
          <w:tcPr>
            <w:tcW w:w="2890" w:type="dxa"/>
            <w:gridSpan w:val="2"/>
            <w:tcBorders>
              <w:top w:val="single" w:color="auto" w:sz="4" w:space="0"/>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资金到位情况</w:t>
            </w:r>
          </w:p>
        </w:tc>
        <w:tc>
          <w:tcPr>
            <w:tcW w:w="2851" w:type="dxa"/>
            <w:gridSpan w:val="2"/>
            <w:tcBorders>
              <w:top w:val="single" w:color="auto" w:sz="4" w:space="0"/>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资金执行情况</w:t>
            </w:r>
          </w:p>
        </w:tc>
        <w:tc>
          <w:tcPr>
            <w:tcW w:w="1554" w:type="dxa"/>
            <w:tcBorders>
              <w:top w:val="nil"/>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预算执行进度</w:t>
            </w:r>
          </w:p>
        </w:tc>
      </w:tr>
      <w:tr>
        <w:tblPrEx>
          <w:tblCellMar>
            <w:top w:w="0" w:type="dxa"/>
            <w:left w:w="108" w:type="dxa"/>
            <w:bottom w:w="0" w:type="dxa"/>
            <w:right w:w="108" w:type="dxa"/>
          </w:tblCellMar>
        </w:tblPrEx>
        <w:trPr>
          <w:trHeight w:val="900" w:hRule="atLeast"/>
        </w:trPr>
        <w:tc>
          <w:tcPr>
            <w:tcW w:w="1593" w:type="dxa"/>
            <w:vMerge w:val="continue"/>
            <w:tcBorders>
              <w:top w:val="nil"/>
              <w:left w:val="single" w:color="auto" w:sz="4" w:space="0"/>
              <w:bottom w:val="single" w:color="auto" w:sz="4" w:space="0"/>
              <w:right w:val="single" w:color="auto" w:sz="4" w:space="0"/>
            </w:tcBorders>
            <w:vAlign w:val="center"/>
          </w:tcPr>
          <w:p>
            <w:pPr>
              <w:rPr>
                <w:rFonts w:ascii="宋体" w:cs="宋体"/>
                <w:color w:val="000000"/>
                <w:sz w:val="22"/>
              </w:rPr>
            </w:pPr>
          </w:p>
        </w:tc>
        <w:tc>
          <w:tcPr>
            <w:tcW w:w="1486" w:type="dxa"/>
            <w:tcBorders>
              <w:top w:val="nil"/>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预算数：</w:t>
            </w:r>
          </w:p>
        </w:tc>
        <w:tc>
          <w:tcPr>
            <w:tcW w:w="997" w:type="dxa"/>
            <w:tcBorders>
              <w:top w:val="nil"/>
              <w:left w:val="nil"/>
              <w:bottom w:val="single" w:color="auto" w:sz="4" w:space="0"/>
              <w:right w:val="single" w:color="auto" w:sz="4" w:space="0"/>
            </w:tcBorders>
            <w:noWrap/>
            <w:vAlign w:val="center"/>
          </w:tcPr>
          <w:p>
            <w:pPr>
              <w:jc w:val="right"/>
              <w:rPr>
                <w:rFonts w:ascii="宋体" w:cs="宋体"/>
                <w:color w:val="000000"/>
                <w:sz w:val="22"/>
              </w:rPr>
            </w:pPr>
            <w:r>
              <w:rPr>
                <w:rFonts w:eastAsia="Times New Roman"/>
                <w:color w:val="000000"/>
                <w:sz w:val="22"/>
              </w:rPr>
              <w:t>18</w:t>
            </w:r>
          </w:p>
        </w:tc>
        <w:tc>
          <w:tcPr>
            <w:tcW w:w="1604" w:type="dxa"/>
            <w:tcBorders>
              <w:top w:val="nil"/>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到位数：</w:t>
            </w:r>
          </w:p>
        </w:tc>
        <w:tc>
          <w:tcPr>
            <w:tcW w:w="1286" w:type="dxa"/>
            <w:tcBorders>
              <w:top w:val="nil"/>
              <w:left w:val="nil"/>
              <w:bottom w:val="single" w:color="auto" w:sz="4" w:space="0"/>
              <w:right w:val="single" w:color="auto" w:sz="4" w:space="0"/>
            </w:tcBorders>
            <w:noWrap/>
            <w:vAlign w:val="center"/>
          </w:tcPr>
          <w:p>
            <w:pPr>
              <w:jc w:val="right"/>
              <w:rPr>
                <w:rFonts w:ascii="宋体" w:cs="宋体"/>
                <w:color w:val="000000"/>
                <w:sz w:val="22"/>
              </w:rPr>
            </w:pPr>
            <w:r>
              <w:rPr>
                <w:rFonts w:eastAsia="Times New Roman"/>
                <w:color w:val="000000"/>
                <w:sz w:val="22"/>
              </w:rPr>
              <w:t>18</w:t>
            </w:r>
          </w:p>
        </w:tc>
        <w:tc>
          <w:tcPr>
            <w:tcW w:w="1575" w:type="dxa"/>
            <w:tcBorders>
              <w:top w:val="nil"/>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执行数：</w:t>
            </w:r>
          </w:p>
        </w:tc>
        <w:tc>
          <w:tcPr>
            <w:tcW w:w="1276" w:type="dxa"/>
            <w:tcBorders>
              <w:top w:val="nil"/>
              <w:left w:val="nil"/>
              <w:bottom w:val="single" w:color="auto" w:sz="4" w:space="0"/>
              <w:right w:val="single" w:color="auto" w:sz="4" w:space="0"/>
            </w:tcBorders>
            <w:noWrap/>
            <w:vAlign w:val="center"/>
          </w:tcPr>
          <w:p>
            <w:pPr>
              <w:jc w:val="right"/>
              <w:rPr>
                <w:rFonts w:ascii="宋体" w:cs="宋体"/>
                <w:color w:val="000000"/>
                <w:sz w:val="22"/>
              </w:rPr>
            </w:pPr>
            <w:r>
              <w:rPr>
                <w:rFonts w:eastAsia="Times New Roman"/>
                <w:color w:val="000000"/>
                <w:sz w:val="22"/>
              </w:rPr>
              <w:t>18</w:t>
            </w:r>
          </w:p>
        </w:tc>
        <w:tc>
          <w:tcPr>
            <w:tcW w:w="1554" w:type="dxa"/>
            <w:vMerge w:val="restart"/>
            <w:tcBorders>
              <w:top w:val="nil"/>
              <w:left w:val="single" w:color="auto" w:sz="4" w:space="0"/>
              <w:bottom w:val="single" w:color="auto" w:sz="4" w:space="0"/>
              <w:right w:val="single" w:color="auto" w:sz="4" w:space="0"/>
            </w:tcBorders>
            <w:vAlign w:val="center"/>
          </w:tcPr>
          <w:p>
            <w:pPr>
              <w:jc w:val="center"/>
              <w:rPr>
                <w:rFonts w:ascii="宋体" w:cs="宋体"/>
                <w:color w:val="000000"/>
                <w:sz w:val="22"/>
              </w:rPr>
            </w:pPr>
            <w:r>
              <w:rPr>
                <w:rFonts w:eastAsia="Times New Roman"/>
                <w:color w:val="000000"/>
                <w:sz w:val="22"/>
              </w:rPr>
              <w:t>100%</w:t>
            </w:r>
          </w:p>
        </w:tc>
      </w:tr>
      <w:tr>
        <w:tblPrEx>
          <w:tblCellMar>
            <w:top w:w="0" w:type="dxa"/>
            <w:left w:w="108" w:type="dxa"/>
            <w:bottom w:w="0" w:type="dxa"/>
            <w:right w:w="108" w:type="dxa"/>
          </w:tblCellMar>
        </w:tblPrEx>
        <w:trPr>
          <w:trHeight w:val="900" w:hRule="atLeast"/>
        </w:trPr>
        <w:tc>
          <w:tcPr>
            <w:tcW w:w="1593" w:type="dxa"/>
            <w:vMerge w:val="continue"/>
            <w:tcBorders>
              <w:top w:val="nil"/>
              <w:left w:val="single" w:color="auto" w:sz="4" w:space="0"/>
              <w:bottom w:val="single" w:color="auto" w:sz="4" w:space="0"/>
              <w:right w:val="single" w:color="auto" w:sz="4" w:space="0"/>
            </w:tcBorders>
            <w:vAlign w:val="center"/>
          </w:tcPr>
          <w:p>
            <w:pPr>
              <w:rPr>
                <w:rFonts w:ascii="宋体" w:cs="宋体"/>
                <w:color w:val="000000"/>
                <w:sz w:val="22"/>
              </w:rPr>
            </w:pPr>
          </w:p>
        </w:tc>
        <w:tc>
          <w:tcPr>
            <w:tcW w:w="1486" w:type="dxa"/>
            <w:tcBorders>
              <w:top w:val="nil"/>
              <w:left w:val="nil"/>
              <w:bottom w:val="single" w:color="auto" w:sz="4" w:space="0"/>
              <w:right w:val="single" w:color="auto" w:sz="4" w:space="0"/>
            </w:tcBorders>
            <w:vAlign w:val="center"/>
          </w:tcPr>
          <w:p>
            <w:pPr>
              <w:rPr>
                <w:rFonts w:ascii="宋体" w:cs="宋体"/>
                <w:color w:val="000000"/>
                <w:sz w:val="22"/>
              </w:rPr>
            </w:pPr>
            <w:r>
              <w:rPr>
                <w:rFonts w:hint="eastAsia" w:ascii="宋体" w:hAnsi="宋体" w:cs="宋体"/>
                <w:color w:val="000000"/>
                <w:sz w:val="22"/>
              </w:rPr>
              <w:t>其中：财政</w:t>
            </w:r>
            <w:r>
              <w:rPr>
                <w:rFonts w:ascii="Times New Roman" w:hAnsi="Times New Roman"/>
                <w:color w:val="000000"/>
                <w:sz w:val="22"/>
              </w:rPr>
              <w:br w:type="textWrapping"/>
            </w:r>
            <w:r>
              <w:rPr>
                <w:rFonts w:ascii="Times New Roman" w:hAnsi="Times New Roman"/>
                <w:color w:val="000000"/>
                <w:sz w:val="22"/>
              </w:rPr>
              <w:t xml:space="preserve">     </w:t>
            </w:r>
            <w:r>
              <w:rPr>
                <w:rFonts w:hint="eastAsia" w:ascii="宋体" w:hAnsi="宋体" w:cs="宋体"/>
                <w:color w:val="000000"/>
                <w:sz w:val="22"/>
              </w:rPr>
              <w:t>资金</w:t>
            </w:r>
          </w:p>
        </w:tc>
        <w:tc>
          <w:tcPr>
            <w:tcW w:w="997" w:type="dxa"/>
            <w:tcBorders>
              <w:top w:val="nil"/>
              <w:left w:val="nil"/>
              <w:bottom w:val="single" w:color="auto" w:sz="4" w:space="0"/>
              <w:right w:val="single" w:color="auto" w:sz="4" w:space="0"/>
            </w:tcBorders>
            <w:noWrap/>
            <w:vAlign w:val="center"/>
          </w:tcPr>
          <w:p>
            <w:pPr>
              <w:jc w:val="right"/>
              <w:rPr>
                <w:rFonts w:ascii="宋体" w:cs="宋体"/>
                <w:color w:val="000000"/>
                <w:sz w:val="22"/>
              </w:rPr>
            </w:pPr>
            <w:r>
              <w:rPr>
                <w:rFonts w:eastAsia="Times New Roman"/>
                <w:color w:val="000000"/>
                <w:sz w:val="22"/>
              </w:rPr>
              <w:t>18</w:t>
            </w:r>
          </w:p>
        </w:tc>
        <w:tc>
          <w:tcPr>
            <w:tcW w:w="1604" w:type="dxa"/>
            <w:tcBorders>
              <w:top w:val="nil"/>
              <w:left w:val="nil"/>
              <w:bottom w:val="single" w:color="auto" w:sz="4" w:space="0"/>
              <w:right w:val="single" w:color="auto" w:sz="4" w:space="0"/>
            </w:tcBorders>
            <w:vAlign w:val="center"/>
          </w:tcPr>
          <w:p>
            <w:pPr>
              <w:rPr>
                <w:rFonts w:ascii="宋体" w:cs="宋体"/>
                <w:color w:val="000000"/>
                <w:sz w:val="22"/>
              </w:rPr>
            </w:pPr>
            <w:r>
              <w:rPr>
                <w:rFonts w:hint="eastAsia" w:ascii="宋体" w:hAnsi="宋体" w:cs="宋体"/>
                <w:color w:val="000000"/>
                <w:sz w:val="22"/>
              </w:rPr>
              <w:t>其中：财政</w:t>
            </w:r>
            <w:r>
              <w:rPr>
                <w:rFonts w:ascii="Times New Roman" w:hAnsi="Times New Roman"/>
                <w:color w:val="000000"/>
                <w:sz w:val="22"/>
              </w:rPr>
              <w:br w:type="textWrapping"/>
            </w:r>
            <w:r>
              <w:rPr>
                <w:rFonts w:ascii="Times New Roman" w:hAnsi="Times New Roman"/>
                <w:color w:val="000000"/>
                <w:sz w:val="22"/>
              </w:rPr>
              <w:t xml:space="preserve">     </w:t>
            </w:r>
            <w:r>
              <w:rPr>
                <w:rFonts w:hint="eastAsia" w:ascii="宋体" w:hAnsi="宋体" w:cs="宋体"/>
                <w:color w:val="000000"/>
                <w:sz w:val="22"/>
              </w:rPr>
              <w:t>资金</w:t>
            </w:r>
          </w:p>
        </w:tc>
        <w:tc>
          <w:tcPr>
            <w:tcW w:w="1286" w:type="dxa"/>
            <w:tcBorders>
              <w:top w:val="nil"/>
              <w:left w:val="nil"/>
              <w:bottom w:val="single" w:color="auto" w:sz="4" w:space="0"/>
              <w:right w:val="single" w:color="auto" w:sz="4" w:space="0"/>
            </w:tcBorders>
            <w:noWrap/>
            <w:vAlign w:val="center"/>
          </w:tcPr>
          <w:p>
            <w:pPr>
              <w:jc w:val="right"/>
              <w:rPr>
                <w:rFonts w:ascii="宋体" w:cs="宋体"/>
                <w:color w:val="000000"/>
                <w:sz w:val="22"/>
              </w:rPr>
            </w:pPr>
            <w:r>
              <w:rPr>
                <w:rFonts w:eastAsia="Times New Roman"/>
                <w:color w:val="000000"/>
                <w:sz w:val="22"/>
              </w:rPr>
              <w:t>18</w:t>
            </w:r>
          </w:p>
        </w:tc>
        <w:tc>
          <w:tcPr>
            <w:tcW w:w="1575" w:type="dxa"/>
            <w:tcBorders>
              <w:top w:val="nil"/>
              <w:left w:val="nil"/>
              <w:bottom w:val="single" w:color="auto" w:sz="4" w:space="0"/>
              <w:right w:val="single" w:color="auto" w:sz="4" w:space="0"/>
            </w:tcBorders>
            <w:vAlign w:val="center"/>
          </w:tcPr>
          <w:p>
            <w:pPr>
              <w:rPr>
                <w:rFonts w:ascii="宋体" w:cs="宋体"/>
                <w:color w:val="000000"/>
                <w:sz w:val="22"/>
              </w:rPr>
            </w:pPr>
            <w:r>
              <w:rPr>
                <w:rFonts w:hint="eastAsia" w:ascii="宋体" w:hAnsi="宋体" w:cs="宋体"/>
                <w:color w:val="000000"/>
                <w:sz w:val="22"/>
              </w:rPr>
              <w:t>其中：财政</w:t>
            </w:r>
            <w:r>
              <w:rPr>
                <w:rFonts w:ascii="Times New Roman" w:hAnsi="Times New Roman"/>
                <w:color w:val="000000"/>
                <w:sz w:val="22"/>
              </w:rPr>
              <w:br w:type="textWrapping"/>
            </w:r>
            <w:r>
              <w:rPr>
                <w:rFonts w:ascii="Times New Roman" w:hAnsi="Times New Roman"/>
                <w:color w:val="000000"/>
                <w:sz w:val="22"/>
              </w:rPr>
              <w:t xml:space="preserve">     </w:t>
            </w:r>
            <w:r>
              <w:rPr>
                <w:rFonts w:hint="eastAsia" w:ascii="宋体" w:hAnsi="宋体" w:cs="宋体"/>
                <w:color w:val="000000"/>
                <w:sz w:val="22"/>
              </w:rPr>
              <w:t>资金</w:t>
            </w:r>
          </w:p>
        </w:tc>
        <w:tc>
          <w:tcPr>
            <w:tcW w:w="1276" w:type="dxa"/>
            <w:tcBorders>
              <w:top w:val="nil"/>
              <w:left w:val="nil"/>
              <w:bottom w:val="single" w:color="auto" w:sz="4" w:space="0"/>
              <w:right w:val="single" w:color="auto" w:sz="4" w:space="0"/>
            </w:tcBorders>
            <w:noWrap/>
            <w:vAlign w:val="center"/>
          </w:tcPr>
          <w:p>
            <w:pPr>
              <w:jc w:val="right"/>
              <w:rPr>
                <w:rFonts w:ascii="宋体" w:cs="宋体"/>
                <w:color w:val="000000"/>
                <w:sz w:val="22"/>
              </w:rPr>
            </w:pPr>
            <w:r>
              <w:rPr>
                <w:rFonts w:eastAsia="Times New Roman"/>
                <w:color w:val="000000"/>
                <w:sz w:val="22"/>
              </w:rPr>
              <w:t>18</w:t>
            </w:r>
          </w:p>
        </w:tc>
        <w:tc>
          <w:tcPr>
            <w:tcW w:w="1554" w:type="dxa"/>
            <w:vMerge w:val="continue"/>
            <w:tcBorders>
              <w:top w:val="nil"/>
              <w:left w:val="single" w:color="auto" w:sz="4" w:space="0"/>
              <w:bottom w:val="single" w:color="auto" w:sz="4" w:space="0"/>
              <w:right w:val="single" w:color="auto" w:sz="4" w:space="0"/>
            </w:tcBorders>
            <w:vAlign w:val="center"/>
          </w:tcPr>
          <w:p>
            <w:pPr>
              <w:rPr>
                <w:rFonts w:ascii="宋体" w:cs="宋体"/>
                <w:color w:val="000000"/>
                <w:sz w:val="22"/>
              </w:rPr>
            </w:pPr>
          </w:p>
        </w:tc>
      </w:tr>
      <w:tr>
        <w:tblPrEx>
          <w:tblCellMar>
            <w:top w:w="0" w:type="dxa"/>
            <w:left w:w="108" w:type="dxa"/>
            <w:bottom w:w="0" w:type="dxa"/>
            <w:right w:w="108" w:type="dxa"/>
          </w:tblCellMar>
        </w:tblPrEx>
        <w:trPr>
          <w:trHeight w:val="900" w:hRule="atLeast"/>
        </w:trPr>
        <w:tc>
          <w:tcPr>
            <w:tcW w:w="1593" w:type="dxa"/>
            <w:vMerge w:val="continue"/>
            <w:tcBorders>
              <w:top w:val="nil"/>
              <w:left w:val="single" w:color="auto" w:sz="4" w:space="0"/>
              <w:bottom w:val="single" w:color="auto" w:sz="4" w:space="0"/>
              <w:right w:val="single" w:color="auto" w:sz="4" w:space="0"/>
            </w:tcBorders>
            <w:vAlign w:val="center"/>
          </w:tcPr>
          <w:p>
            <w:pPr>
              <w:rPr>
                <w:rFonts w:ascii="宋体" w:cs="宋体"/>
                <w:color w:val="000000"/>
                <w:sz w:val="22"/>
              </w:rPr>
            </w:pPr>
          </w:p>
        </w:tc>
        <w:tc>
          <w:tcPr>
            <w:tcW w:w="1486" w:type="dxa"/>
            <w:tcBorders>
              <w:top w:val="nil"/>
              <w:left w:val="nil"/>
              <w:bottom w:val="single" w:color="auto" w:sz="4" w:space="0"/>
              <w:right w:val="single" w:color="auto" w:sz="4" w:space="0"/>
            </w:tcBorders>
            <w:noWrap/>
            <w:vAlign w:val="center"/>
          </w:tcPr>
          <w:p>
            <w:pPr>
              <w:rPr>
                <w:rFonts w:ascii="宋体" w:cs="宋体"/>
                <w:color w:val="000000"/>
                <w:sz w:val="22"/>
              </w:rPr>
            </w:pPr>
            <w:r>
              <w:rPr>
                <w:rFonts w:eastAsia="Times New Roman"/>
                <w:color w:val="000000"/>
                <w:sz w:val="22"/>
              </w:rPr>
              <w:t xml:space="preserve">     </w:t>
            </w:r>
            <w:r>
              <w:rPr>
                <w:rFonts w:hint="eastAsia" w:ascii="宋体" w:hAnsi="宋体" w:cs="宋体"/>
                <w:color w:val="000000"/>
                <w:sz w:val="22"/>
              </w:rPr>
              <w:t>其他</w:t>
            </w:r>
          </w:p>
        </w:tc>
        <w:tc>
          <w:tcPr>
            <w:tcW w:w="997" w:type="dxa"/>
            <w:tcBorders>
              <w:top w:val="nil"/>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　</w:t>
            </w:r>
          </w:p>
        </w:tc>
        <w:tc>
          <w:tcPr>
            <w:tcW w:w="1604" w:type="dxa"/>
            <w:tcBorders>
              <w:top w:val="nil"/>
              <w:left w:val="nil"/>
              <w:bottom w:val="single" w:color="auto" w:sz="4" w:space="0"/>
              <w:right w:val="single" w:color="auto" w:sz="4" w:space="0"/>
            </w:tcBorders>
            <w:noWrap/>
            <w:vAlign w:val="center"/>
          </w:tcPr>
          <w:p>
            <w:pPr>
              <w:rPr>
                <w:rFonts w:ascii="宋体" w:cs="宋体"/>
                <w:color w:val="000000"/>
                <w:sz w:val="22"/>
              </w:rPr>
            </w:pPr>
            <w:r>
              <w:rPr>
                <w:rFonts w:eastAsia="Times New Roman"/>
                <w:color w:val="000000"/>
                <w:sz w:val="22"/>
              </w:rPr>
              <w:t xml:space="preserve">     </w:t>
            </w:r>
            <w:r>
              <w:rPr>
                <w:rFonts w:hint="eastAsia" w:ascii="宋体" w:hAnsi="宋体" w:cs="宋体"/>
                <w:color w:val="000000"/>
                <w:sz w:val="22"/>
              </w:rPr>
              <w:t>其他</w:t>
            </w:r>
          </w:p>
        </w:tc>
        <w:tc>
          <w:tcPr>
            <w:tcW w:w="1286" w:type="dxa"/>
            <w:tcBorders>
              <w:top w:val="nil"/>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　</w:t>
            </w:r>
          </w:p>
        </w:tc>
        <w:tc>
          <w:tcPr>
            <w:tcW w:w="1575" w:type="dxa"/>
            <w:tcBorders>
              <w:top w:val="nil"/>
              <w:left w:val="nil"/>
              <w:bottom w:val="single" w:color="auto" w:sz="4" w:space="0"/>
              <w:right w:val="single" w:color="auto" w:sz="4" w:space="0"/>
            </w:tcBorders>
            <w:noWrap/>
            <w:vAlign w:val="center"/>
          </w:tcPr>
          <w:p>
            <w:pPr>
              <w:rPr>
                <w:rFonts w:ascii="宋体" w:cs="宋体"/>
                <w:color w:val="000000"/>
                <w:sz w:val="22"/>
              </w:rPr>
            </w:pPr>
            <w:r>
              <w:rPr>
                <w:rFonts w:eastAsia="Times New Roman"/>
                <w:color w:val="000000"/>
                <w:sz w:val="22"/>
              </w:rPr>
              <w:t xml:space="preserve">     </w:t>
            </w:r>
            <w:r>
              <w:rPr>
                <w:rFonts w:hint="eastAsia" w:ascii="宋体" w:hAnsi="宋体" w:cs="宋体"/>
                <w:color w:val="000000"/>
                <w:sz w:val="22"/>
              </w:rPr>
              <w:t>其他</w:t>
            </w:r>
          </w:p>
        </w:tc>
        <w:tc>
          <w:tcPr>
            <w:tcW w:w="1276" w:type="dxa"/>
            <w:tcBorders>
              <w:top w:val="nil"/>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　</w:t>
            </w:r>
          </w:p>
        </w:tc>
        <w:tc>
          <w:tcPr>
            <w:tcW w:w="1554" w:type="dxa"/>
            <w:vMerge w:val="continue"/>
            <w:tcBorders>
              <w:top w:val="nil"/>
              <w:left w:val="single" w:color="auto" w:sz="4" w:space="0"/>
              <w:bottom w:val="single" w:color="auto" w:sz="4" w:space="0"/>
              <w:right w:val="single" w:color="auto" w:sz="4" w:space="0"/>
            </w:tcBorders>
            <w:vAlign w:val="center"/>
          </w:tcPr>
          <w:p>
            <w:pPr>
              <w:rPr>
                <w:rFonts w:ascii="宋体" w:cs="宋体"/>
                <w:color w:val="000000"/>
                <w:sz w:val="22"/>
              </w:rPr>
            </w:pPr>
          </w:p>
        </w:tc>
      </w:tr>
      <w:tr>
        <w:tblPrEx>
          <w:tblCellMar>
            <w:top w:w="0" w:type="dxa"/>
            <w:left w:w="108" w:type="dxa"/>
            <w:bottom w:w="0" w:type="dxa"/>
            <w:right w:w="108" w:type="dxa"/>
          </w:tblCellMar>
        </w:tblPrEx>
        <w:trPr>
          <w:trHeight w:val="900" w:hRule="atLeast"/>
        </w:trPr>
        <w:tc>
          <w:tcPr>
            <w:tcW w:w="1593" w:type="dxa"/>
            <w:vMerge w:val="restart"/>
            <w:tcBorders>
              <w:top w:val="nil"/>
              <w:left w:val="single" w:color="auto" w:sz="4" w:space="0"/>
              <w:bottom w:val="single" w:color="auto"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三、目标完成</w:t>
            </w:r>
            <w:r>
              <w:rPr>
                <w:rFonts w:ascii="Times New Roman" w:hAnsi="Times New Roman"/>
                <w:color w:val="000000"/>
                <w:sz w:val="22"/>
              </w:rPr>
              <w:br w:type="textWrapping"/>
            </w:r>
            <w:r>
              <w:rPr>
                <w:rFonts w:hint="eastAsia" w:ascii="宋体" w:hAnsi="宋体" w:cs="宋体"/>
                <w:color w:val="000000"/>
                <w:sz w:val="22"/>
              </w:rPr>
              <w:t>情况</w:t>
            </w:r>
          </w:p>
        </w:tc>
        <w:tc>
          <w:tcPr>
            <w:tcW w:w="4087" w:type="dxa"/>
            <w:gridSpan w:val="3"/>
            <w:tcBorders>
              <w:top w:val="single" w:color="auto" w:sz="4" w:space="0"/>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年度预算目标</w:t>
            </w:r>
          </w:p>
        </w:tc>
        <w:tc>
          <w:tcPr>
            <w:tcW w:w="4137" w:type="dxa"/>
            <w:gridSpan w:val="3"/>
            <w:tcBorders>
              <w:top w:val="single" w:color="auto" w:sz="4" w:space="0"/>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具体完成情况</w:t>
            </w:r>
          </w:p>
        </w:tc>
        <w:tc>
          <w:tcPr>
            <w:tcW w:w="1554" w:type="dxa"/>
            <w:tcBorders>
              <w:top w:val="nil"/>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总体完成率</w:t>
            </w:r>
          </w:p>
        </w:tc>
      </w:tr>
      <w:tr>
        <w:tblPrEx>
          <w:tblCellMar>
            <w:top w:w="0" w:type="dxa"/>
            <w:left w:w="108" w:type="dxa"/>
            <w:bottom w:w="0" w:type="dxa"/>
            <w:right w:w="108" w:type="dxa"/>
          </w:tblCellMar>
        </w:tblPrEx>
        <w:trPr>
          <w:trHeight w:val="900" w:hRule="atLeast"/>
        </w:trPr>
        <w:tc>
          <w:tcPr>
            <w:tcW w:w="1593" w:type="dxa"/>
            <w:vMerge w:val="continue"/>
            <w:tcBorders>
              <w:top w:val="nil"/>
              <w:left w:val="single" w:color="auto" w:sz="4" w:space="0"/>
              <w:bottom w:val="single" w:color="auto" w:sz="4" w:space="0"/>
              <w:right w:val="single" w:color="auto" w:sz="4" w:space="0"/>
            </w:tcBorders>
            <w:vAlign w:val="center"/>
          </w:tcPr>
          <w:p>
            <w:pPr>
              <w:rPr>
                <w:rFonts w:ascii="宋体" w:cs="宋体"/>
                <w:color w:val="000000"/>
                <w:sz w:val="22"/>
              </w:rPr>
            </w:pPr>
          </w:p>
        </w:tc>
        <w:tc>
          <w:tcPr>
            <w:tcW w:w="4087" w:type="dxa"/>
            <w:gridSpan w:val="3"/>
            <w:tcBorders>
              <w:top w:val="single" w:color="auto" w:sz="4" w:space="0"/>
              <w:left w:val="nil"/>
              <w:bottom w:val="single" w:color="auto" w:sz="4" w:space="0"/>
              <w:right w:val="single" w:color="auto" w:sz="4" w:space="0"/>
            </w:tcBorders>
          </w:tcPr>
          <w:p>
            <w:pPr>
              <w:rPr>
                <w:rFonts w:ascii="宋体" w:cs="宋体"/>
                <w:color w:val="000000"/>
                <w:sz w:val="22"/>
              </w:rPr>
            </w:pPr>
            <w:r>
              <w:rPr>
                <w:rFonts w:hint="eastAsia" w:ascii="宋体" w:hAnsi="宋体" w:cs="宋体"/>
                <w:color w:val="000000"/>
                <w:sz w:val="22"/>
              </w:rPr>
              <w:t>及时上缴工会费，切实提高常安镇学区工会工作水平，保障学区工会工作顺利开展。</w:t>
            </w:r>
          </w:p>
        </w:tc>
        <w:tc>
          <w:tcPr>
            <w:tcW w:w="4137" w:type="dxa"/>
            <w:gridSpan w:val="3"/>
            <w:tcBorders>
              <w:top w:val="single" w:color="auto" w:sz="4" w:space="0"/>
              <w:left w:val="nil"/>
              <w:bottom w:val="single" w:color="auto" w:sz="4" w:space="0"/>
              <w:right w:val="single" w:color="000000" w:sz="4" w:space="0"/>
            </w:tcBorders>
            <w:vAlign w:val="center"/>
          </w:tcPr>
          <w:p>
            <w:pPr>
              <w:jc w:val="center"/>
              <w:rPr>
                <w:rFonts w:ascii="宋体" w:cs="宋体"/>
                <w:color w:val="000000"/>
                <w:sz w:val="22"/>
              </w:rPr>
            </w:pPr>
            <w:r>
              <w:rPr>
                <w:rFonts w:hint="eastAsia" w:ascii="宋体" w:hAnsi="宋体" w:cs="宋体"/>
                <w:color w:val="000000"/>
                <w:sz w:val="22"/>
              </w:rPr>
              <w:t>工会费及时、足额上缴区总工会，学区工会工作开展顺利，达到预期目标</w:t>
            </w:r>
          </w:p>
        </w:tc>
        <w:tc>
          <w:tcPr>
            <w:tcW w:w="1554" w:type="dxa"/>
            <w:tcBorders>
              <w:top w:val="nil"/>
              <w:left w:val="nil"/>
              <w:bottom w:val="single" w:color="auto" w:sz="4" w:space="0"/>
              <w:right w:val="single" w:color="auto" w:sz="4" w:space="0"/>
            </w:tcBorders>
            <w:noWrap/>
            <w:vAlign w:val="center"/>
          </w:tcPr>
          <w:p>
            <w:pPr>
              <w:jc w:val="right"/>
              <w:rPr>
                <w:rFonts w:ascii="宋体" w:cs="宋体"/>
                <w:color w:val="000000"/>
                <w:sz w:val="22"/>
              </w:rPr>
            </w:pPr>
            <w:r>
              <w:rPr>
                <w:rFonts w:eastAsia="Times New Roman"/>
                <w:color w:val="000000"/>
                <w:sz w:val="22"/>
              </w:rPr>
              <w:t>100%</w:t>
            </w:r>
          </w:p>
        </w:tc>
      </w:tr>
      <w:tr>
        <w:tblPrEx>
          <w:tblCellMar>
            <w:top w:w="0" w:type="dxa"/>
            <w:left w:w="108" w:type="dxa"/>
            <w:bottom w:w="0" w:type="dxa"/>
            <w:right w:w="108" w:type="dxa"/>
          </w:tblCellMar>
        </w:tblPrEx>
        <w:trPr>
          <w:trHeight w:val="900" w:hRule="atLeast"/>
        </w:trPr>
        <w:tc>
          <w:tcPr>
            <w:tcW w:w="1593" w:type="dxa"/>
            <w:vMerge w:val="restart"/>
            <w:tcBorders>
              <w:top w:val="nil"/>
              <w:left w:val="single" w:color="auto" w:sz="4" w:space="0"/>
              <w:bottom w:val="single" w:color="000000"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四、年度绩效指标完成情况</w:t>
            </w:r>
          </w:p>
        </w:tc>
        <w:tc>
          <w:tcPr>
            <w:tcW w:w="1486"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一级指标</w:t>
            </w:r>
          </w:p>
        </w:tc>
        <w:tc>
          <w:tcPr>
            <w:tcW w:w="997"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二级指标</w:t>
            </w:r>
          </w:p>
        </w:tc>
        <w:tc>
          <w:tcPr>
            <w:tcW w:w="2890" w:type="dxa"/>
            <w:gridSpan w:val="2"/>
            <w:tcBorders>
              <w:top w:val="single" w:color="auto" w:sz="4" w:space="0"/>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三级指标</w:t>
            </w:r>
          </w:p>
        </w:tc>
        <w:tc>
          <w:tcPr>
            <w:tcW w:w="1575"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预期指标值</w:t>
            </w:r>
          </w:p>
        </w:tc>
        <w:tc>
          <w:tcPr>
            <w:tcW w:w="1276"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实际完成值</w:t>
            </w:r>
          </w:p>
        </w:tc>
        <w:tc>
          <w:tcPr>
            <w:tcW w:w="1554"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自评得分</w:t>
            </w:r>
          </w:p>
        </w:tc>
      </w:tr>
      <w:tr>
        <w:tblPrEx>
          <w:tblCellMar>
            <w:top w:w="0" w:type="dxa"/>
            <w:left w:w="108" w:type="dxa"/>
            <w:bottom w:w="0" w:type="dxa"/>
            <w:right w:w="108" w:type="dxa"/>
          </w:tblCellMar>
        </w:tblPrEx>
        <w:trPr>
          <w:trHeight w:val="900" w:hRule="atLeast"/>
        </w:trPr>
        <w:tc>
          <w:tcPr>
            <w:tcW w:w="1593" w:type="dxa"/>
            <w:vMerge w:val="continue"/>
            <w:tcBorders>
              <w:top w:val="nil"/>
              <w:left w:val="single" w:color="auto" w:sz="4" w:space="0"/>
              <w:bottom w:val="single" w:color="000000" w:sz="4" w:space="0"/>
              <w:right w:val="single" w:color="auto" w:sz="4" w:space="0"/>
            </w:tcBorders>
            <w:vAlign w:val="center"/>
          </w:tcPr>
          <w:p>
            <w:pPr>
              <w:rPr>
                <w:rFonts w:ascii="宋体" w:cs="宋体"/>
                <w:color w:val="000000"/>
                <w:sz w:val="22"/>
              </w:rPr>
            </w:pPr>
          </w:p>
        </w:tc>
        <w:tc>
          <w:tcPr>
            <w:tcW w:w="1486" w:type="dxa"/>
            <w:vMerge w:val="restart"/>
            <w:tcBorders>
              <w:top w:val="nil"/>
              <w:left w:val="single" w:color="auto" w:sz="4" w:space="0"/>
              <w:bottom w:val="single" w:color="auto"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产出指标</w:t>
            </w:r>
            <w:r>
              <w:rPr>
                <w:rFonts w:ascii="Times New Roman" w:hAnsi="Times New Roman"/>
                <w:color w:val="000000"/>
                <w:sz w:val="22"/>
              </w:rPr>
              <w:br w:type="textWrapping"/>
            </w:r>
            <w:r>
              <w:rPr>
                <w:rFonts w:hint="eastAsia" w:ascii="宋体" w:hAnsi="宋体" w:cs="宋体"/>
                <w:color w:val="000000"/>
                <w:sz w:val="22"/>
              </w:rPr>
              <w:t>（</w:t>
            </w:r>
            <w:r>
              <w:rPr>
                <w:rFonts w:ascii="Times New Roman" w:hAnsi="Times New Roman"/>
                <w:color w:val="000000"/>
                <w:sz w:val="22"/>
              </w:rPr>
              <w:t>40</w:t>
            </w:r>
            <w:r>
              <w:rPr>
                <w:rFonts w:hint="eastAsia" w:ascii="宋体" w:hAnsi="宋体" w:cs="宋体"/>
                <w:color w:val="000000"/>
                <w:sz w:val="22"/>
              </w:rPr>
              <w:t>分）</w:t>
            </w:r>
          </w:p>
        </w:tc>
        <w:tc>
          <w:tcPr>
            <w:tcW w:w="997"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数量指标</w:t>
            </w:r>
          </w:p>
        </w:tc>
        <w:tc>
          <w:tcPr>
            <w:tcW w:w="2890" w:type="dxa"/>
            <w:gridSpan w:val="2"/>
            <w:tcBorders>
              <w:top w:val="single" w:color="auto" w:sz="4" w:space="0"/>
              <w:left w:val="nil"/>
              <w:bottom w:val="single" w:color="auto" w:sz="4" w:space="0"/>
              <w:right w:val="single" w:color="auto" w:sz="4" w:space="0"/>
            </w:tcBorders>
            <w:vAlign w:val="center"/>
          </w:tcPr>
          <w:p>
            <w:pPr>
              <w:rPr>
                <w:rFonts w:ascii="宋体" w:cs="宋体"/>
                <w:color w:val="000000"/>
                <w:sz w:val="22"/>
              </w:rPr>
            </w:pPr>
            <w:r>
              <w:rPr>
                <w:rFonts w:hint="eastAsia" w:ascii="宋体" w:hAnsi="宋体" w:cs="宋体"/>
                <w:color w:val="000000"/>
                <w:sz w:val="22"/>
              </w:rPr>
              <w:t>工会经费保障率</w:t>
            </w:r>
            <w:r>
              <w:rPr>
                <w:rFonts w:ascii="Times New Roman" w:hAnsi="Times New Roman"/>
                <w:color w:val="000000"/>
                <w:sz w:val="22"/>
              </w:rPr>
              <w:t xml:space="preserve"> </w:t>
            </w:r>
          </w:p>
        </w:tc>
        <w:tc>
          <w:tcPr>
            <w:tcW w:w="1575" w:type="dxa"/>
            <w:tcBorders>
              <w:top w:val="nil"/>
              <w:left w:val="nil"/>
              <w:bottom w:val="single" w:color="auto" w:sz="4" w:space="0"/>
              <w:right w:val="single" w:color="auto" w:sz="4" w:space="0"/>
            </w:tcBorders>
            <w:vAlign w:val="center"/>
          </w:tcPr>
          <w:p>
            <w:pPr>
              <w:jc w:val="center"/>
              <w:rPr>
                <w:rFonts w:ascii="宋体" w:cs="宋体"/>
                <w:color w:val="000000"/>
                <w:sz w:val="22"/>
              </w:rPr>
            </w:pPr>
            <w:r>
              <w:rPr>
                <w:rFonts w:eastAsia="Times New Roman"/>
                <w:color w:val="000000"/>
                <w:sz w:val="22"/>
              </w:rPr>
              <w:t>100%</w:t>
            </w:r>
          </w:p>
        </w:tc>
        <w:tc>
          <w:tcPr>
            <w:tcW w:w="1276" w:type="dxa"/>
            <w:tcBorders>
              <w:top w:val="nil"/>
              <w:left w:val="nil"/>
              <w:bottom w:val="single" w:color="auto" w:sz="4" w:space="0"/>
              <w:right w:val="single" w:color="auto" w:sz="4" w:space="0"/>
            </w:tcBorders>
            <w:vAlign w:val="center"/>
          </w:tcPr>
          <w:p>
            <w:pPr>
              <w:jc w:val="center"/>
              <w:rPr>
                <w:rFonts w:ascii="宋体" w:cs="宋体"/>
                <w:color w:val="000000"/>
                <w:sz w:val="22"/>
              </w:rPr>
            </w:pPr>
            <w:r>
              <w:rPr>
                <w:rFonts w:eastAsia="Times New Roman"/>
                <w:color w:val="000000"/>
                <w:sz w:val="22"/>
              </w:rPr>
              <w:t>100%</w:t>
            </w:r>
          </w:p>
        </w:tc>
        <w:tc>
          <w:tcPr>
            <w:tcW w:w="1554"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20</w:t>
            </w:r>
          </w:p>
        </w:tc>
      </w:tr>
      <w:tr>
        <w:tblPrEx>
          <w:tblCellMar>
            <w:top w:w="0" w:type="dxa"/>
            <w:left w:w="108" w:type="dxa"/>
            <w:bottom w:w="0" w:type="dxa"/>
            <w:right w:w="108" w:type="dxa"/>
          </w:tblCellMar>
        </w:tblPrEx>
        <w:trPr>
          <w:trHeight w:val="900" w:hRule="atLeast"/>
        </w:trPr>
        <w:tc>
          <w:tcPr>
            <w:tcW w:w="1593" w:type="dxa"/>
            <w:vMerge w:val="continue"/>
            <w:tcBorders>
              <w:top w:val="nil"/>
              <w:left w:val="single" w:color="auto" w:sz="4" w:space="0"/>
              <w:bottom w:val="single" w:color="000000" w:sz="4" w:space="0"/>
              <w:right w:val="single" w:color="auto" w:sz="4" w:space="0"/>
            </w:tcBorders>
            <w:vAlign w:val="center"/>
          </w:tcPr>
          <w:p>
            <w:pPr>
              <w:rPr>
                <w:rFonts w:ascii="宋体" w:cs="宋体"/>
                <w:color w:val="000000"/>
                <w:sz w:val="22"/>
              </w:rPr>
            </w:pPr>
          </w:p>
        </w:tc>
        <w:tc>
          <w:tcPr>
            <w:tcW w:w="1486" w:type="dxa"/>
            <w:vMerge w:val="continue"/>
            <w:tcBorders>
              <w:top w:val="nil"/>
              <w:left w:val="single" w:color="auto" w:sz="4" w:space="0"/>
              <w:bottom w:val="single" w:color="auto" w:sz="4" w:space="0"/>
              <w:right w:val="single" w:color="auto" w:sz="4" w:space="0"/>
            </w:tcBorders>
            <w:vAlign w:val="center"/>
          </w:tcPr>
          <w:p>
            <w:pPr>
              <w:rPr>
                <w:rFonts w:ascii="宋体" w:cs="宋体"/>
                <w:color w:val="000000"/>
                <w:sz w:val="22"/>
              </w:rPr>
            </w:pPr>
          </w:p>
        </w:tc>
        <w:tc>
          <w:tcPr>
            <w:tcW w:w="997"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时效指标</w:t>
            </w:r>
          </w:p>
        </w:tc>
        <w:tc>
          <w:tcPr>
            <w:tcW w:w="2890" w:type="dxa"/>
            <w:gridSpan w:val="2"/>
            <w:tcBorders>
              <w:top w:val="single" w:color="auto" w:sz="4" w:space="0"/>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工会经费拨付及时率</w:t>
            </w:r>
          </w:p>
        </w:tc>
        <w:tc>
          <w:tcPr>
            <w:tcW w:w="1575"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100</w:t>
            </w:r>
          </w:p>
        </w:tc>
        <w:tc>
          <w:tcPr>
            <w:tcW w:w="1276"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100</w:t>
            </w:r>
          </w:p>
        </w:tc>
        <w:tc>
          <w:tcPr>
            <w:tcW w:w="1554"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20</w:t>
            </w:r>
          </w:p>
        </w:tc>
      </w:tr>
      <w:tr>
        <w:tblPrEx>
          <w:tblCellMar>
            <w:top w:w="0" w:type="dxa"/>
            <w:left w:w="108" w:type="dxa"/>
            <w:bottom w:w="0" w:type="dxa"/>
            <w:right w:w="108" w:type="dxa"/>
          </w:tblCellMar>
        </w:tblPrEx>
        <w:trPr>
          <w:trHeight w:val="900" w:hRule="atLeast"/>
        </w:trPr>
        <w:tc>
          <w:tcPr>
            <w:tcW w:w="1593" w:type="dxa"/>
            <w:vMerge w:val="continue"/>
            <w:tcBorders>
              <w:top w:val="nil"/>
              <w:left w:val="single" w:color="auto" w:sz="4" w:space="0"/>
              <w:bottom w:val="single" w:color="000000" w:sz="4" w:space="0"/>
              <w:right w:val="single" w:color="auto" w:sz="4" w:space="0"/>
            </w:tcBorders>
            <w:vAlign w:val="center"/>
          </w:tcPr>
          <w:p>
            <w:pPr>
              <w:rPr>
                <w:rFonts w:ascii="宋体" w:cs="宋体"/>
                <w:color w:val="000000"/>
                <w:sz w:val="22"/>
              </w:rPr>
            </w:pPr>
          </w:p>
        </w:tc>
        <w:tc>
          <w:tcPr>
            <w:tcW w:w="1486" w:type="dxa"/>
            <w:tcBorders>
              <w:top w:val="nil"/>
              <w:left w:val="nil"/>
              <w:bottom w:val="single" w:color="auto"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预算执行率指标（</w:t>
            </w:r>
            <w:r>
              <w:rPr>
                <w:rFonts w:ascii="Times New Roman" w:hAnsi="Times New Roman"/>
                <w:color w:val="000000"/>
                <w:sz w:val="22"/>
              </w:rPr>
              <w:t>10</w:t>
            </w:r>
            <w:r>
              <w:rPr>
                <w:rFonts w:hint="eastAsia" w:ascii="宋体" w:hAnsi="宋体" w:cs="宋体"/>
                <w:color w:val="000000"/>
                <w:sz w:val="22"/>
              </w:rPr>
              <w:t>分）</w:t>
            </w:r>
          </w:p>
        </w:tc>
        <w:tc>
          <w:tcPr>
            <w:tcW w:w="997" w:type="dxa"/>
            <w:tcBorders>
              <w:top w:val="nil"/>
              <w:left w:val="nil"/>
              <w:bottom w:val="single" w:color="auto"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预算</w:t>
            </w:r>
            <w:r>
              <w:rPr>
                <w:rFonts w:ascii="Times New Roman" w:hAnsi="Times New Roman"/>
                <w:color w:val="000000"/>
                <w:sz w:val="22"/>
              </w:rPr>
              <w:br w:type="textWrapping"/>
            </w:r>
            <w:r>
              <w:rPr>
                <w:rFonts w:hint="eastAsia" w:ascii="宋体" w:hAnsi="宋体" w:cs="宋体"/>
                <w:color w:val="000000"/>
                <w:sz w:val="22"/>
              </w:rPr>
              <w:t>执行率</w:t>
            </w:r>
          </w:p>
        </w:tc>
        <w:tc>
          <w:tcPr>
            <w:tcW w:w="2890" w:type="dxa"/>
            <w:gridSpan w:val="2"/>
            <w:tcBorders>
              <w:top w:val="single" w:color="auto" w:sz="4" w:space="0"/>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项目是否按进度执行</w:t>
            </w:r>
          </w:p>
        </w:tc>
        <w:tc>
          <w:tcPr>
            <w:tcW w:w="1575"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12</w:t>
            </w:r>
            <w:r>
              <w:rPr>
                <w:rFonts w:hint="eastAsia" w:ascii="宋体" w:hAnsi="宋体" w:cs="宋体"/>
                <w:color w:val="000000"/>
                <w:sz w:val="22"/>
              </w:rPr>
              <w:t>月全部完成</w:t>
            </w:r>
          </w:p>
        </w:tc>
        <w:tc>
          <w:tcPr>
            <w:tcW w:w="1276"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完成</w:t>
            </w:r>
          </w:p>
        </w:tc>
        <w:tc>
          <w:tcPr>
            <w:tcW w:w="1554"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10</w:t>
            </w:r>
          </w:p>
        </w:tc>
      </w:tr>
      <w:tr>
        <w:tblPrEx>
          <w:tblCellMar>
            <w:top w:w="0" w:type="dxa"/>
            <w:left w:w="108" w:type="dxa"/>
            <w:bottom w:w="0" w:type="dxa"/>
            <w:right w:w="108" w:type="dxa"/>
          </w:tblCellMar>
        </w:tblPrEx>
        <w:trPr>
          <w:trHeight w:val="900" w:hRule="atLeast"/>
        </w:trPr>
        <w:tc>
          <w:tcPr>
            <w:tcW w:w="1593" w:type="dxa"/>
            <w:vMerge w:val="continue"/>
            <w:tcBorders>
              <w:top w:val="nil"/>
              <w:left w:val="single" w:color="auto" w:sz="4" w:space="0"/>
              <w:bottom w:val="single" w:color="000000" w:sz="4" w:space="0"/>
              <w:right w:val="single" w:color="auto" w:sz="4" w:space="0"/>
            </w:tcBorders>
            <w:vAlign w:val="center"/>
          </w:tcPr>
          <w:p>
            <w:pPr>
              <w:rPr>
                <w:rFonts w:ascii="宋体" w:cs="宋体"/>
                <w:color w:val="000000"/>
                <w:sz w:val="22"/>
              </w:rPr>
            </w:pPr>
          </w:p>
        </w:tc>
        <w:tc>
          <w:tcPr>
            <w:tcW w:w="1486" w:type="dxa"/>
            <w:tcBorders>
              <w:top w:val="nil"/>
              <w:left w:val="nil"/>
              <w:bottom w:val="nil"/>
              <w:right w:val="single" w:color="auto" w:sz="4" w:space="0"/>
            </w:tcBorders>
            <w:vAlign w:val="center"/>
          </w:tcPr>
          <w:p>
            <w:pPr>
              <w:jc w:val="center"/>
              <w:rPr>
                <w:rFonts w:ascii="宋体" w:cs="宋体"/>
                <w:color w:val="000000"/>
                <w:sz w:val="22"/>
              </w:rPr>
            </w:pPr>
            <w:r>
              <w:rPr>
                <w:rFonts w:hint="eastAsia" w:ascii="宋体" w:hAnsi="宋体" w:cs="宋体"/>
                <w:color w:val="000000"/>
                <w:sz w:val="22"/>
              </w:rPr>
              <w:t>　</w:t>
            </w:r>
          </w:p>
        </w:tc>
        <w:tc>
          <w:tcPr>
            <w:tcW w:w="997" w:type="dxa"/>
            <w:tcBorders>
              <w:top w:val="nil"/>
              <w:left w:val="nil"/>
              <w:bottom w:val="single" w:color="auto"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可持续影响指标</w:t>
            </w:r>
          </w:p>
        </w:tc>
        <w:tc>
          <w:tcPr>
            <w:tcW w:w="2890" w:type="dxa"/>
            <w:gridSpan w:val="2"/>
            <w:tcBorders>
              <w:top w:val="single" w:color="auto" w:sz="4" w:space="0"/>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综合影响力</w:t>
            </w:r>
          </w:p>
        </w:tc>
        <w:tc>
          <w:tcPr>
            <w:tcW w:w="1575" w:type="dxa"/>
            <w:tcBorders>
              <w:top w:val="nil"/>
              <w:left w:val="nil"/>
              <w:bottom w:val="single" w:color="auto"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通过工会活动提升社会影响力</w:t>
            </w:r>
          </w:p>
        </w:tc>
        <w:tc>
          <w:tcPr>
            <w:tcW w:w="1276"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完成</w:t>
            </w:r>
          </w:p>
        </w:tc>
        <w:tc>
          <w:tcPr>
            <w:tcW w:w="1554"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34</w:t>
            </w:r>
          </w:p>
        </w:tc>
      </w:tr>
      <w:tr>
        <w:tblPrEx>
          <w:tblCellMar>
            <w:top w:w="0" w:type="dxa"/>
            <w:left w:w="108" w:type="dxa"/>
            <w:bottom w:w="0" w:type="dxa"/>
            <w:right w:w="108" w:type="dxa"/>
          </w:tblCellMar>
        </w:tblPrEx>
        <w:trPr>
          <w:trHeight w:val="900" w:hRule="atLeast"/>
        </w:trPr>
        <w:tc>
          <w:tcPr>
            <w:tcW w:w="1593" w:type="dxa"/>
            <w:vMerge w:val="continue"/>
            <w:tcBorders>
              <w:top w:val="nil"/>
              <w:left w:val="single" w:color="auto" w:sz="4" w:space="0"/>
              <w:bottom w:val="single" w:color="000000" w:sz="4" w:space="0"/>
              <w:right w:val="single" w:color="auto" w:sz="4" w:space="0"/>
            </w:tcBorders>
            <w:vAlign w:val="center"/>
          </w:tcPr>
          <w:p>
            <w:pPr>
              <w:rPr>
                <w:rFonts w:ascii="宋体" w:cs="宋体"/>
                <w:color w:val="000000"/>
                <w:sz w:val="22"/>
              </w:rPr>
            </w:pPr>
          </w:p>
        </w:tc>
        <w:tc>
          <w:tcPr>
            <w:tcW w:w="1486" w:type="dxa"/>
            <w:tcBorders>
              <w:top w:val="single" w:color="auto" w:sz="4" w:space="0"/>
              <w:left w:val="nil"/>
              <w:bottom w:val="single" w:color="auto"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满意度指标</w:t>
            </w:r>
            <w:r>
              <w:rPr>
                <w:rFonts w:ascii="Times New Roman" w:hAnsi="Times New Roman"/>
                <w:color w:val="000000"/>
                <w:sz w:val="22"/>
              </w:rPr>
              <w:br w:type="textWrapping"/>
            </w:r>
            <w:r>
              <w:rPr>
                <w:rFonts w:hint="eastAsia" w:ascii="宋体" w:hAnsi="宋体" w:cs="宋体"/>
                <w:color w:val="000000"/>
                <w:sz w:val="22"/>
              </w:rPr>
              <w:t>（</w:t>
            </w:r>
            <w:r>
              <w:rPr>
                <w:rFonts w:ascii="Times New Roman" w:hAnsi="Times New Roman"/>
                <w:color w:val="000000"/>
                <w:sz w:val="22"/>
              </w:rPr>
              <w:t>10</w:t>
            </w:r>
            <w:r>
              <w:rPr>
                <w:rFonts w:hint="eastAsia" w:ascii="宋体" w:hAnsi="宋体" w:cs="宋体"/>
                <w:color w:val="000000"/>
                <w:sz w:val="22"/>
              </w:rPr>
              <w:t>分）</w:t>
            </w:r>
          </w:p>
        </w:tc>
        <w:tc>
          <w:tcPr>
            <w:tcW w:w="997" w:type="dxa"/>
            <w:tcBorders>
              <w:top w:val="nil"/>
              <w:left w:val="nil"/>
              <w:bottom w:val="single" w:color="auto"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满意度</w:t>
            </w:r>
            <w:r>
              <w:rPr>
                <w:rFonts w:ascii="Times New Roman" w:hAnsi="Times New Roman"/>
                <w:color w:val="000000"/>
                <w:sz w:val="22"/>
              </w:rPr>
              <w:br w:type="textWrapping"/>
            </w:r>
            <w:r>
              <w:rPr>
                <w:rFonts w:hint="eastAsia" w:ascii="宋体" w:hAnsi="宋体" w:cs="宋体"/>
                <w:color w:val="000000"/>
                <w:sz w:val="22"/>
              </w:rPr>
              <w:t>指标</w:t>
            </w:r>
          </w:p>
        </w:tc>
        <w:tc>
          <w:tcPr>
            <w:tcW w:w="2890" w:type="dxa"/>
            <w:gridSpan w:val="2"/>
            <w:tcBorders>
              <w:top w:val="single" w:color="auto" w:sz="4" w:space="0"/>
              <w:left w:val="nil"/>
              <w:bottom w:val="single" w:color="auto" w:sz="4" w:space="0"/>
              <w:right w:val="single" w:color="auto" w:sz="4" w:space="0"/>
            </w:tcBorders>
            <w:noWrap/>
            <w:vAlign w:val="center"/>
          </w:tcPr>
          <w:p>
            <w:pPr>
              <w:rPr>
                <w:rFonts w:ascii="宋体" w:cs="宋体"/>
                <w:color w:val="000000"/>
                <w:sz w:val="22"/>
              </w:rPr>
            </w:pPr>
            <w:r>
              <w:rPr>
                <w:rFonts w:hint="eastAsia" w:ascii="宋体" w:hAnsi="宋体" w:cs="宋体"/>
                <w:color w:val="000000"/>
                <w:sz w:val="22"/>
              </w:rPr>
              <w:t>单位群众对工会工作的满意率</w:t>
            </w:r>
          </w:p>
        </w:tc>
        <w:tc>
          <w:tcPr>
            <w:tcW w:w="1575"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&gt;90</w:t>
            </w:r>
          </w:p>
        </w:tc>
        <w:tc>
          <w:tcPr>
            <w:tcW w:w="1276"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93.2</w:t>
            </w:r>
          </w:p>
        </w:tc>
        <w:tc>
          <w:tcPr>
            <w:tcW w:w="1554"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8</w:t>
            </w:r>
          </w:p>
        </w:tc>
      </w:tr>
      <w:tr>
        <w:tblPrEx>
          <w:tblCellMar>
            <w:top w:w="0" w:type="dxa"/>
            <w:left w:w="108" w:type="dxa"/>
            <w:bottom w:w="0" w:type="dxa"/>
            <w:right w:w="108" w:type="dxa"/>
          </w:tblCellMar>
        </w:tblPrEx>
        <w:trPr>
          <w:trHeight w:val="900" w:hRule="atLeast"/>
        </w:trPr>
        <w:tc>
          <w:tcPr>
            <w:tcW w:w="1593" w:type="dxa"/>
            <w:vMerge w:val="continue"/>
            <w:tcBorders>
              <w:top w:val="nil"/>
              <w:left w:val="single" w:color="auto" w:sz="4" w:space="0"/>
              <w:bottom w:val="single" w:color="000000" w:sz="4" w:space="0"/>
              <w:right w:val="single" w:color="auto" w:sz="4" w:space="0"/>
            </w:tcBorders>
            <w:vAlign w:val="center"/>
          </w:tcPr>
          <w:p>
            <w:pPr>
              <w:rPr>
                <w:rFonts w:ascii="宋体" w:cs="宋体"/>
                <w:color w:val="000000"/>
                <w:sz w:val="22"/>
              </w:rPr>
            </w:pPr>
          </w:p>
        </w:tc>
        <w:tc>
          <w:tcPr>
            <w:tcW w:w="8224" w:type="dxa"/>
            <w:gridSpan w:val="6"/>
            <w:tcBorders>
              <w:top w:val="single" w:color="auto" w:sz="4" w:space="0"/>
              <w:left w:val="nil"/>
              <w:bottom w:val="single" w:color="auto" w:sz="4" w:space="0"/>
              <w:right w:val="single" w:color="auto" w:sz="4" w:space="0"/>
            </w:tcBorders>
            <w:noWrap/>
            <w:vAlign w:val="center"/>
          </w:tcPr>
          <w:p>
            <w:pPr>
              <w:jc w:val="center"/>
              <w:rPr>
                <w:rFonts w:ascii="宋体" w:cs="宋体"/>
                <w:color w:val="000000"/>
                <w:sz w:val="22"/>
              </w:rPr>
            </w:pPr>
            <w:r>
              <w:rPr>
                <w:rFonts w:hint="eastAsia" w:ascii="宋体" w:hAnsi="宋体" w:cs="宋体"/>
                <w:color w:val="000000"/>
                <w:sz w:val="22"/>
              </w:rPr>
              <w:t>总分</w:t>
            </w:r>
          </w:p>
        </w:tc>
        <w:tc>
          <w:tcPr>
            <w:tcW w:w="1554" w:type="dxa"/>
            <w:tcBorders>
              <w:top w:val="nil"/>
              <w:left w:val="nil"/>
              <w:bottom w:val="single" w:color="auto" w:sz="4" w:space="0"/>
              <w:right w:val="single" w:color="auto" w:sz="4" w:space="0"/>
            </w:tcBorders>
            <w:noWrap/>
            <w:vAlign w:val="center"/>
          </w:tcPr>
          <w:p>
            <w:pPr>
              <w:jc w:val="center"/>
              <w:rPr>
                <w:rFonts w:ascii="宋体" w:cs="宋体"/>
                <w:color w:val="000000"/>
                <w:sz w:val="22"/>
              </w:rPr>
            </w:pPr>
            <w:r>
              <w:rPr>
                <w:rFonts w:eastAsia="Times New Roman"/>
                <w:color w:val="000000"/>
                <w:sz w:val="22"/>
              </w:rPr>
              <w:t>92</w:t>
            </w:r>
          </w:p>
        </w:tc>
      </w:tr>
      <w:tr>
        <w:tblPrEx>
          <w:tblCellMar>
            <w:top w:w="0" w:type="dxa"/>
            <w:left w:w="108" w:type="dxa"/>
            <w:bottom w:w="0" w:type="dxa"/>
            <w:right w:w="108" w:type="dxa"/>
          </w:tblCellMar>
        </w:tblPrEx>
        <w:trPr>
          <w:trHeight w:val="900" w:hRule="atLeast"/>
        </w:trPr>
        <w:tc>
          <w:tcPr>
            <w:tcW w:w="1593" w:type="dxa"/>
            <w:tcBorders>
              <w:top w:val="nil"/>
              <w:left w:val="single" w:color="auto" w:sz="4" w:space="0"/>
              <w:bottom w:val="single" w:color="auto" w:sz="4" w:space="0"/>
              <w:right w:val="single" w:color="auto" w:sz="4" w:space="0"/>
            </w:tcBorders>
            <w:vAlign w:val="center"/>
          </w:tcPr>
          <w:p>
            <w:pPr>
              <w:jc w:val="center"/>
              <w:rPr>
                <w:rFonts w:ascii="宋体" w:cs="宋体"/>
                <w:color w:val="000000"/>
                <w:sz w:val="22"/>
              </w:rPr>
            </w:pPr>
            <w:r>
              <w:rPr>
                <w:rFonts w:hint="eastAsia" w:ascii="宋体" w:hAnsi="宋体" w:cs="宋体"/>
                <w:color w:val="000000"/>
                <w:sz w:val="22"/>
              </w:rPr>
              <w:t>五、存在问题、原因及下一步整改措施</w:t>
            </w:r>
          </w:p>
        </w:tc>
        <w:tc>
          <w:tcPr>
            <w:tcW w:w="9778" w:type="dxa"/>
            <w:gridSpan w:val="7"/>
            <w:tcBorders>
              <w:top w:val="single" w:color="auto" w:sz="4" w:space="0"/>
              <w:left w:val="nil"/>
              <w:bottom w:val="single" w:color="auto" w:sz="4" w:space="0"/>
              <w:right w:val="single" w:color="auto" w:sz="4" w:space="0"/>
            </w:tcBorders>
            <w:vAlign w:val="center"/>
          </w:tcPr>
          <w:p>
            <w:pPr>
              <w:rPr>
                <w:rFonts w:ascii="宋体" w:cs="宋体"/>
                <w:color w:val="000000"/>
                <w:sz w:val="22"/>
              </w:rPr>
            </w:pPr>
            <w:r>
              <w:rPr>
                <w:rFonts w:hint="eastAsia" w:ascii="宋体" w:hAnsi="宋体" w:cs="宋体"/>
                <w:color w:val="000000"/>
                <w:sz w:val="22"/>
              </w:rPr>
              <w:t>工会工作形式相对单一，活动内容活动形式需要提升</w:t>
            </w:r>
          </w:p>
        </w:tc>
      </w:tr>
      <w:tr>
        <w:tblPrEx>
          <w:tblCellMar>
            <w:top w:w="0" w:type="dxa"/>
            <w:left w:w="108" w:type="dxa"/>
            <w:bottom w:w="0" w:type="dxa"/>
            <w:right w:w="108" w:type="dxa"/>
          </w:tblCellMar>
        </w:tblPrEx>
        <w:trPr>
          <w:trHeight w:val="270" w:hRule="atLeast"/>
        </w:trPr>
        <w:tc>
          <w:tcPr>
            <w:tcW w:w="1593" w:type="dxa"/>
            <w:tcBorders>
              <w:top w:val="nil"/>
              <w:left w:val="nil"/>
              <w:bottom w:val="nil"/>
              <w:right w:val="nil"/>
            </w:tcBorders>
            <w:noWrap/>
            <w:vAlign w:val="center"/>
          </w:tcPr>
          <w:p>
            <w:pPr>
              <w:rPr>
                <w:rFonts w:ascii="宋体" w:cs="宋体"/>
                <w:color w:val="000000"/>
                <w:sz w:val="22"/>
              </w:rPr>
            </w:pPr>
            <w:r>
              <w:rPr>
                <w:rFonts w:hint="eastAsia" w:ascii="宋体" w:hAnsi="宋体" w:cs="宋体"/>
                <w:color w:val="000000"/>
                <w:sz w:val="22"/>
              </w:rPr>
              <w:t>填报人：</w:t>
            </w:r>
          </w:p>
        </w:tc>
        <w:tc>
          <w:tcPr>
            <w:tcW w:w="1486" w:type="dxa"/>
            <w:tcBorders>
              <w:top w:val="nil"/>
              <w:left w:val="nil"/>
              <w:bottom w:val="nil"/>
              <w:right w:val="nil"/>
            </w:tcBorders>
            <w:noWrap/>
            <w:vAlign w:val="center"/>
          </w:tcPr>
          <w:p>
            <w:pPr>
              <w:rPr>
                <w:rFonts w:ascii="宋体" w:cs="宋体"/>
                <w:color w:val="000000"/>
                <w:sz w:val="22"/>
              </w:rPr>
            </w:pPr>
            <w:r>
              <w:rPr>
                <w:rFonts w:hint="eastAsia" w:ascii="宋体" w:hAnsi="宋体" w:cs="宋体"/>
                <w:color w:val="000000"/>
                <w:sz w:val="22"/>
              </w:rPr>
              <w:t>张宏广</w:t>
            </w:r>
          </w:p>
        </w:tc>
        <w:tc>
          <w:tcPr>
            <w:tcW w:w="997" w:type="dxa"/>
            <w:tcBorders>
              <w:top w:val="nil"/>
              <w:left w:val="nil"/>
              <w:bottom w:val="nil"/>
              <w:right w:val="nil"/>
            </w:tcBorders>
            <w:noWrap/>
            <w:vAlign w:val="center"/>
          </w:tcPr>
          <w:p>
            <w:pPr>
              <w:rPr>
                <w:rFonts w:ascii="宋体" w:cs="宋体"/>
                <w:color w:val="000000"/>
                <w:sz w:val="22"/>
              </w:rPr>
            </w:pPr>
          </w:p>
        </w:tc>
        <w:tc>
          <w:tcPr>
            <w:tcW w:w="1604" w:type="dxa"/>
            <w:tcBorders>
              <w:top w:val="nil"/>
              <w:left w:val="nil"/>
              <w:bottom w:val="nil"/>
              <w:right w:val="nil"/>
            </w:tcBorders>
            <w:noWrap/>
            <w:vAlign w:val="center"/>
          </w:tcPr>
          <w:p>
            <w:pPr>
              <w:rPr>
                <w:rFonts w:ascii="宋体" w:cs="宋体"/>
                <w:color w:val="000000"/>
                <w:sz w:val="22"/>
              </w:rPr>
            </w:pPr>
          </w:p>
        </w:tc>
        <w:tc>
          <w:tcPr>
            <w:tcW w:w="1286" w:type="dxa"/>
            <w:tcBorders>
              <w:top w:val="nil"/>
              <w:left w:val="nil"/>
              <w:bottom w:val="nil"/>
              <w:right w:val="nil"/>
            </w:tcBorders>
            <w:noWrap/>
            <w:vAlign w:val="center"/>
          </w:tcPr>
          <w:p>
            <w:pPr>
              <w:rPr>
                <w:rFonts w:ascii="宋体" w:cs="宋体"/>
                <w:color w:val="000000"/>
                <w:sz w:val="22"/>
              </w:rPr>
            </w:pPr>
            <w:r>
              <w:rPr>
                <w:rFonts w:hint="eastAsia" w:ascii="宋体" w:hAnsi="宋体" w:cs="宋体"/>
                <w:color w:val="000000"/>
                <w:sz w:val="22"/>
              </w:rPr>
              <w:t>联系电话：</w:t>
            </w:r>
          </w:p>
        </w:tc>
        <w:tc>
          <w:tcPr>
            <w:tcW w:w="1575" w:type="dxa"/>
            <w:tcBorders>
              <w:top w:val="nil"/>
              <w:left w:val="nil"/>
              <w:bottom w:val="nil"/>
              <w:right w:val="nil"/>
            </w:tcBorders>
            <w:noWrap/>
            <w:vAlign w:val="center"/>
          </w:tcPr>
          <w:p>
            <w:pPr>
              <w:jc w:val="right"/>
              <w:rPr>
                <w:rFonts w:ascii="宋体" w:cs="宋体"/>
                <w:color w:val="000000"/>
                <w:sz w:val="22"/>
              </w:rPr>
            </w:pPr>
            <w:r>
              <w:rPr>
                <w:rFonts w:eastAsia="Times New Roman"/>
                <w:color w:val="000000"/>
                <w:sz w:val="22"/>
              </w:rPr>
              <w:t>88056999</w:t>
            </w:r>
          </w:p>
        </w:tc>
        <w:tc>
          <w:tcPr>
            <w:tcW w:w="1276" w:type="dxa"/>
            <w:tcBorders>
              <w:top w:val="nil"/>
              <w:left w:val="nil"/>
              <w:bottom w:val="nil"/>
              <w:right w:val="nil"/>
            </w:tcBorders>
            <w:noWrap/>
            <w:vAlign w:val="center"/>
          </w:tcPr>
          <w:p>
            <w:pPr>
              <w:rPr>
                <w:rFonts w:ascii="宋体" w:cs="宋体"/>
                <w:color w:val="000000"/>
                <w:sz w:val="22"/>
              </w:rPr>
            </w:pPr>
          </w:p>
        </w:tc>
        <w:tc>
          <w:tcPr>
            <w:tcW w:w="1554" w:type="dxa"/>
            <w:tcBorders>
              <w:top w:val="nil"/>
              <w:left w:val="nil"/>
              <w:bottom w:val="nil"/>
              <w:right w:val="nil"/>
            </w:tcBorders>
            <w:noWrap/>
            <w:vAlign w:val="center"/>
          </w:tcPr>
          <w:p>
            <w:pPr>
              <w:rPr>
                <w:rFonts w:ascii="宋体" w:cs="宋体"/>
                <w:color w:val="000000"/>
                <w:sz w:val="22"/>
              </w:rPr>
            </w:pPr>
          </w:p>
        </w:tc>
      </w:tr>
    </w:tbl>
    <w:p>
      <w:pPr>
        <w:adjustRightInd w:val="0"/>
        <w:snapToGrid w:val="0"/>
        <w:spacing w:line="62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）“政府工会费”项目自评综述：根据年初设定的绩效目标，“政府工会费”项目绩效自评得分为</w:t>
      </w:r>
      <w:r>
        <w:rPr>
          <w:rFonts w:ascii="仿宋_GB2312" w:hAnsi="仿宋_GB2312" w:eastAsia="仿宋_GB2312" w:cs="仿宋_GB2312"/>
          <w:sz w:val="32"/>
          <w:szCs w:val="32"/>
        </w:rPr>
        <w:t>92</w:t>
      </w:r>
      <w:r>
        <w:rPr>
          <w:rFonts w:hint="eastAsia" w:ascii="仿宋_GB2312" w:hAnsi="仿宋_GB2312" w:eastAsia="仿宋_GB2312" w:cs="仿宋_GB2312"/>
          <w:sz w:val="32"/>
          <w:szCs w:val="32"/>
        </w:rPr>
        <w:t>分（绩效自评表附后）。全年预算数为</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。项目绩效目标完成情况：一是</w:t>
      </w:r>
      <w:r>
        <w:rPr>
          <w:rFonts w:hint="eastAsia" w:ascii="仿宋" w:hAnsi="仿宋" w:eastAsia="仿宋"/>
          <w:sz w:val="32"/>
          <w:szCs w:val="32"/>
        </w:rPr>
        <w:t>业务管理情况分析。单位组织相关人员对项目实施过程全程管理，有效保证了管理制度健全性、制度执行有效性和项目质量可控性。</w:t>
      </w:r>
    </w:p>
    <w:p>
      <w:pPr>
        <w:adjustRightInd w:val="0"/>
        <w:snapToGrid w:val="0"/>
        <w:spacing w:line="620" w:lineRule="exact"/>
        <w:rPr>
          <w:rFonts w:ascii="仿宋" w:hAnsi="仿宋" w:eastAsia="仿宋"/>
          <w:sz w:val="32"/>
          <w:szCs w:val="32"/>
        </w:rPr>
      </w:pPr>
      <w:r>
        <w:rPr>
          <w:rFonts w:hint="eastAsia" w:ascii="仿宋" w:hAnsi="仿宋" w:eastAsia="仿宋"/>
          <w:sz w:val="32"/>
          <w:szCs w:val="32"/>
        </w:rPr>
        <w:t>二是财务管理情况，</w:t>
      </w:r>
      <w:r>
        <w:rPr>
          <w:rFonts w:ascii="仿宋" w:hAnsi="仿宋" w:eastAsia="仿宋"/>
          <w:sz w:val="32"/>
          <w:szCs w:val="32"/>
        </w:rPr>
        <w:t>2019</w:t>
      </w:r>
      <w:r>
        <w:rPr>
          <w:rFonts w:hint="eastAsia" w:ascii="仿宋" w:hAnsi="仿宋" w:eastAsia="仿宋"/>
          <w:sz w:val="32"/>
          <w:szCs w:val="32"/>
        </w:rPr>
        <w:t>年度石家庄市藁城区常安镇人民政府严格执行财经制度和管理制定，按时完成预算执行进度，严格控制、合理利用各项经费，鼓励合法合规的经费开支，按要求进行预算管理。</w:t>
      </w:r>
    </w:p>
    <w:tbl>
      <w:tblPr>
        <w:tblStyle w:val="7"/>
        <w:tblW w:w="11140" w:type="dxa"/>
        <w:tblInd w:w="93" w:type="dxa"/>
        <w:tblLayout w:type="fixed"/>
        <w:tblCellMar>
          <w:top w:w="0" w:type="dxa"/>
          <w:left w:w="108" w:type="dxa"/>
          <w:bottom w:w="0" w:type="dxa"/>
          <w:right w:w="108" w:type="dxa"/>
        </w:tblCellMar>
      </w:tblPr>
      <w:tblGrid>
        <w:gridCol w:w="1593"/>
        <w:gridCol w:w="1487"/>
        <w:gridCol w:w="998"/>
        <w:gridCol w:w="1409"/>
        <w:gridCol w:w="1130"/>
        <w:gridCol w:w="1692"/>
        <w:gridCol w:w="1276"/>
        <w:gridCol w:w="1555"/>
      </w:tblGrid>
      <w:tr>
        <w:tblPrEx>
          <w:tblCellMar>
            <w:top w:w="0" w:type="dxa"/>
            <w:left w:w="108" w:type="dxa"/>
            <w:bottom w:w="0" w:type="dxa"/>
            <w:right w:w="108" w:type="dxa"/>
          </w:tblCellMar>
        </w:tblPrEx>
        <w:trPr>
          <w:trHeight w:val="624" w:hRule="atLeast"/>
        </w:trPr>
        <w:tc>
          <w:tcPr>
            <w:tcW w:w="11140" w:type="dxa"/>
            <w:gridSpan w:val="8"/>
            <w:vMerge w:val="restart"/>
            <w:tcBorders>
              <w:top w:val="nil"/>
              <w:left w:val="nil"/>
              <w:bottom w:val="nil"/>
              <w:right w:val="nil"/>
            </w:tcBorders>
            <w:noWrap/>
            <w:vAlign w:val="center"/>
          </w:tcPr>
          <w:p>
            <w:pPr>
              <w:widowControl/>
              <w:jc w:val="center"/>
              <w:rPr>
                <w:rFonts w:ascii="宋体" w:hAnsi="宋体" w:cs="宋体"/>
                <w:b/>
                <w:bCs/>
                <w:color w:val="000000"/>
                <w:kern w:val="0"/>
                <w:sz w:val="36"/>
                <w:szCs w:val="36"/>
              </w:rPr>
            </w:pPr>
            <w:r>
              <w:rPr>
                <w:rFonts w:hint="eastAsia" w:ascii="宋体" w:hAnsi="宋体" w:cs="宋体"/>
                <w:b/>
                <w:bCs/>
                <w:color w:val="000000"/>
                <w:kern w:val="0"/>
                <w:sz w:val="36"/>
                <w:szCs w:val="36"/>
              </w:rPr>
              <w:t>区级部门预算项目绩效自评表</w:t>
            </w:r>
          </w:p>
        </w:tc>
      </w:tr>
      <w:tr>
        <w:tblPrEx>
          <w:tblCellMar>
            <w:top w:w="0" w:type="dxa"/>
            <w:left w:w="108" w:type="dxa"/>
            <w:bottom w:w="0" w:type="dxa"/>
            <w:right w:w="108" w:type="dxa"/>
          </w:tblCellMar>
        </w:tblPrEx>
        <w:trPr>
          <w:trHeight w:val="624" w:hRule="atLeast"/>
        </w:trPr>
        <w:tc>
          <w:tcPr>
            <w:tcW w:w="11140" w:type="dxa"/>
            <w:gridSpan w:val="8"/>
            <w:vMerge w:val="continue"/>
            <w:tcBorders>
              <w:top w:val="nil"/>
              <w:left w:val="nil"/>
              <w:bottom w:val="nil"/>
              <w:right w:val="nil"/>
            </w:tcBorders>
            <w:vAlign w:val="center"/>
          </w:tcPr>
          <w:p>
            <w:pPr>
              <w:widowControl/>
              <w:jc w:val="left"/>
              <w:rPr>
                <w:rFonts w:ascii="宋体" w:hAnsi="宋体" w:cs="宋体"/>
                <w:b/>
                <w:bCs/>
                <w:color w:val="000000"/>
                <w:kern w:val="0"/>
                <w:sz w:val="36"/>
                <w:szCs w:val="36"/>
              </w:rPr>
            </w:pPr>
          </w:p>
        </w:tc>
      </w:tr>
      <w:tr>
        <w:tblPrEx>
          <w:tblCellMar>
            <w:top w:w="0" w:type="dxa"/>
            <w:left w:w="108" w:type="dxa"/>
            <w:bottom w:w="0" w:type="dxa"/>
            <w:right w:w="108" w:type="dxa"/>
          </w:tblCellMar>
        </w:tblPrEx>
        <w:trPr>
          <w:trHeight w:val="300" w:hRule="atLeast"/>
        </w:trPr>
        <w:tc>
          <w:tcPr>
            <w:tcW w:w="11140" w:type="dxa"/>
            <w:gridSpan w:val="8"/>
            <w:tcBorders>
              <w:top w:val="nil"/>
              <w:left w:val="nil"/>
              <w:bottom w:val="nil"/>
              <w:right w:val="nil"/>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w:t>
            </w:r>
            <w:r>
              <w:rPr>
                <w:rFonts w:ascii="宋体" w:hAnsi="宋体" w:cs="宋体"/>
                <w:color w:val="000000"/>
                <w:kern w:val="0"/>
                <w:sz w:val="22"/>
              </w:rPr>
              <w:t xml:space="preserve">  2019 </w:t>
            </w:r>
            <w:r>
              <w:rPr>
                <w:rFonts w:hint="eastAsia" w:ascii="宋体" w:hAnsi="宋体" w:cs="宋体"/>
                <w:color w:val="000000"/>
                <w:kern w:val="0"/>
                <w:sz w:val="22"/>
              </w:rPr>
              <w:t>年度）</w:t>
            </w:r>
          </w:p>
        </w:tc>
      </w:tr>
      <w:tr>
        <w:tblPrEx>
          <w:tblCellMar>
            <w:top w:w="0" w:type="dxa"/>
            <w:left w:w="108" w:type="dxa"/>
            <w:bottom w:w="0" w:type="dxa"/>
            <w:right w:w="108" w:type="dxa"/>
          </w:tblCellMar>
        </w:tblPrEx>
        <w:trPr>
          <w:trHeight w:val="270" w:hRule="atLeast"/>
        </w:trPr>
        <w:tc>
          <w:tcPr>
            <w:tcW w:w="1593" w:type="dxa"/>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填报单位：</w:t>
            </w:r>
          </w:p>
        </w:tc>
        <w:tc>
          <w:tcPr>
            <w:tcW w:w="2485" w:type="dxa"/>
            <w:gridSpan w:val="2"/>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常安镇人民政府</w:t>
            </w:r>
          </w:p>
        </w:tc>
        <w:tc>
          <w:tcPr>
            <w:tcW w:w="1409"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1130"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1692"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2831" w:type="dxa"/>
            <w:gridSpan w:val="2"/>
            <w:tcBorders>
              <w:top w:val="nil"/>
              <w:left w:val="nil"/>
              <w:bottom w:val="single" w:color="auto" w:sz="4" w:space="0"/>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单位金额：万元</w:t>
            </w:r>
          </w:p>
        </w:tc>
      </w:tr>
      <w:tr>
        <w:tblPrEx>
          <w:tblCellMar>
            <w:top w:w="0" w:type="dxa"/>
            <w:left w:w="108" w:type="dxa"/>
            <w:bottom w:w="0" w:type="dxa"/>
            <w:right w:w="108" w:type="dxa"/>
          </w:tblCellMar>
        </w:tblPrEx>
        <w:trPr>
          <w:trHeight w:val="919" w:hRule="atLeast"/>
        </w:trPr>
        <w:tc>
          <w:tcPr>
            <w:tcW w:w="1593"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一、基本情况</w:t>
            </w:r>
          </w:p>
        </w:tc>
        <w:tc>
          <w:tcPr>
            <w:tcW w:w="3894" w:type="dxa"/>
            <w:gridSpan w:val="3"/>
            <w:tcBorders>
              <w:top w:val="single" w:color="auto" w:sz="4" w:space="0"/>
              <w:left w:val="nil"/>
              <w:bottom w:val="single" w:color="auto" w:sz="4" w:space="0"/>
              <w:right w:val="single" w:color="000000" w:sz="4" w:space="0"/>
            </w:tcBorders>
            <w:noWrap/>
            <w:vAlign w:val="center"/>
          </w:tcPr>
          <w:p>
            <w:pPr>
              <w:widowControl/>
              <w:jc w:val="left"/>
              <w:rPr>
                <w:rFonts w:ascii="宋体" w:hAnsi="宋体" w:cs="宋体"/>
                <w:color w:val="000000"/>
                <w:kern w:val="0"/>
                <w:sz w:val="22"/>
              </w:rPr>
            </w:pPr>
            <w:r>
              <w:rPr>
                <w:rFonts w:ascii="宋体" w:hAnsi="宋体" w:cs="宋体"/>
                <w:color w:val="000000"/>
                <w:kern w:val="0"/>
                <w:sz w:val="22"/>
              </w:rPr>
              <w:t>2019</w:t>
            </w:r>
            <w:r>
              <w:rPr>
                <w:rFonts w:hint="eastAsia" w:ascii="宋体" w:hAnsi="宋体" w:cs="宋体"/>
                <w:color w:val="000000"/>
                <w:kern w:val="0"/>
                <w:sz w:val="22"/>
              </w:rPr>
              <w:t>年度常安镇政府工会费</w:t>
            </w:r>
          </w:p>
        </w:tc>
        <w:tc>
          <w:tcPr>
            <w:tcW w:w="1130"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实施（主管单位）</w:t>
            </w:r>
          </w:p>
        </w:tc>
        <w:tc>
          <w:tcPr>
            <w:tcW w:w="4523" w:type="dxa"/>
            <w:gridSpan w:val="3"/>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常安镇人民政府</w:t>
            </w:r>
          </w:p>
        </w:tc>
      </w:tr>
      <w:tr>
        <w:tblPrEx>
          <w:tblCellMar>
            <w:top w:w="0" w:type="dxa"/>
            <w:left w:w="108" w:type="dxa"/>
            <w:bottom w:w="0" w:type="dxa"/>
            <w:right w:w="108" w:type="dxa"/>
          </w:tblCellMar>
        </w:tblPrEx>
        <w:trPr>
          <w:trHeight w:val="919" w:hRule="atLeast"/>
        </w:trPr>
        <w:tc>
          <w:tcPr>
            <w:tcW w:w="1593"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二、预算执行</w:t>
            </w:r>
            <w:r>
              <w:rPr>
                <w:rFonts w:ascii="宋体" w:hAnsi="宋体" w:cs="宋体"/>
                <w:color w:val="000000"/>
                <w:kern w:val="0"/>
                <w:sz w:val="22"/>
              </w:rPr>
              <w:br w:type="textWrapping"/>
            </w:r>
            <w:r>
              <w:rPr>
                <w:rFonts w:hint="eastAsia" w:ascii="宋体" w:hAnsi="宋体" w:cs="宋体"/>
                <w:color w:val="000000"/>
                <w:kern w:val="0"/>
                <w:sz w:val="22"/>
              </w:rPr>
              <w:t>情况</w:t>
            </w:r>
          </w:p>
        </w:tc>
        <w:tc>
          <w:tcPr>
            <w:tcW w:w="2485" w:type="dxa"/>
            <w:gridSpan w:val="2"/>
            <w:tcBorders>
              <w:top w:val="single" w:color="auto" w:sz="4" w:space="0"/>
              <w:left w:val="nil"/>
              <w:bottom w:val="single" w:color="auto" w:sz="4" w:space="0"/>
              <w:right w:val="single" w:color="000000"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预算安排情况（调整后）</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资金到位情况</w:t>
            </w:r>
          </w:p>
        </w:tc>
        <w:tc>
          <w:tcPr>
            <w:tcW w:w="2968"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资金执行情况</w:t>
            </w:r>
          </w:p>
        </w:tc>
        <w:tc>
          <w:tcPr>
            <w:tcW w:w="1555"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预算执行进度</w:t>
            </w:r>
          </w:p>
        </w:tc>
      </w:tr>
      <w:tr>
        <w:tblPrEx>
          <w:tblCellMar>
            <w:top w:w="0" w:type="dxa"/>
            <w:left w:w="108" w:type="dxa"/>
            <w:bottom w:w="0" w:type="dxa"/>
            <w:right w:w="108" w:type="dxa"/>
          </w:tblCellMar>
        </w:tblPrEx>
        <w:trPr>
          <w:trHeight w:val="919" w:hRule="atLeast"/>
        </w:trPr>
        <w:tc>
          <w:tcPr>
            <w:tcW w:w="159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预算数：</w:t>
            </w:r>
          </w:p>
        </w:tc>
        <w:tc>
          <w:tcPr>
            <w:tcW w:w="998"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3</w:t>
            </w:r>
          </w:p>
        </w:tc>
        <w:tc>
          <w:tcPr>
            <w:tcW w:w="1409"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到位数：</w:t>
            </w:r>
          </w:p>
        </w:tc>
        <w:tc>
          <w:tcPr>
            <w:tcW w:w="1130"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3</w:t>
            </w:r>
          </w:p>
        </w:tc>
        <w:tc>
          <w:tcPr>
            <w:tcW w:w="1692"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执行数：</w:t>
            </w:r>
          </w:p>
        </w:tc>
        <w:tc>
          <w:tcPr>
            <w:tcW w:w="1276"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3</w:t>
            </w:r>
          </w:p>
        </w:tc>
        <w:tc>
          <w:tcPr>
            <w:tcW w:w="1555"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r>
      <w:tr>
        <w:tblPrEx>
          <w:tblCellMar>
            <w:top w:w="0" w:type="dxa"/>
            <w:left w:w="108" w:type="dxa"/>
            <w:bottom w:w="0" w:type="dxa"/>
            <w:right w:w="108" w:type="dxa"/>
          </w:tblCellMar>
        </w:tblPrEx>
        <w:trPr>
          <w:trHeight w:val="919" w:hRule="atLeast"/>
        </w:trPr>
        <w:tc>
          <w:tcPr>
            <w:tcW w:w="159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其中：财政</w:t>
            </w:r>
            <w:r>
              <w:rPr>
                <w:rFonts w:ascii="宋体" w:hAnsi="宋体" w:cs="宋体"/>
                <w:color w:val="000000"/>
                <w:kern w:val="0"/>
                <w:sz w:val="22"/>
              </w:rPr>
              <w:br w:type="textWrapping"/>
            </w:r>
            <w:r>
              <w:rPr>
                <w:rFonts w:ascii="宋体" w:hAnsi="宋体" w:cs="宋体"/>
                <w:color w:val="000000"/>
                <w:kern w:val="0"/>
                <w:sz w:val="22"/>
              </w:rPr>
              <w:t xml:space="preserve">     </w:t>
            </w:r>
            <w:r>
              <w:rPr>
                <w:rFonts w:hint="eastAsia" w:ascii="宋体" w:hAnsi="宋体" w:cs="宋体"/>
                <w:color w:val="000000"/>
                <w:kern w:val="0"/>
                <w:sz w:val="22"/>
              </w:rPr>
              <w:t>资金</w:t>
            </w:r>
          </w:p>
        </w:tc>
        <w:tc>
          <w:tcPr>
            <w:tcW w:w="998"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3</w:t>
            </w:r>
          </w:p>
        </w:tc>
        <w:tc>
          <w:tcPr>
            <w:tcW w:w="1409"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其中：财政</w:t>
            </w:r>
            <w:r>
              <w:rPr>
                <w:rFonts w:ascii="宋体" w:hAnsi="宋体" w:cs="宋体"/>
                <w:color w:val="000000"/>
                <w:kern w:val="0"/>
                <w:sz w:val="22"/>
              </w:rPr>
              <w:br w:type="textWrapping"/>
            </w:r>
            <w:r>
              <w:rPr>
                <w:rFonts w:ascii="宋体" w:hAnsi="宋体" w:cs="宋体"/>
                <w:color w:val="000000"/>
                <w:kern w:val="0"/>
                <w:sz w:val="22"/>
              </w:rPr>
              <w:t xml:space="preserve">     </w:t>
            </w:r>
            <w:r>
              <w:rPr>
                <w:rFonts w:hint="eastAsia" w:ascii="宋体" w:hAnsi="宋体" w:cs="宋体"/>
                <w:color w:val="000000"/>
                <w:kern w:val="0"/>
                <w:sz w:val="22"/>
              </w:rPr>
              <w:t>资金</w:t>
            </w:r>
          </w:p>
        </w:tc>
        <w:tc>
          <w:tcPr>
            <w:tcW w:w="1130"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3</w:t>
            </w:r>
          </w:p>
        </w:tc>
        <w:tc>
          <w:tcPr>
            <w:tcW w:w="1692"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其中：财政</w:t>
            </w:r>
            <w:r>
              <w:rPr>
                <w:rFonts w:ascii="宋体" w:hAnsi="宋体" w:cs="宋体"/>
                <w:color w:val="000000"/>
                <w:kern w:val="0"/>
                <w:sz w:val="22"/>
              </w:rPr>
              <w:br w:type="textWrapping"/>
            </w:r>
            <w:r>
              <w:rPr>
                <w:rFonts w:ascii="宋体" w:hAnsi="宋体" w:cs="宋体"/>
                <w:color w:val="000000"/>
                <w:kern w:val="0"/>
                <w:sz w:val="22"/>
              </w:rPr>
              <w:t xml:space="preserve">     </w:t>
            </w:r>
            <w:r>
              <w:rPr>
                <w:rFonts w:hint="eastAsia" w:ascii="宋体" w:hAnsi="宋体" w:cs="宋体"/>
                <w:color w:val="000000"/>
                <w:kern w:val="0"/>
                <w:sz w:val="22"/>
              </w:rPr>
              <w:t>资金</w:t>
            </w:r>
          </w:p>
        </w:tc>
        <w:tc>
          <w:tcPr>
            <w:tcW w:w="1276"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3</w:t>
            </w:r>
          </w:p>
        </w:tc>
        <w:tc>
          <w:tcPr>
            <w:tcW w:w="155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r>
      <w:tr>
        <w:tblPrEx>
          <w:tblCellMar>
            <w:top w:w="0" w:type="dxa"/>
            <w:left w:w="108" w:type="dxa"/>
            <w:bottom w:w="0" w:type="dxa"/>
            <w:right w:w="108" w:type="dxa"/>
          </w:tblCellMar>
        </w:tblPrEx>
        <w:trPr>
          <w:trHeight w:val="919" w:hRule="atLeast"/>
        </w:trPr>
        <w:tc>
          <w:tcPr>
            <w:tcW w:w="159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ascii="宋体" w:hAnsi="宋体" w:cs="宋体"/>
                <w:color w:val="000000"/>
                <w:kern w:val="0"/>
                <w:sz w:val="22"/>
              </w:rPr>
              <w:t xml:space="preserve">     </w:t>
            </w:r>
            <w:r>
              <w:rPr>
                <w:rFonts w:hint="eastAsia" w:ascii="宋体" w:hAnsi="宋体" w:cs="宋体"/>
                <w:color w:val="000000"/>
                <w:kern w:val="0"/>
                <w:sz w:val="22"/>
              </w:rPr>
              <w:t>其他</w:t>
            </w:r>
          </w:p>
        </w:tc>
        <w:tc>
          <w:tcPr>
            <w:tcW w:w="998"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409"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ascii="宋体" w:hAnsi="宋体" w:cs="宋体"/>
                <w:color w:val="000000"/>
                <w:kern w:val="0"/>
                <w:sz w:val="22"/>
              </w:rPr>
              <w:t xml:space="preserve">     </w:t>
            </w:r>
            <w:r>
              <w:rPr>
                <w:rFonts w:hint="eastAsia" w:ascii="宋体" w:hAnsi="宋体" w:cs="宋体"/>
                <w:color w:val="000000"/>
                <w:kern w:val="0"/>
                <w:sz w:val="22"/>
              </w:rPr>
              <w:t>其他</w:t>
            </w:r>
          </w:p>
        </w:tc>
        <w:tc>
          <w:tcPr>
            <w:tcW w:w="1130"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692"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ascii="宋体" w:hAnsi="宋体" w:cs="宋体"/>
                <w:color w:val="000000"/>
                <w:kern w:val="0"/>
                <w:sz w:val="22"/>
              </w:rPr>
              <w:t xml:space="preserve">     </w:t>
            </w:r>
            <w:r>
              <w:rPr>
                <w:rFonts w:hint="eastAsia" w:ascii="宋体" w:hAnsi="宋体" w:cs="宋体"/>
                <w:color w:val="000000"/>
                <w:kern w:val="0"/>
                <w:sz w:val="22"/>
              </w:rPr>
              <w:t>其他</w:t>
            </w:r>
          </w:p>
        </w:tc>
        <w:tc>
          <w:tcPr>
            <w:tcW w:w="1276"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55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r>
      <w:tr>
        <w:tblPrEx>
          <w:tblCellMar>
            <w:top w:w="0" w:type="dxa"/>
            <w:left w:w="108" w:type="dxa"/>
            <w:bottom w:w="0" w:type="dxa"/>
            <w:right w:w="108" w:type="dxa"/>
          </w:tblCellMar>
        </w:tblPrEx>
        <w:trPr>
          <w:trHeight w:val="919" w:hRule="atLeast"/>
        </w:trPr>
        <w:tc>
          <w:tcPr>
            <w:tcW w:w="1593"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三、目标完成</w:t>
            </w:r>
            <w:r>
              <w:rPr>
                <w:rFonts w:ascii="宋体" w:hAnsi="宋体" w:cs="宋体"/>
                <w:color w:val="000000"/>
                <w:kern w:val="0"/>
                <w:sz w:val="22"/>
              </w:rPr>
              <w:br w:type="textWrapping"/>
            </w:r>
            <w:r>
              <w:rPr>
                <w:rFonts w:hint="eastAsia" w:ascii="宋体" w:hAnsi="宋体" w:cs="宋体"/>
                <w:color w:val="000000"/>
                <w:kern w:val="0"/>
                <w:sz w:val="22"/>
              </w:rPr>
              <w:t>情况</w:t>
            </w:r>
          </w:p>
        </w:tc>
        <w:tc>
          <w:tcPr>
            <w:tcW w:w="3894" w:type="dxa"/>
            <w:gridSpan w:val="3"/>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年度预算目标</w:t>
            </w:r>
          </w:p>
        </w:tc>
        <w:tc>
          <w:tcPr>
            <w:tcW w:w="4098" w:type="dxa"/>
            <w:gridSpan w:val="3"/>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具体完成情况</w:t>
            </w:r>
          </w:p>
        </w:tc>
        <w:tc>
          <w:tcPr>
            <w:tcW w:w="1555"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总体完成率</w:t>
            </w:r>
          </w:p>
        </w:tc>
      </w:tr>
      <w:tr>
        <w:tblPrEx>
          <w:tblCellMar>
            <w:top w:w="0" w:type="dxa"/>
            <w:left w:w="108" w:type="dxa"/>
            <w:bottom w:w="0" w:type="dxa"/>
            <w:right w:w="108" w:type="dxa"/>
          </w:tblCellMar>
        </w:tblPrEx>
        <w:trPr>
          <w:trHeight w:val="919" w:hRule="atLeast"/>
        </w:trPr>
        <w:tc>
          <w:tcPr>
            <w:tcW w:w="159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3894" w:type="dxa"/>
            <w:gridSpan w:val="3"/>
            <w:tcBorders>
              <w:top w:val="single" w:color="auto" w:sz="4" w:space="0"/>
              <w:left w:val="nil"/>
              <w:bottom w:val="single" w:color="auto" w:sz="4" w:space="0"/>
              <w:right w:val="single" w:color="auto" w:sz="4" w:space="0"/>
            </w:tcBorders>
          </w:tcPr>
          <w:p>
            <w:pPr>
              <w:widowControl/>
              <w:jc w:val="left"/>
              <w:rPr>
                <w:rFonts w:ascii="宋体" w:hAnsi="宋体" w:cs="宋体"/>
                <w:color w:val="000000"/>
                <w:kern w:val="0"/>
                <w:sz w:val="22"/>
              </w:rPr>
            </w:pPr>
            <w:r>
              <w:rPr>
                <w:rFonts w:hint="eastAsia" w:ascii="宋体" w:hAnsi="宋体" w:cs="宋体"/>
                <w:color w:val="000000"/>
                <w:kern w:val="0"/>
                <w:sz w:val="22"/>
              </w:rPr>
              <w:t>及时上缴工会费，切实提高常安镇学区工会工作水平，保障工会工作顺利开展。</w:t>
            </w:r>
          </w:p>
        </w:tc>
        <w:tc>
          <w:tcPr>
            <w:tcW w:w="4098" w:type="dxa"/>
            <w:gridSpan w:val="3"/>
            <w:tcBorders>
              <w:top w:val="single" w:color="auto" w:sz="4" w:space="0"/>
              <w:left w:val="nil"/>
              <w:bottom w:val="single" w:color="auto" w:sz="4" w:space="0"/>
              <w:right w:val="single" w:color="000000"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工会费及时、足额上缴区总工会，工会工作开展顺利，达到预期目标</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r>
      <w:tr>
        <w:tblPrEx>
          <w:tblCellMar>
            <w:top w:w="0" w:type="dxa"/>
            <w:left w:w="108" w:type="dxa"/>
            <w:bottom w:w="0" w:type="dxa"/>
            <w:right w:w="108" w:type="dxa"/>
          </w:tblCellMar>
        </w:tblPrEx>
        <w:trPr>
          <w:trHeight w:val="919" w:hRule="atLeast"/>
        </w:trPr>
        <w:tc>
          <w:tcPr>
            <w:tcW w:w="1593"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四、年度绩效指标完成情况</w:t>
            </w:r>
          </w:p>
        </w:tc>
        <w:tc>
          <w:tcPr>
            <w:tcW w:w="1487"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一级指标</w:t>
            </w:r>
          </w:p>
        </w:tc>
        <w:tc>
          <w:tcPr>
            <w:tcW w:w="99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二级指标</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三级指标</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预期指标值</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实际完成值</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自评得分</w:t>
            </w:r>
          </w:p>
        </w:tc>
      </w:tr>
      <w:tr>
        <w:tblPrEx>
          <w:tblCellMar>
            <w:top w:w="0" w:type="dxa"/>
            <w:left w:w="108" w:type="dxa"/>
            <w:bottom w:w="0" w:type="dxa"/>
            <w:right w:w="108" w:type="dxa"/>
          </w:tblCellMar>
        </w:tblPrEx>
        <w:trPr>
          <w:trHeight w:val="919"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产出指标</w:t>
            </w:r>
            <w:r>
              <w:rPr>
                <w:rFonts w:ascii="宋体" w:hAnsi="宋体" w:cs="宋体"/>
                <w:color w:val="000000"/>
                <w:kern w:val="0"/>
                <w:sz w:val="22"/>
              </w:rPr>
              <w:br w:type="textWrapping"/>
            </w:r>
            <w:r>
              <w:rPr>
                <w:rFonts w:hint="eastAsia" w:ascii="宋体" w:hAnsi="宋体" w:cs="宋体"/>
                <w:color w:val="000000"/>
                <w:kern w:val="0"/>
                <w:sz w:val="22"/>
              </w:rPr>
              <w:t>（</w:t>
            </w:r>
            <w:r>
              <w:rPr>
                <w:rFonts w:ascii="宋体" w:hAnsi="宋体" w:cs="宋体"/>
                <w:color w:val="000000"/>
                <w:kern w:val="0"/>
                <w:sz w:val="22"/>
              </w:rPr>
              <w:t>40</w:t>
            </w:r>
            <w:r>
              <w:rPr>
                <w:rFonts w:hint="eastAsia" w:ascii="宋体" w:hAnsi="宋体" w:cs="宋体"/>
                <w:color w:val="000000"/>
                <w:kern w:val="0"/>
                <w:sz w:val="22"/>
              </w:rPr>
              <w:t>分）</w:t>
            </w:r>
          </w:p>
        </w:tc>
        <w:tc>
          <w:tcPr>
            <w:tcW w:w="99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数量指标</w:t>
            </w:r>
          </w:p>
        </w:tc>
        <w:tc>
          <w:tcPr>
            <w:tcW w:w="2539" w:type="dxa"/>
            <w:gridSpan w:val="2"/>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工会经费保障率</w:t>
            </w:r>
            <w:r>
              <w:rPr>
                <w:rFonts w:ascii="宋体" w:hAnsi="宋体" w:cs="宋体"/>
                <w:color w:val="000000"/>
                <w:kern w:val="0"/>
                <w:sz w:val="22"/>
              </w:rPr>
              <w:t xml:space="preserve"> </w:t>
            </w:r>
          </w:p>
        </w:tc>
        <w:tc>
          <w:tcPr>
            <w:tcW w:w="1692"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c>
          <w:tcPr>
            <w:tcW w:w="127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20</w:t>
            </w:r>
          </w:p>
        </w:tc>
      </w:tr>
      <w:tr>
        <w:tblPrEx>
          <w:tblCellMar>
            <w:top w:w="0" w:type="dxa"/>
            <w:left w:w="108" w:type="dxa"/>
            <w:bottom w:w="0" w:type="dxa"/>
            <w:right w:w="108" w:type="dxa"/>
          </w:tblCellMar>
        </w:tblPrEx>
        <w:trPr>
          <w:trHeight w:val="919"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998"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时效指标</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工会经费拨付及时率</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20</w:t>
            </w:r>
          </w:p>
        </w:tc>
      </w:tr>
      <w:tr>
        <w:tblPrEx>
          <w:tblCellMar>
            <w:top w:w="0" w:type="dxa"/>
            <w:left w:w="108" w:type="dxa"/>
            <w:bottom w:w="0" w:type="dxa"/>
            <w:right w:w="108" w:type="dxa"/>
          </w:tblCellMar>
        </w:tblPrEx>
        <w:trPr>
          <w:trHeight w:val="919"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预算执行率指标（</w:t>
            </w:r>
            <w:r>
              <w:rPr>
                <w:rFonts w:ascii="宋体" w:hAnsi="宋体" w:cs="宋体"/>
                <w:color w:val="000000"/>
                <w:kern w:val="0"/>
                <w:sz w:val="22"/>
              </w:rPr>
              <w:t>10</w:t>
            </w:r>
            <w:r>
              <w:rPr>
                <w:rFonts w:hint="eastAsia" w:ascii="宋体" w:hAnsi="宋体" w:cs="宋体"/>
                <w:color w:val="000000"/>
                <w:kern w:val="0"/>
                <w:sz w:val="22"/>
              </w:rPr>
              <w:t>分）</w:t>
            </w:r>
          </w:p>
        </w:tc>
        <w:tc>
          <w:tcPr>
            <w:tcW w:w="998"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预算</w:t>
            </w:r>
            <w:r>
              <w:rPr>
                <w:rFonts w:ascii="宋体" w:hAnsi="宋体" w:cs="宋体"/>
                <w:color w:val="000000"/>
                <w:kern w:val="0"/>
                <w:sz w:val="22"/>
              </w:rPr>
              <w:br w:type="textWrapping"/>
            </w:r>
            <w:r>
              <w:rPr>
                <w:rFonts w:hint="eastAsia" w:ascii="宋体" w:hAnsi="宋体" w:cs="宋体"/>
                <w:color w:val="000000"/>
                <w:kern w:val="0"/>
                <w:sz w:val="22"/>
              </w:rPr>
              <w:t>执行率</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项目是否按进度执行</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12</w:t>
            </w:r>
            <w:r>
              <w:rPr>
                <w:rFonts w:hint="eastAsia" w:ascii="宋体" w:hAnsi="宋体" w:cs="宋体"/>
                <w:color w:val="000000"/>
                <w:kern w:val="0"/>
                <w:sz w:val="22"/>
              </w:rPr>
              <w:t>月全部完成</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完成</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w:t>
            </w:r>
          </w:p>
        </w:tc>
      </w:tr>
      <w:tr>
        <w:tblPrEx>
          <w:tblCellMar>
            <w:top w:w="0" w:type="dxa"/>
            <w:left w:w="108" w:type="dxa"/>
            <w:bottom w:w="0" w:type="dxa"/>
            <w:right w:w="108" w:type="dxa"/>
          </w:tblCellMar>
        </w:tblPrEx>
        <w:trPr>
          <w:trHeight w:val="919"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nil"/>
              <w:left w:val="nil"/>
              <w:bottom w:val="nil"/>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998"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可持续影响指标</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综合影响力</w:t>
            </w:r>
          </w:p>
        </w:tc>
        <w:tc>
          <w:tcPr>
            <w:tcW w:w="1692"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通过工会活动提升社会影响力</w:t>
            </w:r>
          </w:p>
        </w:tc>
        <w:tc>
          <w:tcPr>
            <w:tcW w:w="127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社会影响力提升</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34</w:t>
            </w:r>
          </w:p>
        </w:tc>
      </w:tr>
      <w:tr>
        <w:tblPrEx>
          <w:tblCellMar>
            <w:top w:w="0" w:type="dxa"/>
            <w:left w:w="108" w:type="dxa"/>
            <w:bottom w:w="0" w:type="dxa"/>
            <w:right w:w="108" w:type="dxa"/>
          </w:tblCellMar>
        </w:tblPrEx>
        <w:trPr>
          <w:trHeight w:val="919"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满意度指标</w:t>
            </w:r>
            <w:r>
              <w:rPr>
                <w:rFonts w:ascii="宋体" w:hAnsi="宋体" w:cs="宋体"/>
                <w:color w:val="000000"/>
                <w:kern w:val="0"/>
                <w:sz w:val="22"/>
              </w:rPr>
              <w:br w:type="textWrapping"/>
            </w:r>
            <w:r>
              <w:rPr>
                <w:rFonts w:hint="eastAsia" w:ascii="宋体" w:hAnsi="宋体" w:cs="宋体"/>
                <w:color w:val="000000"/>
                <w:kern w:val="0"/>
                <w:sz w:val="22"/>
              </w:rPr>
              <w:t>（</w:t>
            </w:r>
            <w:r>
              <w:rPr>
                <w:rFonts w:ascii="宋体" w:hAnsi="宋体" w:cs="宋体"/>
                <w:color w:val="000000"/>
                <w:kern w:val="0"/>
                <w:sz w:val="22"/>
              </w:rPr>
              <w:t>10</w:t>
            </w:r>
            <w:r>
              <w:rPr>
                <w:rFonts w:hint="eastAsia" w:ascii="宋体" w:hAnsi="宋体" w:cs="宋体"/>
                <w:color w:val="000000"/>
                <w:kern w:val="0"/>
                <w:sz w:val="22"/>
              </w:rPr>
              <w:t>分）</w:t>
            </w:r>
          </w:p>
        </w:tc>
        <w:tc>
          <w:tcPr>
            <w:tcW w:w="998"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满意度</w:t>
            </w:r>
            <w:r>
              <w:rPr>
                <w:rFonts w:ascii="宋体" w:hAnsi="宋体" w:cs="宋体"/>
                <w:color w:val="000000"/>
                <w:kern w:val="0"/>
                <w:sz w:val="22"/>
              </w:rPr>
              <w:br w:type="textWrapping"/>
            </w:r>
            <w:r>
              <w:rPr>
                <w:rFonts w:hint="eastAsia" w:ascii="宋体" w:hAnsi="宋体" w:cs="宋体"/>
                <w:color w:val="000000"/>
                <w:kern w:val="0"/>
                <w:sz w:val="22"/>
              </w:rPr>
              <w:t>指标</w:t>
            </w:r>
          </w:p>
        </w:tc>
        <w:tc>
          <w:tcPr>
            <w:tcW w:w="2539" w:type="dxa"/>
            <w:gridSpan w:val="2"/>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单位群众对工会工作的满意率</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&gt;90</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94.6</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8</w:t>
            </w:r>
          </w:p>
        </w:tc>
      </w:tr>
      <w:tr>
        <w:tblPrEx>
          <w:tblCellMar>
            <w:top w:w="0" w:type="dxa"/>
            <w:left w:w="108" w:type="dxa"/>
            <w:bottom w:w="0" w:type="dxa"/>
            <w:right w:w="108" w:type="dxa"/>
          </w:tblCellMar>
        </w:tblPrEx>
        <w:trPr>
          <w:trHeight w:val="919"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7992" w:type="dxa"/>
            <w:gridSpan w:val="6"/>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总分</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92</w:t>
            </w:r>
          </w:p>
        </w:tc>
      </w:tr>
      <w:tr>
        <w:tblPrEx>
          <w:tblCellMar>
            <w:top w:w="0" w:type="dxa"/>
            <w:left w:w="108" w:type="dxa"/>
            <w:bottom w:w="0" w:type="dxa"/>
            <w:right w:w="108" w:type="dxa"/>
          </w:tblCellMar>
        </w:tblPrEx>
        <w:trPr>
          <w:trHeight w:val="919" w:hRule="atLeast"/>
        </w:trPr>
        <w:tc>
          <w:tcPr>
            <w:tcW w:w="1593"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五、存在问题、原因及下一步整改措施</w:t>
            </w:r>
          </w:p>
        </w:tc>
        <w:tc>
          <w:tcPr>
            <w:tcW w:w="9547" w:type="dxa"/>
            <w:gridSpan w:val="7"/>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工会工作形式相对单一，活动内容活动形式需要提升。</w:t>
            </w:r>
          </w:p>
        </w:tc>
      </w:tr>
      <w:tr>
        <w:tblPrEx>
          <w:tblCellMar>
            <w:top w:w="0" w:type="dxa"/>
            <w:left w:w="108" w:type="dxa"/>
            <w:bottom w:w="0" w:type="dxa"/>
            <w:right w:w="108" w:type="dxa"/>
          </w:tblCellMar>
        </w:tblPrEx>
        <w:trPr>
          <w:trHeight w:val="270" w:hRule="atLeast"/>
        </w:trPr>
        <w:tc>
          <w:tcPr>
            <w:tcW w:w="1593" w:type="dxa"/>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填报人：</w:t>
            </w:r>
          </w:p>
        </w:tc>
        <w:tc>
          <w:tcPr>
            <w:tcW w:w="1487" w:type="dxa"/>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张宏广</w:t>
            </w:r>
          </w:p>
        </w:tc>
        <w:tc>
          <w:tcPr>
            <w:tcW w:w="998"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1409"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1130" w:type="dxa"/>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联系电话：</w:t>
            </w:r>
          </w:p>
        </w:tc>
        <w:tc>
          <w:tcPr>
            <w:tcW w:w="1692" w:type="dxa"/>
            <w:tcBorders>
              <w:top w:val="nil"/>
              <w:left w:val="nil"/>
              <w:bottom w:val="nil"/>
              <w:right w:val="nil"/>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88056999</w:t>
            </w:r>
          </w:p>
        </w:tc>
        <w:tc>
          <w:tcPr>
            <w:tcW w:w="1276"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1555" w:type="dxa"/>
            <w:tcBorders>
              <w:top w:val="nil"/>
              <w:left w:val="nil"/>
              <w:bottom w:val="nil"/>
              <w:right w:val="nil"/>
            </w:tcBorders>
            <w:noWrap/>
            <w:vAlign w:val="center"/>
          </w:tcPr>
          <w:p>
            <w:pPr>
              <w:widowControl/>
              <w:jc w:val="left"/>
              <w:rPr>
                <w:rFonts w:ascii="宋体" w:hAnsi="宋体" w:cs="宋体"/>
                <w:color w:val="000000"/>
                <w:kern w:val="0"/>
                <w:sz w:val="22"/>
              </w:rPr>
            </w:pPr>
          </w:p>
        </w:tc>
      </w:tr>
    </w:tbl>
    <w:p>
      <w:pPr>
        <w:adjustRightInd w:val="0"/>
        <w:snapToGrid w:val="0"/>
        <w:spacing w:line="620" w:lineRule="exact"/>
        <w:rPr>
          <w:rFonts w:ascii="仿宋" w:hAnsi="仿宋" w:eastAsia="仿宋"/>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62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）“综合经费”项目自评综述：根据年初设定的绩效目标，“物价检查所价格认定经费”项目绩效自评得分为</w:t>
      </w:r>
      <w:r>
        <w:rPr>
          <w:rFonts w:ascii="仿宋_GB2312" w:hAnsi="仿宋_GB2312" w:eastAsia="仿宋_GB2312" w:cs="仿宋_GB2312"/>
          <w:sz w:val="32"/>
          <w:szCs w:val="32"/>
        </w:rPr>
        <w:t>90</w:t>
      </w:r>
      <w:r>
        <w:rPr>
          <w:rFonts w:hint="eastAsia" w:ascii="仿宋_GB2312" w:hAnsi="仿宋_GB2312" w:eastAsia="仿宋_GB2312" w:cs="仿宋_GB2312"/>
          <w:sz w:val="32"/>
          <w:szCs w:val="32"/>
        </w:rPr>
        <w:t>分（绩效自评表附后）。全年预算数为</w:t>
      </w:r>
      <w:r>
        <w:rPr>
          <w:rFonts w:ascii="仿宋_GB2312" w:hAnsi="仿宋_GB2312" w:eastAsia="仿宋_GB2312" w:cs="仿宋_GB2312"/>
          <w:sz w:val="32"/>
          <w:szCs w:val="32"/>
        </w:rPr>
        <w:t>99.93</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99.93</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。项目绩效目标完成情况：一是</w:t>
      </w:r>
      <w:r>
        <w:rPr>
          <w:rFonts w:hint="eastAsia" w:ascii="仿宋" w:hAnsi="仿宋" w:eastAsia="仿宋"/>
          <w:sz w:val="32"/>
          <w:szCs w:val="32"/>
        </w:rPr>
        <w:t>业务管理情况分析。单位组织相关人员对项目实施过程全程管理，有效保证了管理制度健全性、制度执行有效性和项目质量可控性。</w:t>
      </w:r>
    </w:p>
    <w:p>
      <w:pPr>
        <w:adjustRightInd w:val="0"/>
        <w:snapToGrid w:val="0"/>
        <w:spacing w:line="580" w:lineRule="exact"/>
        <w:rPr>
          <w:rFonts w:ascii="仿宋_GB2312" w:hAnsi="仿宋_GB2312" w:eastAsia="仿宋_GB2312" w:cs="仿宋_GB2312"/>
          <w:sz w:val="32"/>
          <w:szCs w:val="32"/>
        </w:rPr>
      </w:pPr>
      <w:r>
        <w:rPr>
          <w:rFonts w:hint="eastAsia" w:ascii="仿宋" w:hAnsi="仿宋" w:eastAsia="仿宋"/>
          <w:sz w:val="32"/>
          <w:szCs w:val="32"/>
        </w:rPr>
        <w:t>二是财务管理情况，</w:t>
      </w:r>
      <w:r>
        <w:rPr>
          <w:rFonts w:ascii="仿宋" w:hAnsi="仿宋" w:eastAsia="仿宋"/>
          <w:sz w:val="32"/>
          <w:szCs w:val="32"/>
        </w:rPr>
        <w:t>2019</w:t>
      </w:r>
      <w:r>
        <w:rPr>
          <w:rFonts w:hint="eastAsia" w:ascii="仿宋" w:hAnsi="仿宋" w:eastAsia="仿宋"/>
          <w:sz w:val="32"/>
          <w:szCs w:val="32"/>
        </w:rPr>
        <w:t>年度石家庄市藁城区常安镇人民政府严格执行财经制度和管理制定，按时完成预算执行进度，严格控制、合理利用各项经费，鼓励合法合规的经费开支，按要求进行预算管理。</w:t>
      </w:r>
    </w:p>
    <w:tbl>
      <w:tblPr>
        <w:tblStyle w:val="7"/>
        <w:tblW w:w="11140" w:type="dxa"/>
        <w:tblInd w:w="93" w:type="dxa"/>
        <w:tblLayout w:type="fixed"/>
        <w:tblCellMar>
          <w:top w:w="0" w:type="dxa"/>
          <w:left w:w="108" w:type="dxa"/>
          <w:bottom w:w="0" w:type="dxa"/>
          <w:right w:w="108" w:type="dxa"/>
        </w:tblCellMar>
      </w:tblPr>
      <w:tblGrid>
        <w:gridCol w:w="1593"/>
        <w:gridCol w:w="1487"/>
        <w:gridCol w:w="998"/>
        <w:gridCol w:w="1409"/>
        <w:gridCol w:w="1130"/>
        <w:gridCol w:w="1692"/>
        <w:gridCol w:w="1276"/>
        <w:gridCol w:w="1555"/>
      </w:tblGrid>
      <w:tr>
        <w:tblPrEx>
          <w:tblCellMar>
            <w:top w:w="0" w:type="dxa"/>
            <w:left w:w="108" w:type="dxa"/>
            <w:bottom w:w="0" w:type="dxa"/>
            <w:right w:w="108" w:type="dxa"/>
          </w:tblCellMar>
        </w:tblPrEx>
        <w:trPr>
          <w:trHeight w:val="624" w:hRule="atLeast"/>
        </w:trPr>
        <w:tc>
          <w:tcPr>
            <w:tcW w:w="11140" w:type="dxa"/>
            <w:gridSpan w:val="8"/>
            <w:vMerge w:val="restart"/>
            <w:tcBorders>
              <w:top w:val="nil"/>
              <w:left w:val="nil"/>
              <w:bottom w:val="nil"/>
              <w:right w:val="nil"/>
            </w:tcBorders>
            <w:noWrap/>
            <w:vAlign w:val="center"/>
          </w:tcPr>
          <w:p>
            <w:pPr>
              <w:widowControl/>
              <w:jc w:val="center"/>
              <w:rPr>
                <w:rFonts w:ascii="宋体" w:hAnsi="宋体" w:cs="宋体"/>
                <w:b/>
                <w:bCs/>
                <w:color w:val="000000"/>
                <w:kern w:val="0"/>
                <w:sz w:val="36"/>
                <w:szCs w:val="36"/>
              </w:rPr>
            </w:pPr>
            <w:r>
              <w:rPr>
                <w:rFonts w:hint="eastAsia" w:ascii="宋体" w:hAnsi="宋体" w:cs="宋体"/>
                <w:b/>
                <w:bCs/>
                <w:color w:val="000000"/>
                <w:kern w:val="0"/>
                <w:sz w:val="36"/>
                <w:szCs w:val="36"/>
              </w:rPr>
              <w:t>区级部门预算项目绩效自评表</w:t>
            </w:r>
          </w:p>
        </w:tc>
      </w:tr>
      <w:tr>
        <w:tblPrEx>
          <w:tblCellMar>
            <w:top w:w="0" w:type="dxa"/>
            <w:left w:w="108" w:type="dxa"/>
            <w:bottom w:w="0" w:type="dxa"/>
            <w:right w:w="108" w:type="dxa"/>
          </w:tblCellMar>
        </w:tblPrEx>
        <w:trPr>
          <w:trHeight w:val="624" w:hRule="atLeast"/>
        </w:trPr>
        <w:tc>
          <w:tcPr>
            <w:tcW w:w="11140" w:type="dxa"/>
            <w:gridSpan w:val="8"/>
            <w:vMerge w:val="continue"/>
            <w:tcBorders>
              <w:top w:val="nil"/>
              <w:left w:val="nil"/>
              <w:bottom w:val="nil"/>
              <w:right w:val="nil"/>
            </w:tcBorders>
            <w:vAlign w:val="center"/>
          </w:tcPr>
          <w:p>
            <w:pPr>
              <w:widowControl/>
              <w:jc w:val="left"/>
              <w:rPr>
                <w:rFonts w:ascii="宋体" w:hAnsi="宋体" w:cs="宋体"/>
                <w:b/>
                <w:bCs/>
                <w:color w:val="000000"/>
                <w:kern w:val="0"/>
                <w:sz w:val="36"/>
                <w:szCs w:val="36"/>
              </w:rPr>
            </w:pPr>
          </w:p>
        </w:tc>
      </w:tr>
      <w:tr>
        <w:tblPrEx>
          <w:tblCellMar>
            <w:top w:w="0" w:type="dxa"/>
            <w:left w:w="108" w:type="dxa"/>
            <w:bottom w:w="0" w:type="dxa"/>
            <w:right w:w="108" w:type="dxa"/>
          </w:tblCellMar>
        </w:tblPrEx>
        <w:trPr>
          <w:trHeight w:val="300" w:hRule="atLeast"/>
        </w:trPr>
        <w:tc>
          <w:tcPr>
            <w:tcW w:w="11140" w:type="dxa"/>
            <w:gridSpan w:val="8"/>
            <w:tcBorders>
              <w:top w:val="nil"/>
              <w:left w:val="nil"/>
              <w:bottom w:val="nil"/>
              <w:right w:val="nil"/>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w:t>
            </w:r>
            <w:r>
              <w:rPr>
                <w:rFonts w:ascii="宋体" w:hAnsi="宋体" w:cs="宋体"/>
                <w:color w:val="000000"/>
                <w:kern w:val="0"/>
                <w:sz w:val="22"/>
              </w:rPr>
              <w:t xml:space="preserve">  2019 </w:t>
            </w:r>
            <w:r>
              <w:rPr>
                <w:rFonts w:hint="eastAsia" w:ascii="宋体" w:hAnsi="宋体" w:cs="宋体"/>
                <w:color w:val="000000"/>
                <w:kern w:val="0"/>
                <w:sz w:val="22"/>
              </w:rPr>
              <w:t>年度）</w:t>
            </w:r>
          </w:p>
        </w:tc>
      </w:tr>
      <w:tr>
        <w:tblPrEx>
          <w:tblCellMar>
            <w:top w:w="0" w:type="dxa"/>
            <w:left w:w="108" w:type="dxa"/>
            <w:bottom w:w="0" w:type="dxa"/>
            <w:right w:w="108" w:type="dxa"/>
          </w:tblCellMar>
        </w:tblPrEx>
        <w:trPr>
          <w:trHeight w:val="270" w:hRule="atLeast"/>
        </w:trPr>
        <w:tc>
          <w:tcPr>
            <w:tcW w:w="1593" w:type="dxa"/>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填报单位：</w:t>
            </w:r>
          </w:p>
        </w:tc>
        <w:tc>
          <w:tcPr>
            <w:tcW w:w="2485" w:type="dxa"/>
            <w:gridSpan w:val="2"/>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常安镇人民政府</w:t>
            </w:r>
          </w:p>
        </w:tc>
        <w:tc>
          <w:tcPr>
            <w:tcW w:w="1409"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1130"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1692"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2831" w:type="dxa"/>
            <w:gridSpan w:val="2"/>
            <w:tcBorders>
              <w:top w:val="nil"/>
              <w:left w:val="nil"/>
              <w:bottom w:val="single" w:color="auto" w:sz="4" w:space="0"/>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单位金额：万元</w:t>
            </w:r>
          </w:p>
        </w:tc>
      </w:tr>
      <w:tr>
        <w:tblPrEx>
          <w:tblCellMar>
            <w:top w:w="0" w:type="dxa"/>
            <w:left w:w="108" w:type="dxa"/>
            <w:bottom w:w="0" w:type="dxa"/>
            <w:right w:w="108" w:type="dxa"/>
          </w:tblCellMar>
        </w:tblPrEx>
        <w:trPr>
          <w:trHeight w:val="799" w:hRule="atLeast"/>
        </w:trPr>
        <w:tc>
          <w:tcPr>
            <w:tcW w:w="1593"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一、基本情况</w:t>
            </w:r>
          </w:p>
        </w:tc>
        <w:tc>
          <w:tcPr>
            <w:tcW w:w="3894" w:type="dxa"/>
            <w:gridSpan w:val="3"/>
            <w:tcBorders>
              <w:top w:val="single" w:color="auto" w:sz="4" w:space="0"/>
              <w:left w:val="nil"/>
              <w:bottom w:val="single" w:color="auto" w:sz="4" w:space="0"/>
              <w:right w:val="single" w:color="000000"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常安镇综合经费</w:t>
            </w:r>
            <w:r>
              <w:rPr>
                <w:rFonts w:ascii="宋体" w:hAnsi="宋体" w:cs="宋体"/>
                <w:color w:val="000000"/>
                <w:kern w:val="0"/>
                <w:sz w:val="22"/>
              </w:rPr>
              <w:t xml:space="preserve">   </w:t>
            </w:r>
          </w:p>
        </w:tc>
        <w:tc>
          <w:tcPr>
            <w:tcW w:w="1130"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实施（主管单位）</w:t>
            </w:r>
          </w:p>
        </w:tc>
        <w:tc>
          <w:tcPr>
            <w:tcW w:w="4523" w:type="dxa"/>
            <w:gridSpan w:val="3"/>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常安镇人民政府</w:t>
            </w:r>
          </w:p>
        </w:tc>
      </w:tr>
      <w:tr>
        <w:tblPrEx>
          <w:tblCellMar>
            <w:top w:w="0" w:type="dxa"/>
            <w:left w:w="108" w:type="dxa"/>
            <w:bottom w:w="0" w:type="dxa"/>
            <w:right w:w="108" w:type="dxa"/>
          </w:tblCellMar>
        </w:tblPrEx>
        <w:trPr>
          <w:trHeight w:val="720" w:hRule="atLeast"/>
        </w:trPr>
        <w:tc>
          <w:tcPr>
            <w:tcW w:w="1593"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二、预算执行</w:t>
            </w:r>
            <w:r>
              <w:rPr>
                <w:rFonts w:ascii="宋体" w:hAnsi="宋体" w:cs="宋体"/>
                <w:color w:val="000000"/>
                <w:kern w:val="0"/>
                <w:sz w:val="22"/>
              </w:rPr>
              <w:br w:type="textWrapping"/>
            </w:r>
            <w:r>
              <w:rPr>
                <w:rFonts w:hint="eastAsia" w:ascii="宋体" w:hAnsi="宋体" w:cs="宋体"/>
                <w:color w:val="000000"/>
                <w:kern w:val="0"/>
                <w:sz w:val="22"/>
              </w:rPr>
              <w:t>情况</w:t>
            </w:r>
          </w:p>
        </w:tc>
        <w:tc>
          <w:tcPr>
            <w:tcW w:w="2485" w:type="dxa"/>
            <w:gridSpan w:val="2"/>
            <w:tcBorders>
              <w:top w:val="single" w:color="auto" w:sz="4" w:space="0"/>
              <w:left w:val="nil"/>
              <w:bottom w:val="single" w:color="auto" w:sz="4" w:space="0"/>
              <w:right w:val="single" w:color="000000"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预算安排情况（调整后）</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资金到位情况</w:t>
            </w:r>
          </w:p>
        </w:tc>
        <w:tc>
          <w:tcPr>
            <w:tcW w:w="2968"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资金执行情况</w:t>
            </w:r>
          </w:p>
        </w:tc>
        <w:tc>
          <w:tcPr>
            <w:tcW w:w="1555"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预算执行进度</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预算数：</w:t>
            </w:r>
          </w:p>
        </w:tc>
        <w:tc>
          <w:tcPr>
            <w:tcW w:w="998"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99.93</w:t>
            </w:r>
          </w:p>
        </w:tc>
        <w:tc>
          <w:tcPr>
            <w:tcW w:w="1409"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到位数：</w:t>
            </w:r>
          </w:p>
        </w:tc>
        <w:tc>
          <w:tcPr>
            <w:tcW w:w="1130"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99.93</w:t>
            </w:r>
          </w:p>
        </w:tc>
        <w:tc>
          <w:tcPr>
            <w:tcW w:w="1692"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执行数：</w:t>
            </w:r>
          </w:p>
        </w:tc>
        <w:tc>
          <w:tcPr>
            <w:tcW w:w="1276"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99.93</w:t>
            </w:r>
          </w:p>
        </w:tc>
        <w:tc>
          <w:tcPr>
            <w:tcW w:w="1555"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其中：财政</w:t>
            </w:r>
            <w:r>
              <w:rPr>
                <w:rFonts w:ascii="宋体" w:hAnsi="宋体" w:cs="宋体"/>
                <w:color w:val="000000"/>
                <w:kern w:val="0"/>
                <w:sz w:val="22"/>
              </w:rPr>
              <w:br w:type="textWrapping"/>
            </w:r>
            <w:r>
              <w:rPr>
                <w:rFonts w:ascii="宋体" w:hAnsi="宋体" w:cs="宋体"/>
                <w:color w:val="000000"/>
                <w:kern w:val="0"/>
                <w:sz w:val="22"/>
              </w:rPr>
              <w:t xml:space="preserve">     </w:t>
            </w:r>
            <w:r>
              <w:rPr>
                <w:rFonts w:hint="eastAsia" w:ascii="宋体" w:hAnsi="宋体" w:cs="宋体"/>
                <w:color w:val="000000"/>
                <w:kern w:val="0"/>
                <w:sz w:val="22"/>
              </w:rPr>
              <w:t>资金</w:t>
            </w:r>
          </w:p>
        </w:tc>
        <w:tc>
          <w:tcPr>
            <w:tcW w:w="998"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99.93</w:t>
            </w:r>
          </w:p>
        </w:tc>
        <w:tc>
          <w:tcPr>
            <w:tcW w:w="1409"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其中：财政</w:t>
            </w:r>
            <w:r>
              <w:rPr>
                <w:rFonts w:ascii="宋体" w:hAnsi="宋体" w:cs="宋体"/>
                <w:color w:val="000000"/>
                <w:kern w:val="0"/>
                <w:sz w:val="22"/>
              </w:rPr>
              <w:br w:type="textWrapping"/>
            </w:r>
            <w:r>
              <w:rPr>
                <w:rFonts w:ascii="宋体" w:hAnsi="宋体" w:cs="宋体"/>
                <w:color w:val="000000"/>
                <w:kern w:val="0"/>
                <w:sz w:val="22"/>
              </w:rPr>
              <w:t xml:space="preserve">     </w:t>
            </w:r>
            <w:r>
              <w:rPr>
                <w:rFonts w:hint="eastAsia" w:ascii="宋体" w:hAnsi="宋体" w:cs="宋体"/>
                <w:color w:val="000000"/>
                <w:kern w:val="0"/>
                <w:sz w:val="22"/>
              </w:rPr>
              <w:t>资金</w:t>
            </w:r>
          </w:p>
        </w:tc>
        <w:tc>
          <w:tcPr>
            <w:tcW w:w="1130"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99.93</w:t>
            </w:r>
          </w:p>
        </w:tc>
        <w:tc>
          <w:tcPr>
            <w:tcW w:w="1692"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其中：财政</w:t>
            </w:r>
            <w:r>
              <w:rPr>
                <w:rFonts w:ascii="宋体" w:hAnsi="宋体" w:cs="宋体"/>
                <w:color w:val="000000"/>
                <w:kern w:val="0"/>
                <w:sz w:val="22"/>
              </w:rPr>
              <w:br w:type="textWrapping"/>
            </w:r>
            <w:r>
              <w:rPr>
                <w:rFonts w:ascii="宋体" w:hAnsi="宋体" w:cs="宋体"/>
                <w:color w:val="000000"/>
                <w:kern w:val="0"/>
                <w:sz w:val="22"/>
              </w:rPr>
              <w:t xml:space="preserve">     </w:t>
            </w:r>
            <w:r>
              <w:rPr>
                <w:rFonts w:hint="eastAsia" w:ascii="宋体" w:hAnsi="宋体" w:cs="宋体"/>
                <w:color w:val="000000"/>
                <w:kern w:val="0"/>
                <w:sz w:val="22"/>
              </w:rPr>
              <w:t>资金</w:t>
            </w:r>
          </w:p>
        </w:tc>
        <w:tc>
          <w:tcPr>
            <w:tcW w:w="1276" w:type="dxa"/>
            <w:tcBorders>
              <w:top w:val="nil"/>
              <w:left w:val="nil"/>
              <w:bottom w:val="single" w:color="auto" w:sz="4" w:space="0"/>
              <w:right w:val="single" w:color="auto" w:sz="4" w:space="0"/>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99.93</w:t>
            </w:r>
          </w:p>
        </w:tc>
        <w:tc>
          <w:tcPr>
            <w:tcW w:w="155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ascii="宋体" w:hAnsi="宋体" w:cs="宋体"/>
                <w:color w:val="000000"/>
                <w:kern w:val="0"/>
                <w:sz w:val="22"/>
              </w:rPr>
              <w:t xml:space="preserve">     </w:t>
            </w:r>
            <w:r>
              <w:rPr>
                <w:rFonts w:hint="eastAsia" w:ascii="宋体" w:hAnsi="宋体" w:cs="宋体"/>
                <w:color w:val="000000"/>
                <w:kern w:val="0"/>
                <w:sz w:val="22"/>
              </w:rPr>
              <w:t>其他</w:t>
            </w:r>
          </w:p>
        </w:tc>
        <w:tc>
          <w:tcPr>
            <w:tcW w:w="998"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409"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ascii="宋体" w:hAnsi="宋体" w:cs="宋体"/>
                <w:color w:val="000000"/>
                <w:kern w:val="0"/>
                <w:sz w:val="22"/>
              </w:rPr>
              <w:t xml:space="preserve">     </w:t>
            </w:r>
            <w:r>
              <w:rPr>
                <w:rFonts w:hint="eastAsia" w:ascii="宋体" w:hAnsi="宋体" w:cs="宋体"/>
                <w:color w:val="000000"/>
                <w:kern w:val="0"/>
                <w:sz w:val="22"/>
              </w:rPr>
              <w:t>其他</w:t>
            </w:r>
          </w:p>
        </w:tc>
        <w:tc>
          <w:tcPr>
            <w:tcW w:w="1130"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692"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ascii="宋体" w:hAnsi="宋体" w:cs="宋体"/>
                <w:color w:val="000000"/>
                <w:kern w:val="0"/>
                <w:sz w:val="22"/>
              </w:rPr>
              <w:t xml:space="preserve">     </w:t>
            </w:r>
            <w:r>
              <w:rPr>
                <w:rFonts w:hint="eastAsia" w:ascii="宋体" w:hAnsi="宋体" w:cs="宋体"/>
                <w:color w:val="000000"/>
                <w:kern w:val="0"/>
                <w:sz w:val="22"/>
              </w:rPr>
              <w:t>其他</w:t>
            </w:r>
          </w:p>
        </w:tc>
        <w:tc>
          <w:tcPr>
            <w:tcW w:w="1276"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55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r>
      <w:tr>
        <w:tblPrEx>
          <w:tblCellMar>
            <w:top w:w="0" w:type="dxa"/>
            <w:left w:w="108" w:type="dxa"/>
            <w:bottom w:w="0" w:type="dxa"/>
            <w:right w:w="108" w:type="dxa"/>
          </w:tblCellMar>
        </w:tblPrEx>
        <w:trPr>
          <w:trHeight w:val="720" w:hRule="atLeast"/>
        </w:trPr>
        <w:tc>
          <w:tcPr>
            <w:tcW w:w="1593"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三、目标完成</w:t>
            </w:r>
            <w:r>
              <w:rPr>
                <w:rFonts w:ascii="宋体" w:hAnsi="宋体" w:cs="宋体"/>
                <w:color w:val="000000"/>
                <w:kern w:val="0"/>
                <w:sz w:val="22"/>
              </w:rPr>
              <w:br w:type="textWrapping"/>
            </w:r>
            <w:r>
              <w:rPr>
                <w:rFonts w:hint="eastAsia" w:ascii="宋体" w:hAnsi="宋体" w:cs="宋体"/>
                <w:color w:val="000000"/>
                <w:kern w:val="0"/>
                <w:sz w:val="22"/>
              </w:rPr>
              <w:t>情况</w:t>
            </w:r>
          </w:p>
        </w:tc>
        <w:tc>
          <w:tcPr>
            <w:tcW w:w="3894" w:type="dxa"/>
            <w:gridSpan w:val="3"/>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年度预算目标</w:t>
            </w:r>
          </w:p>
        </w:tc>
        <w:tc>
          <w:tcPr>
            <w:tcW w:w="4098" w:type="dxa"/>
            <w:gridSpan w:val="3"/>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具体完成情况</w:t>
            </w:r>
          </w:p>
        </w:tc>
        <w:tc>
          <w:tcPr>
            <w:tcW w:w="1555" w:type="dxa"/>
            <w:tcBorders>
              <w:top w:val="nil"/>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总体完成率</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3894" w:type="dxa"/>
            <w:gridSpan w:val="3"/>
            <w:tcBorders>
              <w:top w:val="single" w:color="auto" w:sz="4" w:space="0"/>
              <w:left w:val="nil"/>
              <w:bottom w:val="single" w:color="auto" w:sz="4" w:space="0"/>
              <w:right w:val="single" w:color="auto" w:sz="4" w:space="0"/>
            </w:tcBorders>
          </w:tcPr>
          <w:p>
            <w:pPr>
              <w:widowControl/>
              <w:jc w:val="left"/>
              <w:rPr>
                <w:rFonts w:ascii="宋体" w:hAnsi="宋体" w:cs="宋体"/>
                <w:color w:val="000000"/>
                <w:kern w:val="0"/>
                <w:sz w:val="22"/>
              </w:rPr>
            </w:pPr>
            <w:r>
              <w:rPr>
                <w:rFonts w:hint="eastAsia" w:ascii="宋体" w:hAnsi="宋体" w:cs="宋体"/>
                <w:color w:val="000000"/>
                <w:kern w:val="0"/>
                <w:sz w:val="22"/>
              </w:rPr>
              <w:t>环保、土地、环境卫生等农村综合情况的改善治理</w:t>
            </w:r>
          </w:p>
        </w:tc>
        <w:tc>
          <w:tcPr>
            <w:tcW w:w="4098" w:type="dxa"/>
            <w:gridSpan w:val="3"/>
            <w:tcBorders>
              <w:top w:val="single" w:color="auto" w:sz="4" w:space="0"/>
              <w:left w:val="nil"/>
              <w:bottom w:val="single" w:color="auto" w:sz="4" w:space="0"/>
              <w:right w:val="single" w:color="auto" w:sz="4" w:space="0"/>
            </w:tcBorders>
          </w:tcPr>
          <w:p>
            <w:pPr>
              <w:widowControl/>
              <w:jc w:val="left"/>
              <w:rPr>
                <w:rFonts w:ascii="宋体" w:hAnsi="宋体" w:cs="宋体"/>
                <w:color w:val="000000"/>
                <w:kern w:val="0"/>
                <w:sz w:val="22"/>
              </w:rPr>
            </w:pPr>
            <w:r>
              <w:rPr>
                <w:rFonts w:hint="eastAsia" w:ascii="宋体" w:hAnsi="宋体" w:cs="宋体"/>
                <w:color w:val="000000"/>
                <w:kern w:val="0"/>
                <w:sz w:val="22"/>
              </w:rPr>
              <w:t>环保、土地、环境卫生等农村情况有明显的改善提高</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r>
      <w:tr>
        <w:tblPrEx>
          <w:tblCellMar>
            <w:top w:w="0" w:type="dxa"/>
            <w:left w:w="108" w:type="dxa"/>
            <w:bottom w:w="0" w:type="dxa"/>
            <w:right w:w="108" w:type="dxa"/>
          </w:tblCellMar>
        </w:tblPrEx>
        <w:trPr>
          <w:trHeight w:val="720" w:hRule="atLeast"/>
        </w:trPr>
        <w:tc>
          <w:tcPr>
            <w:tcW w:w="1593"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四、年度绩效指标完成情况</w:t>
            </w:r>
          </w:p>
        </w:tc>
        <w:tc>
          <w:tcPr>
            <w:tcW w:w="1487"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一级指标</w:t>
            </w:r>
          </w:p>
        </w:tc>
        <w:tc>
          <w:tcPr>
            <w:tcW w:w="99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二级指标</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三级指标</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预期指标值</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实际完成值</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自评得分</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产出指标</w:t>
            </w:r>
            <w:r>
              <w:rPr>
                <w:rFonts w:ascii="宋体" w:hAnsi="宋体" w:cs="宋体"/>
                <w:color w:val="000000"/>
                <w:kern w:val="0"/>
                <w:sz w:val="22"/>
              </w:rPr>
              <w:br w:type="textWrapping"/>
            </w:r>
            <w:r>
              <w:rPr>
                <w:rFonts w:hint="eastAsia" w:ascii="宋体" w:hAnsi="宋体" w:cs="宋体"/>
                <w:color w:val="000000"/>
                <w:kern w:val="0"/>
                <w:sz w:val="22"/>
              </w:rPr>
              <w:t>（</w:t>
            </w:r>
            <w:r>
              <w:rPr>
                <w:rFonts w:ascii="宋体" w:hAnsi="宋体" w:cs="宋体"/>
                <w:color w:val="000000"/>
                <w:kern w:val="0"/>
                <w:sz w:val="22"/>
              </w:rPr>
              <w:t>40</w:t>
            </w:r>
            <w:r>
              <w:rPr>
                <w:rFonts w:hint="eastAsia" w:ascii="宋体" w:hAnsi="宋体" w:cs="宋体"/>
                <w:color w:val="000000"/>
                <w:kern w:val="0"/>
                <w:sz w:val="22"/>
              </w:rPr>
              <w:t>分）</w:t>
            </w:r>
          </w:p>
        </w:tc>
        <w:tc>
          <w:tcPr>
            <w:tcW w:w="99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数量指标</w:t>
            </w:r>
          </w:p>
        </w:tc>
        <w:tc>
          <w:tcPr>
            <w:tcW w:w="2539" w:type="dxa"/>
            <w:gridSpan w:val="2"/>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经费保障率</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&gt;95</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99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质量指标</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经费拨付准确率</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&gt;90</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2"/>
              </w:rPr>
            </w:pPr>
          </w:p>
        </w:tc>
        <w:tc>
          <w:tcPr>
            <w:tcW w:w="99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经费拨付及时率</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&gt;90</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100</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预算执行率指标（</w:t>
            </w:r>
            <w:r>
              <w:rPr>
                <w:rFonts w:ascii="宋体" w:hAnsi="宋体" w:cs="宋体"/>
                <w:color w:val="000000"/>
                <w:kern w:val="0"/>
                <w:sz w:val="22"/>
              </w:rPr>
              <w:t>10</w:t>
            </w:r>
            <w:r>
              <w:rPr>
                <w:rFonts w:hint="eastAsia" w:ascii="宋体" w:hAnsi="宋体" w:cs="宋体"/>
                <w:color w:val="000000"/>
                <w:kern w:val="0"/>
                <w:sz w:val="22"/>
              </w:rPr>
              <w:t>分）</w:t>
            </w:r>
          </w:p>
        </w:tc>
        <w:tc>
          <w:tcPr>
            <w:tcW w:w="998"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预算</w:t>
            </w:r>
            <w:r>
              <w:rPr>
                <w:rFonts w:ascii="宋体" w:hAnsi="宋体" w:cs="宋体"/>
                <w:color w:val="000000"/>
                <w:kern w:val="0"/>
                <w:sz w:val="22"/>
              </w:rPr>
              <w:br w:type="textWrapping"/>
            </w:r>
            <w:r>
              <w:rPr>
                <w:rFonts w:hint="eastAsia" w:ascii="宋体" w:hAnsi="宋体" w:cs="宋体"/>
                <w:color w:val="000000"/>
                <w:kern w:val="0"/>
                <w:sz w:val="22"/>
              </w:rPr>
              <w:t>执行率</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是否按预算计划执行</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12</w:t>
            </w:r>
            <w:r>
              <w:rPr>
                <w:rFonts w:hint="eastAsia" w:ascii="宋体" w:hAnsi="宋体" w:cs="宋体"/>
                <w:color w:val="000000"/>
                <w:kern w:val="0"/>
                <w:sz w:val="22"/>
              </w:rPr>
              <w:t>月全部完成</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完成</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vMerge w:val="restart"/>
            <w:tcBorders>
              <w:top w:val="nil"/>
              <w:left w:val="single" w:color="auto" w:sz="4" w:space="0"/>
              <w:bottom w:val="nil"/>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998"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可持续影响指标</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提升村民生活水平</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生活水平改善</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完成</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15</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vMerge w:val="continue"/>
            <w:tcBorders>
              <w:top w:val="nil"/>
              <w:left w:val="single" w:color="auto" w:sz="4" w:space="0"/>
              <w:bottom w:val="nil"/>
              <w:right w:val="single" w:color="auto" w:sz="4" w:space="0"/>
            </w:tcBorders>
            <w:vAlign w:val="center"/>
          </w:tcPr>
          <w:p>
            <w:pPr>
              <w:widowControl/>
              <w:jc w:val="left"/>
              <w:rPr>
                <w:rFonts w:ascii="宋体" w:hAnsi="宋体" w:cs="宋体"/>
                <w:color w:val="000000"/>
                <w:kern w:val="0"/>
                <w:sz w:val="22"/>
              </w:rPr>
            </w:pPr>
          </w:p>
        </w:tc>
        <w:tc>
          <w:tcPr>
            <w:tcW w:w="998" w:type="dxa"/>
            <w:tcBorders>
              <w:top w:val="nil"/>
              <w:left w:val="nil"/>
              <w:bottom w:val="nil"/>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生态效益</w:t>
            </w:r>
            <w:r>
              <w:rPr>
                <w:rFonts w:ascii="宋体" w:hAnsi="宋体" w:cs="宋体"/>
                <w:color w:val="000000"/>
                <w:kern w:val="0"/>
                <w:sz w:val="22"/>
              </w:rPr>
              <w:br w:type="textWrapping"/>
            </w:r>
            <w:r>
              <w:rPr>
                <w:rFonts w:hint="eastAsia" w:ascii="宋体" w:hAnsi="宋体" w:cs="宋体"/>
                <w:color w:val="000000"/>
                <w:kern w:val="0"/>
                <w:sz w:val="22"/>
              </w:rPr>
              <w:t>指标</w:t>
            </w:r>
          </w:p>
        </w:tc>
        <w:tc>
          <w:tcPr>
            <w:tcW w:w="2539" w:type="dxa"/>
            <w:gridSpan w:val="2"/>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改善生态环境</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村庄环境提升</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完成</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15</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148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满意度指标</w:t>
            </w:r>
            <w:r>
              <w:rPr>
                <w:rFonts w:ascii="宋体" w:hAnsi="宋体" w:cs="宋体"/>
                <w:color w:val="000000"/>
                <w:kern w:val="0"/>
                <w:sz w:val="22"/>
              </w:rPr>
              <w:br w:type="textWrapping"/>
            </w:r>
            <w:r>
              <w:rPr>
                <w:rFonts w:hint="eastAsia" w:ascii="宋体" w:hAnsi="宋体" w:cs="宋体"/>
                <w:color w:val="000000"/>
                <w:kern w:val="0"/>
                <w:sz w:val="22"/>
              </w:rPr>
              <w:t>（</w:t>
            </w:r>
            <w:r>
              <w:rPr>
                <w:rFonts w:ascii="宋体" w:hAnsi="宋体" w:cs="宋体"/>
                <w:color w:val="000000"/>
                <w:kern w:val="0"/>
                <w:sz w:val="22"/>
              </w:rPr>
              <w:t>10</w:t>
            </w:r>
            <w:r>
              <w:rPr>
                <w:rFonts w:hint="eastAsia" w:ascii="宋体" w:hAnsi="宋体" w:cs="宋体"/>
                <w:color w:val="000000"/>
                <w:kern w:val="0"/>
                <w:sz w:val="22"/>
              </w:rPr>
              <w:t>分）</w:t>
            </w:r>
          </w:p>
        </w:tc>
        <w:tc>
          <w:tcPr>
            <w:tcW w:w="998"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满意度</w:t>
            </w:r>
            <w:r>
              <w:rPr>
                <w:rFonts w:ascii="宋体" w:hAnsi="宋体" w:cs="宋体"/>
                <w:color w:val="000000"/>
                <w:kern w:val="0"/>
                <w:sz w:val="22"/>
              </w:rPr>
              <w:br w:type="textWrapping"/>
            </w:r>
            <w:r>
              <w:rPr>
                <w:rFonts w:hint="eastAsia" w:ascii="宋体" w:hAnsi="宋体" w:cs="宋体"/>
                <w:color w:val="000000"/>
                <w:kern w:val="0"/>
                <w:sz w:val="22"/>
              </w:rPr>
              <w:t>指标</w:t>
            </w:r>
          </w:p>
        </w:tc>
        <w:tc>
          <w:tcPr>
            <w:tcW w:w="2539" w:type="dxa"/>
            <w:gridSpan w:val="2"/>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上级部门对常安工作是否满意</w:t>
            </w:r>
          </w:p>
        </w:tc>
        <w:tc>
          <w:tcPr>
            <w:tcW w:w="169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称职</w:t>
            </w:r>
          </w:p>
        </w:tc>
        <w:tc>
          <w:tcPr>
            <w:tcW w:w="127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完成</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10</w:t>
            </w:r>
          </w:p>
        </w:tc>
      </w:tr>
      <w:tr>
        <w:tblPrEx>
          <w:tblCellMar>
            <w:top w:w="0" w:type="dxa"/>
            <w:left w:w="108" w:type="dxa"/>
            <w:bottom w:w="0" w:type="dxa"/>
            <w:right w:w="108" w:type="dxa"/>
          </w:tblCellMar>
        </w:tblPrEx>
        <w:trPr>
          <w:trHeight w:val="720" w:hRule="atLeast"/>
        </w:trPr>
        <w:tc>
          <w:tcPr>
            <w:tcW w:w="159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2"/>
              </w:rPr>
            </w:pPr>
          </w:p>
        </w:tc>
        <w:tc>
          <w:tcPr>
            <w:tcW w:w="7992" w:type="dxa"/>
            <w:gridSpan w:val="6"/>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总分</w:t>
            </w:r>
          </w:p>
        </w:tc>
        <w:tc>
          <w:tcPr>
            <w:tcW w:w="15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ascii="宋体" w:hAnsi="宋体" w:cs="宋体"/>
                <w:color w:val="000000"/>
                <w:kern w:val="0"/>
                <w:sz w:val="22"/>
              </w:rPr>
              <w:t>90</w:t>
            </w:r>
          </w:p>
        </w:tc>
      </w:tr>
      <w:tr>
        <w:tblPrEx>
          <w:tblCellMar>
            <w:top w:w="0" w:type="dxa"/>
            <w:left w:w="108" w:type="dxa"/>
            <w:bottom w:w="0" w:type="dxa"/>
            <w:right w:w="108" w:type="dxa"/>
          </w:tblCellMar>
        </w:tblPrEx>
        <w:trPr>
          <w:trHeight w:val="1005" w:hRule="atLeast"/>
        </w:trPr>
        <w:tc>
          <w:tcPr>
            <w:tcW w:w="1593"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五、存在问题、原因及下一步整改措施</w:t>
            </w:r>
          </w:p>
        </w:tc>
        <w:tc>
          <w:tcPr>
            <w:tcW w:w="9547" w:type="dxa"/>
            <w:gridSpan w:val="7"/>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常安镇综合公用经费项目涵盖内容较多，需要进一步细化、量化。</w:t>
            </w:r>
          </w:p>
        </w:tc>
      </w:tr>
      <w:tr>
        <w:tblPrEx>
          <w:tblCellMar>
            <w:top w:w="0" w:type="dxa"/>
            <w:left w:w="108" w:type="dxa"/>
            <w:bottom w:w="0" w:type="dxa"/>
            <w:right w:w="108" w:type="dxa"/>
          </w:tblCellMar>
        </w:tblPrEx>
        <w:trPr>
          <w:trHeight w:val="270" w:hRule="atLeast"/>
        </w:trPr>
        <w:tc>
          <w:tcPr>
            <w:tcW w:w="1593" w:type="dxa"/>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填报人：</w:t>
            </w:r>
          </w:p>
        </w:tc>
        <w:tc>
          <w:tcPr>
            <w:tcW w:w="1487" w:type="dxa"/>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张宏广</w:t>
            </w:r>
          </w:p>
        </w:tc>
        <w:tc>
          <w:tcPr>
            <w:tcW w:w="998"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1409"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1130" w:type="dxa"/>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联系电话：</w:t>
            </w:r>
          </w:p>
        </w:tc>
        <w:tc>
          <w:tcPr>
            <w:tcW w:w="1692" w:type="dxa"/>
            <w:tcBorders>
              <w:top w:val="nil"/>
              <w:left w:val="nil"/>
              <w:bottom w:val="nil"/>
              <w:right w:val="nil"/>
            </w:tcBorders>
            <w:noWrap/>
            <w:vAlign w:val="center"/>
          </w:tcPr>
          <w:p>
            <w:pPr>
              <w:widowControl/>
              <w:jc w:val="right"/>
              <w:rPr>
                <w:rFonts w:ascii="宋体" w:hAnsi="宋体" w:cs="宋体"/>
                <w:color w:val="000000"/>
                <w:kern w:val="0"/>
                <w:sz w:val="22"/>
              </w:rPr>
            </w:pPr>
            <w:r>
              <w:rPr>
                <w:rFonts w:ascii="宋体" w:hAnsi="宋体" w:cs="宋体"/>
                <w:color w:val="000000"/>
                <w:kern w:val="0"/>
                <w:sz w:val="22"/>
              </w:rPr>
              <w:t>88056999</w:t>
            </w:r>
          </w:p>
        </w:tc>
        <w:tc>
          <w:tcPr>
            <w:tcW w:w="1276" w:type="dxa"/>
            <w:tcBorders>
              <w:top w:val="nil"/>
              <w:left w:val="nil"/>
              <w:bottom w:val="nil"/>
              <w:right w:val="nil"/>
            </w:tcBorders>
            <w:noWrap/>
            <w:vAlign w:val="center"/>
          </w:tcPr>
          <w:p>
            <w:pPr>
              <w:widowControl/>
              <w:jc w:val="left"/>
              <w:rPr>
                <w:rFonts w:ascii="宋体" w:hAnsi="宋体" w:cs="宋体"/>
                <w:color w:val="000000"/>
                <w:kern w:val="0"/>
                <w:sz w:val="22"/>
              </w:rPr>
            </w:pPr>
          </w:p>
        </w:tc>
        <w:tc>
          <w:tcPr>
            <w:tcW w:w="1555" w:type="dxa"/>
            <w:tcBorders>
              <w:top w:val="nil"/>
              <w:left w:val="nil"/>
              <w:bottom w:val="nil"/>
              <w:right w:val="nil"/>
            </w:tcBorders>
            <w:noWrap/>
            <w:vAlign w:val="center"/>
          </w:tcPr>
          <w:p>
            <w:pPr>
              <w:widowControl/>
              <w:jc w:val="left"/>
              <w:rPr>
                <w:rFonts w:ascii="宋体" w:hAnsi="宋体" w:cs="宋体"/>
                <w:color w:val="000000"/>
                <w:kern w:val="0"/>
                <w:sz w:val="22"/>
              </w:rPr>
            </w:pPr>
          </w:p>
        </w:tc>
      </w:tr>
    </w:tbl>
    <w:p>
      <w:pPr>
        <w:adjustRightInd w:val="0"/>
        <w:snapToGrid w:val="0"/>
        <w:spacing w:line="580" w:lineRule="exact"/>
        <w:rPr>
          <w:rFonts w:ascii="仿宋_GB2312" w:hAnsi="仿宋_GB2312" w:eastAsia="仿宋_GB2312" w:cs="仿宋_GB2312"/>
          <w:sz w:val="32"/>
          <w:szCs w:val="32"/>
        </w:rPr>
      </w:pPr>
    </w:p>
    <w:p>
      <w:pPr>
        <w:numPr>
          <w:ilvl w:val="0"/>
          <w:numId w:val="0"/>
        </w:numPr>
        <w:adjustRightInd w:val="0"/>
        <w:snapToGrid w:val="0"/>
        <w:spacing w:line="620" w:lineRule="exact"/>
        <w:rPr>
          <w:rFonts w:hint="eastAsia" w:ascii="仿宋_GB2312" w:hAnsi="仿宋" w:eastAsia="仿宋_GB2312"/>
          <w:sz w:val="32"/>
          <w:szCs w:val="32"/>
        </w:rPr>
      </w:pPr>
    </w:p>
    <w:p>
      <w:pPr>
        <w:keepNext/>
        <w:keepLines/>
        <w:numPr>
          <w:ilvl w:val="0"/>
          <w:numId w:val="0"/>
        </w:numPr>
        <w:snapToGrid w:val="0"/>
        <w:spacing w:line="580" w:lineRule="exact"/>
        <w:ind w:firstLine="643" w:firstLineChars="2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p>
    <w:p>
      <w:pPr>
        <w:keepNext/>
        <w:keepLines/>
        <w:snapToGrid w:val="0"/>
        <w:spacing w:line="580" w:lineRule="exact"/>
        <w:outlineLvl w:val="1"/>
        <w:rPr>
          <w:rFonts w:ascii="仿宋_GB2312" w:hAnsi="仿宋_GB2312" w:eastAsia="仿宋_GB2312" w:cs="仿宋_GB2312"/>
          <w:b/>
          <w:bCs/>
          <w:sz w:val="32"/>
          <w:szCs w:val="32"/>
        </w:rPr>
      </w:pPr>
      <w:r>
        <w:rPr>
          <w:rFonts w:hint="eastAsia" w:ascii="仿宋_GB2312" w:hAnsi="仿宋_GB2312" w:eastAsia="仿宋_GB2312" w:cs="仿宋_GB2312"/>
          <w:sz w:val="32"/>
          <w:szCs w:val="32"/>
        </w:rPr>
        <w:t>本部门无财政评价项目。</w:t>
      </w:r>
    </w:p>
    <w:p>
      <w:pPr>
        <w:adjustRightInd w:val="0"/>
        <w:snapToGrid w:val="0"/>
        <w:spacing w:line="580" w:lineRule="exact"/>
        <w:rPr>
          <w:rFonts w:ascii="仿宋_GB2312" w:hAnsi="仿宋_GB2312" w:eastAsia="仿宋_GB2312" w:cs="仿宋_GB2312"/>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年度机关运行经费支出</w:t>
      </w:r>
      <w:r>
        <w:rPr>
          <w:rFonts w:ascii="仿宋_GB2312" w:hAnsi="Times New Roman" w:eastAsia="仿宋_GB2312" w:cs="DengXian-Regular"/>
          <w:sz w:val="32"/>
          <w:szCs w:val="32"/>
        </w:rPr>
        <w:t>175.53</w:t>
      </w:r>
      <w:r>
        <w:rPr>
          <w:rFonts w:hint="eastAsia" w:ascii="仿宋_GB2312" w:hAnsi="Times New Roman" w:eastAsia="仿宋_GB2312" w:cs="DengXian-Regular"/>
          <w:sz w:val="32"/>
          <w:szCs w:val="32"/>
        </w:rPr>
        <w:t>万元，比</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年度减少</w:t>
      </w:r>
      <w:r>
        <w:rPr>
          <w:rFonts w:ascii="仿宋_GB2312" w:hAnsi="Times New Roman" w:eastAsia="仿宋_GB2312" w:cs="DengXian-Regular"/>
          <w:sz w:val="32"/>
          <w:szCs w:val="32"/>
        </w:rPr>
        <w:t>29.66</w:t>
      </w:r>
      <w:r>
        <w:rPr>
          <w:rFonts w:hint="eastAsia" w:ascii="仿宋_GB2312" w:hAnsi="Times New Roman" w:eastAsia="仿宋_GB2312" w:cs="DengXian-Regular"/>
          <w:sz w:val="32"/>
          <w:szCs w:val="32"/>
        </w:rPr>
        <w:t>万元，减少</w:t>
      </w:r>
      <w:r>
        <w:rPr>
          <w:rFonts w:ascii="仿宋_GB2312" w:hAnsi="Times New Roman" w:eastAsia="仿宋_GB2312" w:cs="DengXian-Regular"/>
          <w:sz w:val="32"/>
          <w:szCs w:val="32"/>
        </w:rPr>
        <w:t>14.45%</w:t>
      </w:r>
      <w:r>
        <w:rPr>
          <w:rFonts w:hint="eastAsia" w:ascii="仿宋_GB2312" w:hAnsi="Times New Roman" w:eastAsia="仿宋_GB2312" w:cs="DengXian-Regular"/>
          <w:sz w:val="32"/>
          <w:szCs w:val="32"/>
        </w:rPr>
        <w:t>。主要原因是压减行政开支，厉行节约。</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年度无政府采购支出。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w:t>
      </w:r>
      <w:r>
        <w:rPr>
          <w:rFonts w:ascii="仿宋_GB2312" w:hAnsi="Times New Roman" w:eastAsia="仿宋_GB2312" w:cs="DengXian-Regular"/>
          <w:sz w:val="32"/>
          <w:szCs w:val="32"/>
        </w:rPr>
        <w:t>12</w:t>
      </w:r>
      <w:r>
        <w:rPr>
          <w:rFonts w:hint="eastAsia" w:ascii="仿宋_GB2312" w:hAnsi="Times New Roman" w:eastAsia="仿宋_GB2312" w:cs="DengXian-Regular"/>
          <w:sz w:val="32"/>
          <w:szCs w:val="32"/>
        </w:rPr>
        <w:t>月</w:t>
      </w:r>
      <w:r>
        <w:rPr>
          <w:rFonts w:ascii="仿宋_GB2312" w:hAnsi="Times New Roman" w:eastAsia="仿宋_GB2312" w:cs="DengXian-Regular"/>
          <w:sz w:val="32"/>
          <w:szCs w:val="32"/>
        </w:rPr>
        <w:t>31</w:t>
      </w:r>
      <w:r>
        <w:rPr>
          <w:rFonts w:hint="eastAsia" w:ascii="仿宋_GB2312" w:hAnsi="Times New Roman" w:eastAsia="仿宋_GB2312" w:cs="DengXian-Regular"/>
          <w:sz w:val="32"/>
          <w:szCs w:val="32"/>
        </w:rPr>
        <w:t>日，本部门共有车辆</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辆，比上年减少</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仿宋_GB2312" w:cs="DengXian-Bold"/>
          <w:b/>
          <w:bCs/>
          <w:sz w:val="32"/>
          <w:szCs w:val="32"/>
        </w:rPr>
      </w:pPr>
      <w:r>
        <w:rPr>
          <w:rFonts w:hint="eastAsia" w:ascii="仿宋_GB2312" w:hAnsi="Times New Roman" w:eastAsia="仿宋_GB2312" w:cs="DengXian-Regular"/>
          <w:sz w:val="32"/>
          <w:szCs w:val="32"/>
        </w:rPr>
        <w:t>单位价值</w:t>
      </w:r>
      <w:r>
        <w:rPr>
          <w:rFonts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台（套），与上年持平；单位价值</w:t>
      </w:r>
      <w:r>
        <w:rPr>
          <w:rFonts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台（套），与上年持平。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1. </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年度部门政府性基金预算财政拨款、部门国有资本经营预算财政拨款无收支及结转结余情况，故</w:t>
      </w:r>
      <w:r>
        <w:rPr>
          <w:rFonts w:ascii="仿宋_GB2312" w:hAnsi="Times New Roman" w:eastAsia="仿宋_GB2312" w:cs="DengXian-Regular"/>
          <w:sz w:val="32"/>
          <w:szCs w:val="32"/>
        </w:rPr>
        <w:t>08</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09</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rPr>
          <w:rFonts w:ascii="仿宋_GB2312" w:hAnsi="宋体" w:eastAsia="仿宋_GB2312" w:cs="MS-UIGothic,Bold"/>
          <w:bCs/>
          <w:sz w:val="32"/>
          <w:szCs w:val="32"/>
        </w:rPr>
      </w:pPr>
      <w:r>
        <w:rPr>
          <w:rFonts w:hint="eastAsia" w:ascii="仿宋_GB2312" w:hAnsi="宋体" w:eastAsia="仿宋_GB2312" w:cs="ArialUnicodeMS"/>
          <w:sz w:val="32"/>
          <w:szCs w:val="32"/>
          <w:highlight w:val="yellow"/>
        </w:rPr>
        <w:t>(各部门应根据本部门实际情况,对公开的本部门决算信息中相关专业性较强的名词进行必要解释和说明，包含但不限于以下名词解释。)</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7"/>
        <w:tblW w:w="9580" w:type="dxa"/>
        <w:jc w:val="center"/>
        <w:tblLayout w:type="fixed"/>
        <w:tblCellMar>
          <w:top w:w="0" w:type="dxa"/>
          <w:left w:w="0" w:type="dxa"/>
          <w:bottom w:w="0" w:type="dxa"/>
          <w:right w:w="0" w:type="dxa"/>
        </w:tblCellMar>
      </w:tblPr>
      <w:tblGrid>
        <w:gridCol w:w="1009"/>
        <w:gridCol w:w="59"/>
        <w:gridCol w:w="58"/>
        <w:gridCol w:w="1456"/>
        <w:gridCol w:w="999"/>
        <w:gridCol w:w="999"/>
        <w:gridCol w:w="999"/>
        <w:gridCol w:w="999"/>
        <w:gridCol w:w="999"/>
        <w:gridCol w:w="999"/>
        <w:gridCol w:w="1004"/>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1009"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58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2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8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258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7"/>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bl>
    <w:p>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9917" w:type="dxa"/>
        <w:jc w:val="center"/>
        <w:tblLayout w:type="fixed"/>
        <w:tblCellMar>
          <w:top w:w="0" w:type="dxa"/>
          <w:left w:w="0" w:type="dxa"/>
          <w:bottom w:w="0" w:type="dxa"/>
          <w:right w:w="0" w:type="dxa"/>
        </w:tblCellMar>
      </w:tblPr>
      <w:tblGrid>
        <w:gridCol w:w="1288"/>
        <w:gridCol w:w="74"/>
        <w:gridCol w:w="74"/>
        <w:gridCol w:w="3798"/>
        <w:gridCol w:w="961"/>
        <w:gridCol w:w="1861"/>
        <w:gridCol w:w="1861"/>
      </w:tblGrid>
      <w:tr>
        <w:tblPrEx>
          <w:tblCellMar>
            <w:top w:w="0" w:type="dxa"/>
            <w:left w:w="0" w:type="dxa"/>
            <w:bottom w:w="0" w:type="dxa"/>
            <w:right w:w="0" w:type="dxa"/>
          </w:tblCellMar>
        </w:tblPrEx>
        <w:trPr>
          <w:trHeight w:val="840" w:hRule="atLeast"/>
          <w:jc w:val="center"/>
        </w:trPr>
        <w:tc>
          <w:tcPr>
            <w:tcW w:w="9917"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3"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_GBK">
    <w:altName w:val="Segoe Print"/>
    <w:panose1 w:val="00000000000000000000"/>
    <w:charset w:val="00"/>
    <w:family w:val="auto"/>
    <w:pitch w:val="default"/>
    <w:sig w:usb0="00000000" w:usb1="00000000" w:usb2="0000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A6A6B8"/>
    <w:multiLevelType w:val="singleLevel"/>
    <w:tmpl w:val="2BA6A6B8"/>
    <w:lvl w:ilvl="0" w:tentative="0">
      <w:start w:val="1"/>
      <w:numFmt w:val="chineseCounting"/>
      <w:suff w:val="nothing"/>
      <w:lvlText w:val="（%1）"/>
      <w:lvlJc w:val="left"/>
      <w:rPr>
        <w:rFonts w:hint="eastAsia" w:cs="Times New Roman"/>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6923D683"/>
    <w:multiLevelType w:val="singleLevel"/>
    <w:tmpl w:val="6923D683"/>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YwODc3NmYyOWY1YTcxYjkwZTQ3NTY3NGE1ZDZjNGI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59"/>
    <w:rsid w:val="00442CC2"/>
    <w:rsid w:val="00446244"/>
    <w:rsid w:val="00473C20"/>
    <w:rsid w:val="004D61CB"/>
    <w:rsid w:val="005011D6"/>
    <w:rsid w:val="00503F2E"/>
    <w:rsid w:val="00552226"/>
    <w:rsid w:val="00566120"/>
    <w:rsid w:val="00582E6D"/>
    <w:rsid w:val="005954D5"/>
    <w:rsid w:val="005A53FA"/>
    <w:rsid w:val="005D1293"/>
    <w:rsid w:val="0064312D"/>
    <w:rsid w:val="00644D5F"/>
    <w:rsid w:val="00657F86"/>
    <w:rsid w:val="006727AD"/>
    <w:rsid w:val="00691425"/>
    <w:rsid w:val="006A516E"/>
    <w:rsid w:val="006B0830"/>
    <w:rsid w:val="006F3F58"/>
    <w:rsid w:val="00716E2B"/>
    <w:rsid w:val="00770F18"/>
    <w:rsid w:val="00773B74"/>
    <w:rsid w:val="0078290C"/>
    <w:rsid w:val="007C06CA"/>
    <w:rsid w:val="008163FB"/>
    <w:rsid w:val="00820A70"/>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13FE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B011416"/>
    <w:rsid w:val="0CC13E79"/>
    <w:rsid w:val="191A24A7"/>
    <w:rsid w:val="31C2036A"/>
    <w:rsid w:val="320D02A5"/>
    <w:rsid w:val="348E566F"/>
    <w:rsid w:val="3A226944"/>
    <w:rsid w:val="3AEE6A48"/>
    <w:rsid w:val="3C1620AA"/>
    <w:rsid w:val="3D8F080F"/>
    <w:rsid w:val="44CE1FA4"/>
    <w:rsid w:val="487F73ED"/>
    <w:rsid w:val="494B6C8A"/>
    <w:rsid w:val="4A347EAE"/>
    <w:rsid w:val="52600405"/>
    <w:rsid w:val="529B4319"/>
    <w:rsid w:val="54584FBE"/>
    <w:rsid w:val="57773DD6"/>
    <w:rsid w:val="578B79AB"/>
    <w:rsid w:val="596B7F62"/>
    <w:rsid w:val="5A39203E"/>
    <w:rsid w:val="5CCD3FD5"/>
    <w:rsid w:val="61FA5F9D"/>
    <w:rsid w:val="64CD6910"/>
    <w:rsid w:val="6789158D"/>
    <w:rsid w:val="67D81BA4"/>
    <w:rsid w:val="6AAF1C96"/>
    <w:rsid w:val="75681757"/>
    <w:rsid w:val="75A346A8"/>
    <w:rsid w:val="79370832"/>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autoRedefine/>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autoRedefine/>
    <w:semiHidden/>
    <w:unhideWhenUsed/>
    <w:qFormat/>
    <w:uiPriority w:val="99"/>
    <w:rPr>
      <w:sz w:val="18"/>
      <w:szCs w:val="18"/>
    </w:rPr>
  </w:style>
  <w:style w:type="paragraph" w:styleId="5">
    <w:name w:val="footer"/>
    <w:basedOn w:val="1"/>
    <w:link w:val="11"/>
    <w:autoRedefine/>
    <w:unhideWhenUsed/>
    <w:qFormat/>
    <w:uiPriority w:val="99"/>
    <w:pPr>
      <w:tabs>
        <w:tab w:val="center" w:pos="4153"/>
        <w:tab w:val="right" w:pos="8306"/>
      </w:tabs>
      <w:snapToGrid w:val="0"/>
      <w:jc w:val="left"/>
    </w:pPr>
    <w:rPr>
      <w:sz w:val="18"/>
      <w:szCs w:val="18"/>
    </w:rPr>
  </w:style>
  <w:style w:type="paragraph" w:styleId="6">
    <w:name w:val="header"/>
    <w:basedOn w:val="1"/>
    <w:link w:val="10"/>
    <w:autoRedefine/>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autoRedefine/>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autoRedefine/>
    <w:qFormat/>
    <w:uiPriority w:val="99"/>
    <w:rPr>
      <w:rFonts w:asciiTheme="minorHAnsi" w:hAnsiTheme="minorHAnsi" w:eastAsiaTheme="minorEastAsia"/>
      <w:sz w:val="18"/>
      <w:szCs w:val="18"/>
    </w:rPr>
  </w:style>
  <w:style w:type="character" w:customStyle="1" w:styleId="11">
    <w:name w:val="页脚 Char"/>
    <w:basedOn w:val="9"/>
    <w:link w:val="5"/>
    <w:autoRedefine/>
    <w:qFormat/>
    <w:uiPriority w:val="99"/>
    <w:rPr>
      <w:sz w:val="18"/>
      <w:szCs w:val="18"/>
    </w:rPr>
  </w:style>
  <w:style w:type="paragraph" w:customStyle="1" w:styleId="12">
    <w:name w:val="列出段落1"/>
    <w:basedOn w:val="1"/>
    <w:autoRedefine/>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autoRedefine/>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4.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2270;&#34920;%20&#22312;%202019&#24180;&#24230;&#37096;&#38376;&#20915;&#31639;&#20844;&#24320;&#27169;&#26495;%20-&#24120;&#23433;&#38215;1.doc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2"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2" TargetMode="External"/></Relationships>
</file>

<file path=word/charts/_rels/chart4.xml.rels><?xml version="1.0" encoding="UTF-8" standalone="yes"?>
<Relationships xmlns="http://schemas.openxmlformats.org/package/2006/relationships"><Relationship Id="rId4" Type="http://schemas.microsoft.com/office/2011/relationships/chartColorStyle" Target="colors4.xml"/><Relationship Id="rId3" Type="http://schemas.microsoft.com/office/2011/relationships/chartStyle" Target="style4.xml"/><Relationship Id="rId2" Type="http://schemas.openxmlformats.org/officeDocument/2006/relationships/themeOverride" Target="../theme/themeOverride1.xml"/><Relationship Id="rId1" Type="http://schemas.openxmlformats.org/officeDocument/2006/relationships/oleObject" Target="&#24037;&#20316;&#31807;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t>支出构成占比</a:t>
            </a:r>
          </a:p>
        </c:rich>
      </c:tx>
      <c:layout/>
      <c:overlay val="0"/>
      <c:spPr>
        <a:noFill/>
        <a:ln>
          <a:noFill/>
        </a:ln>
        <a:effectLst/>
      </c:spPr>
    </c:title>
    <c:autoTitleDeleted val="0"/>
    <c:plotArea>
      <c:layout/>
      <c:pieChart>
        <c:varyColors val="1"/>
        <c:ser>
          <c:idx val="0"/>
          <c:order val="0"/>
          <c:spPr/>
          <c:explosion val="0"/>
          <c:dPt>
            <c:idx val="0"/>
            <c:bubble3D val="0"/>
            <c:spPr>
              <a:solidFill>
                <a:srgbClr val="4F81BD"/>
              </a:solidFill>
              <a:ln w="19050">
                <a:solidFill>
                  <a:srgbClr val="FFFFFF"/>
                </a:solidFill>
              </a:ln>
              <a:effectLst/>
            </c:spPr>
          </c:dPt>
          <c:dPt>
            <c:idx val="1"/>
            <c:bubble3D val="0"/>
            <c:spPr>
              <a:solidFill>
                <a:srgbClr val="C0504D"/>
              </a:solidFill>
              <a:ln w="19050">
                <a:solidFill>
                  <a:srgbClr val="FFFFFF"/>
                </a:solidFill>
              </a:ln>
              <a:effectLst/>
            </c:spPr>
          </c:dPt>
          <c:dLbls>
            <c:dLbl>
              <c:idx val="0"/>
              <c:layout>
                <c:manualLayout>
                  <c:x val="-0.0133452590175286"/>
                  <c:y val="-0.128554719816783"/>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1200" b="1" i="0" u="none" strike="noStrike" kern="1200" baseline="0">
                      <a:solidFill>
                        <a:srgbClr val="404040">
                          <a:lumMod val="75000"/>
                          <a:lumOff val="25000"/>
                        </a:srgbClr>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03743568014579"/>
                  <c:y val="0.113872613289376"/>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1200" b="1" i="0" u="none" strike="noStrike" kern="1200" baseline="0">
                      <a:solidFill>
                        <a:srgbClr val="404040">
                          <a:lumMod val="75000"/>
                          <a:lumOff val="25000"/>
                        </a:srgbClr>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'[图表 在 2019年度部门决算公开模板 -常安镇1.docx]Sheet1'!$B$3:$B$4</c:f>
              <c:strCache>
                <c:ptCount val="2"/>
                <c:pt idx="0">
                  <c:v>基本支出</c:v>
                </c:pt>
                <c:pt idx="1">
                  <c:v>项目支出</c:v>
                </c:pt>
              </c:strCache>
            </c:strRef>
          </c:cat>
          <c:val>
            <c:numRef>
              <c:f>'[图表 在 2019年度部门决算公开模板 -常安镇1.docx]Sheet1'!$C$3:$C$4</c:f>
              <c:numCache>
                <c:formatCode>0.00%</c:formatCode>
                <c:ptCount val="2"/>
                <c:pt idx="0">
                  <c:v>0.972</c:v>
                </c:pt>
                <c:pt idx="1">
                  <c:v>0.028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t>财政拨款收支与上年决算对比图</a:t>
            </a:r>
          </a:p>
        </c:rich>
      </c:tx>
      <c:layout/>
      <c:overlay val="0"/>
      <c:spPr>
        <a:noFill/>
        <a:ln>
          <a:noFill/>
        </a:ln>
        <a:effectLst/>
      </c:spPr>
    </c:title>
    <c:autoTitleDeleted val="0"/>
    <c:plotArea>
      <c:layout/>
      <c:barChart>
        <c:barDir val="col"/>
        <c:grouping val="clustered"/>
        <c:varyColors val="0"/>
        <c:ser>
          <c:idx val="0"/>
          <c:order val="0"/>
          <c:tx>
            <c:strRef>
              <c:f>[工作簿2]Sheet1!$A$3</c:f>
              <c:strCache>
                <c:ptCount val="1"/>
                <c:pt idx="0">
                  <c:v>2018</c:v>
                </c:pt>
              </c:strCache>
            </c:strRef>
          </c:tx>
          <c:spPr>
            <a:solidFill>
              <a:srgbClr val="4F81BD"/>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[工作簿2]Sheet1!$B$2:$C$2</c:f>
              <c:strCache>
                <c:ptCount val="2"/>
                <c:pt idx="0">
                  <c:v>收入</c:v>
                </c:pt>
                <c:pt idx="1">
                  <c:v>支出</c:v>
                </c:pt>
              </c:strCache>
            </c:strRef>
          </c:cat>
          <c:val>
            <c:numRef>
              <c:f>[工作簿2]Sheet1!$B$3:$C$3</c:f>
              <c:numCache>
                <c:formatCode>General</c:formatCode>
                <c:ptCount val="2"/>
                <c:pt idx="0">
                  <c:v>6068.24</c:v>
                </c:pt>
                <c:pt idx="1">
                  <c:v>6068.24</c:v>
                </c:pt>
              </c:numCache>
            </c:numRef>
          </c:val>
        </c:ser>
        <c:ser>
          <c:idx val="1"/>
          <c:order val="1"/>
          <c:tx>
            <c:strRef>
              <c:f>[工作簿2]Sheet1!$A$4</c:f>
              <c:strCache>
                <c:ptCount val="1"/>
                <c:pt idx="0">
                  <c:v>2019</c:v>
                </c:pt>
              </c:strCache>
            </c:strRef>
          </c:tx>
          <c:spPr>
            <a:solidFill>
              <a:srgbClr val="C0504D"/>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[工作簿2]Sheet1!$B$2:$C$2</c:f>
              <c:strCache>
                <c:ptCount val="2"/>
                <c:pt idx="0">
                  <c:v>收入</c:v>
                </c:pt>
                <c:pt idx="1">
                  <c:v>支出</c:v>
                </c:pt>
              </c:strCache>
            </c:strRef>
          </c:cat>
          <c:val>
            <c:numRef>
              <c:f>[工作簿2]Sheet1!$B$4:$C$4</c:f>
              <c:numCache>
                <c:formatCode>General</c:formatCode>
                <c:ptCount val="2"/>
                <c:pt idx="0">
                  <c:v>4394.25</c:v>
                </c:pt>
                <c:pt idx="1">
                  <c:v>4324.25</c:v>
                </c:pt>
              </c:numCache>
            </c:numRef>
          </c:val>
        </c:ser>
        <c:dLbls>
          <c:showLegendKey val="0"/>
          <c:showVal val="1"/>
          <c:showCatName val="0"/>
          <c:showSerName val="0"/>
          <c:showPercent val="0"/>
          <c:showBubbleSize val="0"/>
        </c:dLbls>
        <c:gapWidth val="219"/>
        <c:overlap val="-27"/>
        <c:axId val="85534047"/>
        <c:axId val="714777068"/>
      </c:barChart>
      <c:catAx>
        <c:axId val="85534047"/>
        <c:scaling>
          <c:orientation val="minMax"/>
        </c:scaling>
        <c:delete val="0"/>
        <c:axPos val="b"/>
        <c:majorTickMark val="none"/>
        <c:minorTickMark val="none"/>
        <c:tickLblPos val="nextTo"/>
        <c:spPr>
          <a:noFill/>
          <a:ln w="9525" cap="flat" cmpd="sng" algn="ctr">
            <a:solidFill>
              <a:srgbClr val="D9D9D9">
                <a:lumMod val="15000"/>
                <a:lumOff val="85000"/>
              </a:srgbClr>
            </a:solidFill>
            <a:round/>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714777068"/>
        <c:crosses val="autoZero"/>
        <c:auto val="1"/>
        <c:lblAlgn val="ctr"/>
        <c:lblOffset val="100"/>
        <c:noMultiLvlLbl val="0"/>
      </c:catAx>
      <c:valAx>
        <c:axId val="714777068"/>
        <c:scaling>
          <c:orientation val="minMax"/>
        </c:scaling>
        <c:delete val="0"/>
        <c:axPos val="l"/>
        <c:majorGridlines>
          <c:spPr>
            <a:ln w="9525" cap="flat" cmpd="sng" algn="ctr">
              <a:solidFill>
                <a:srgbClr val="D9D9D9">
                  <a:lumMod val="15000"/>
                  <a:lumOff val="85000"/>
                </a:srgb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8553404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t>财政拨款收支与年初预算对比图</a:t>
            </a:r>
          </a:p>
        </c:rich>
      </c:tx>
      <c:layout/>
      <c:overlay val="0"/>
      <c:spPr>
        <a:noFill/>
        <a:ln>
          <a:noFill/>
        </a:ln>
        <a:effectLst/>
      </c:spPr>
    </c:title>
    <c:autoTitleDeleted val="0"/>
    <c:plotArea>
      <c:layout/>
      <c:barChart>
        <c:barDir val="col"/>
        <c:grouping val="clustered"/>
        <c:varyColors val="0"/>
        <c:ser>
          <c:idx val="0"/>
          <c:order val="0"/>
          <c:tx>
            <c:strRef>
              <c:f>[工作簿2]Sheet1!$A$3</c:f>
              <c:strCache>
                <c:ptCount val="1"/>
                <c:pt idx="0">
                  <c:v>收入</c:v>
                </c:pt>
              </c:strCache>
            </c:strRef>
          </c:tx>
          <c:spPr>
            <a:solidFill>
              <a:srgbClr val="4F81BD"/>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[工作簿2]Sheet1!$B$2:$C$2</c:f>
              <c:strCache>
                <c:ptCount val="2"/>
                <c:pt idx="0">
                  <c:v>预算</c:v>
                </c:pt>
                <c:pt idx="1">
                  <c:v>决算</c:v>
                </c:pt>
              </c:strCache>
            </c:strRef>
          </c:cat>
          <c:val>
            <c:numRef>
              <c:f>[工作簿2]Sheet1!$B$3:$C$3</c:f>
              <c:numCache>
                <c:formatCode>General</c:formatCode>
                <c:ptCount val="2"/>
                <c:pt idx="0">
                  <c:v>4779.98</c:v>
                </c:pt>
                <c:pt idx="1">
                  <c:v>4394.25</c:v>
                </c:pt>
              </c:numCache>
            </c:numRef>
          </c:val>
        </c:ser>
        <c:ser>
          <c:idx val="1"/>
          <c:order val="1"/>
          <c:tx>
            <c:strRef>
              <c:f>[工作簿2]Sheet1!$A$4</c:f>
              <c:strCache>
                <c:ptCount val="1"/>
                <c:pt idx="0">
                  <c:v>支出</c:v>
                </c:pt>
              </c:strCache>
            </c:strRef>
          </c:tx>
          <c:spPr>
            <a:solidFill>
              <a:srgbClr val="C0504D"/>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[工作簿2]Sheet1!$B$2:$C$2</c:f>
              <c:strCache>
                <c:ptCount val="2"/>
                <c:pt idx="0">
                  <c:v>预算</c:v>
                </c:pt>
                <c:pt idx="1">
                  <c:v>决算</c:v>
                </c:pt>
              </c:strCache>
            </c:strRef>
          </c:cat>
          <c:val>
            <c:numRef>
              <c:f>[工作簿2]Sheet1!$B$4:$C$4</c:f>
              <c:numCache>
                <c:formatCode>General</c:formatCode>
                <c:ptCount val="2"/>
                <c:pt idx="0">
                  <c:v>4779.98</c:v>
                </c:pt>
                <c:pt idx="1">
                  <c:v>4324.25</c:v>
                </c:pt>
              </c:numCache>
            </c:numRef>
          </c:val>
        </c:ser>
        <c:dLbls>
          <c:showLegendKey val="0"/>
          <c:showVal val="1"/>
          <c:showCatName val="0"/>
          <c:showSerName val="0"/>
          <c:showPercent val="0"/>
          <c:showBubbleSize val="0"/>
        </c:dLbls>
        <c:gapWidth val="219"/>
        <c:overlap val="-27"/>
        <c:axId val="85534047"/>
        <c:axId val="714777068"/>
      </c:barChart>
      <c:catAx>
        <c:axId val="85534047"/>
        <c:scaling>
          <c:orientation val="minMax"/>
        </c:scaling>
        <c:delete val="0"/>
        <c:axPos val="b"/>
        <c:majorTickMark val="none"/>
        <c:minorTickMark val="none"/>
        <c:tickLblPos val="nextTo"/>
        <c:spPr>
          <a:noFill/>
          <a:ln w="9525" cap="flat" cmpd="sng" algn="ctr">
            <a:solidFill>
              <a:srgbClr val="D9D9D9">
                <a:lumMod val="15000"/>
                <a:lumOff val="85000"/>
              </a:srgbClr>
            </a:solidFill>
            <a:round/>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714777068"/>
        <c:crosses val="autoZero"/>
        <c:auto val="1"/>
        <c:lblAlgn val="ctr"/>
        <c:lblOffset val="100"/>
        <c:noMultiLvlLbl val="0"/>
      </c:catAx>
      <c:valAx>
        <c:axId val="714777068"/>
        <c:scaling>
          <c:orientation val="minMax"/>
        </c:scaling>
        <c:delete val="0"/>
        <c:axPos val="l"/>
        <c:majorGridlines>
          <c:spPr>
            <a:ln w="9525" cap="flat" cmpd="sng" algn="ctr">
              <a:solidFill>
                <a:srgbClr val="D9D9D9">
                  <a:lumMod val="15000"/>
                  <a:lumOff val="85000"/>
                </a:srgb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8553404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ysClr val="windowText" lastClr="000000">
                    <a:lumMod val="65000"/>
                    <a:lumOff val="35000"/>
                  </a:sysClr>
                </a:solidFill>
                <a:latin typeface="+mn-lt"/>
                <a:ea typeface="+mn-ea"/>
                <a:cs typeface="+mn-cs"/>
              </a:defRPr>
            </a:pPr>
            <a:r>
              <a:t>财政拨款支出决算结构（按功能分类）</a:t>
            </a:r>
          </a:p>
        </c:rich>
      </c:tx>
      <c:layout/>
      <c:overlay val="0"/>
      <c:spPr>
        <a:noFill/>
        <a:ln>
          <a:noFill/>
        </a:ln>
        <a:effectLst/>
      </c:spPr>
    </c:title>
    <c:autoTitleDeleted val="0"/>
    <c:plotArea>
      <c:layout/>
      <c:pieChart>
        <c:varyColors val="1"/>
        <c:ser>
          <c:idx val="0"/>
          <c:order val="0"/>
          <c:spPr/>
          <c:explosion val="0"/>
          <c:dPt>
            <c:idx val="0"/>
            <c:bubble3D val="0"/>
            <c:spPr>
              <a:solidFill>
                <a:srgbClr val="5B9BD5"/>
              </a:solidFill>
              <a:ln w="19050">
                <a:solidFill>
                  <a:sysClr val="window" lastClr="FFFFFF"/>
                </a:solidFill>
              </a:ln>
              <a:effectLst/>
            </c:spPr>
          </c:dPt>
          <c:dPt>
            <c:idx val="1"/>
            <c:bubble3D val="0"/>
            <c:spPr>
              <a:solidFill>
                <a:srgbClr val="ED7D31"/>
              </a:solidFill>
              <a:ln w="19050">
                <a:solidFill>
                  <a:sysClr val="window" lastClr="FFFFFF"/>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ysClr val="windowText" lastClr="000000">
                        <a:lumMod val="75000"/>
                        <a:lumOff val="25000"/>
                      </a:sys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ysClr val="windowText" lastClr="000000">
                          <a:lumMod val="35000"/>
                          <a:lumOff val="65000"/>
                        </a:sysClr>
                      </a:solidFill>
                      <a:round/>
                    </a:ln>
                    <a:effectLst/>
                  </c:spPr>
                </c15:leaderLines>
              </c:ext>
            </c:extLst>
          </c:dLbls>
          <c:cat>
            <c:strRef>
              <c:f>[工作簿2]Sheet1!$A$3:$A$4</c:f>
              <c:strCache>
                <c:ptCount val="2"/>
                <c:pt idx="0">
                  <c:v>一般公共服务支出</c:v>
                </c:pt>
                <c:pt idx="1">
                  <c:v>教育支出</c:v>
                </c:pt>
              </c:strCache>
            </c:strRef>
          </c:cat>
          <c:val>
            <c:numRef>
              <c:f>[工作簿2]Sheet1!$B$3:$B$4</c:f>
              <c:numCache>
                <c:formatCode>0.00%</c:formatCode>
                <c:ptCount val="2"/>
                <c:pt idx="0">
                  <c:v>0.1948</c:v>
                </c:pt>
                <c:pt idx="1">
                  <c:v>0.8052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legend>
    <c:plotVisOnly val="1"/>
    <c:dispBlanksAs val="gap"/>
    <c:showDLblsOverMax val="0"/>
  </c:chart>
  <c:spPr>
    <a:solidFill>
      <a:sysClr val="window" lastClr="FFFFFF"/>
    </a:solidFill>
    <a:ln w="9525" cap="flat" cmpd="sng" algn="ctr">
      <a:solidFill>
        <a:sysClr val="windowText" lastClr="000000">
          <a:lumMod val="15000"/>
          <a:lumOff val="85000"/>
        </a:sys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10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dataPoint>
  <cs:dataPoint3D>
    <cs:lnRef idx="0"/>
    <cs:fillRef idx="1">
      <cs:styleClr val="auto"/>
    </cs:fillRef>
    <cs:effectRef idx="0"/>
    <cs:fontRef idx="minor">
      <a:srgbClr val="000000"/>
    </cs:fontRef>
  </cs:dataPoint3D>
  <cs:dataPointLine>
    <cs:lnRef idx="0">
      <cs:styleClr val="auto"/>
    </cs:lnRef>
    <cs:fillRef idx="1"/>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1"/>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595959">
          <a:lumMod val="65000"/>
          <a:lumOff val="35000"/>
        </a:srgbClr>
      </a:solidFill>
      <a:ln w="9525">
        <a:solidFill>
          <a:srgbClr val="595959">
            <a:lumMod val="65000"/>
            <a:lumOff val="35000"/>
          </a:srgbClr>
        </a:solidFill>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404040">
            <a:lumMod val="75000"/>
            <a:lumOff val="25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a:solidFill>
          <a:srgbClr val="D9D9D9">
            <a:lumMod val="15000"/>
            <a:lumOff val="85000"/>
          </a:srgbClr>
        </a:solidFill>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9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spPr>
      <a:ln w="19050">
        <a:solidFill>
          <a:srgbClr val="FFFFFF"/>
        </a:solidFill>
      </a:ln>
    </cs:spPr>
  </cs:dataPoint>
  <cs:dataPoint3D>
    <cs:lnRef idx="0"/>
    <cs:fillRef idx="1">
      <cs:styleClr val="auto"/>
    </cs:fillRef>
    <cs:effectRef idx="0"/>
    <cs:fontRef idx="minor">
      <a:srgbClr val="000000"/>
    </cs:fontRef>
    <cs:spPr>
      <a:ln w="25400">
        <a:solidFill>
          <a:srgbClr val="FFFFFF"/>
        </a:solidFill>
      </a:ln>
    </cs:spPr>
  </cs:dataPoint3D>
  <cs:dataPointLine>
    <cs:lnRef idx="0">
      <cs:styleClr val="auto"/>
    </cs:lnRef>
    <cs:fillRef idx="0"/>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0"/>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404040">
          <a:lumMod val="75000"/>
          <a:lumOff val="25000"/>
        </a:srgbClr>
      </a:solidFill>
      <a:ln w="9525" cap="flat" cmpd="sng" algn="ctr">
        <a:solidFill>
          <a:srgbClr val="595959">
            <a:lumMod val="65000"/>
            <a:lumOff val="35000"/>
          </a:srgbClr>
        </a:solidFill>
        <a:round/>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808080">
            <a:lumMod val="50000"/>
            <a:lumOff val="50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cap="flat" cmpd="sng" algn="ctr">
        <a:solidFill>
          <a:srgbClr val="595959">
            <a:lumMod val="65000"/>
            <a:lumOff val="35000"/>
          </a:srgbClr>
        </a:solidFill>
        <a:round/>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10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dataPoint>
  <cs:dataPoint3D>
    <cs:lnRef idx="0"/>
    <cs:fillRef idx="1">
      <cs:styleClr val="auto"/>
    </cs:fillRef>
    <cs:effectRef idx="0"/>
    <cs:fontRef idx="minor">
      <a:srgbClr val="000000"/>
    </cs:fontRef>
  </cs:dataPoint3D>
  <cs:dataPointLine>
    <cs:lnRef idx="0">
      <cs:styleClr val="auto"/>
    </cs:lnRef>
    <cs:fillRef idx="1"/>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1"/>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595959">
          <a:lumMod val="65000"/>
          <a:lumOff val="35000"/>
        </a:srgbClr>
      </a:solidFill>
      <a:ln w="9525">
        <a:solidFill>
          <a:srgbClr val="595959">
            <a:lumMod val="65000"/>
            <a:lumOff val="35000"/>
          </a:srgbClr>
        </a:solidFill>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404040">
            <a:lumMod val="75000"/>
            <a:lumOff val="25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a:solidFill>
          <a:srgbClr val="D9D9D9">
            <a:lumMod val="15000"/>
            <a:lumOff val="85000"/>
          </a:srgbClr>
        </a:solidFill>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ysClr val="windowText" lastClr="000000">
        <a:lumMod val="65000"/>
        <a:lumOff val="35000"/>
      </a:sysClr>
    </cs:fontRef>
    <cs:defRPr sz="1000" kern="1200"/>
  </cs:axisTitle>
  <cs:categoryAxis>
    <cs:lnRef idx="0"/>
    <cs:fillRef idx="0"/>
    <cs:effectRef idx="0"/>
    <cs:fontRef idx="minor">
      <a:sysClr val="windowText" lastClr="000000">
        <a:lumMod val="65000"/>
        <a:lumOff val="35000"/>
      </a:sysClr>
    </cs:fontRef>
    <cs:spPr>
      <a:ln w="9525" cap="flat" cmpd="sng" algn="ctr">
        <a:solidFill>
          <a:sysClr val="windowText" lastClr="000000">
            <a:lumMod val="15000"/>
            <a:lumOff val="85000"/>
          </a:sysClr>
        </a:solidFill>
        <a:round/>
      </a:ln>
    </cs:spPr>
    <cs:defRPr sz="900" kern="1200"/>
  </cs:categoryAxis>
  <cs:chartArea mods="allowNoFillOverride allowNoLineOverride">
    <cs:lnRef idx="0"/>
    <cs:fillRef idx="0"/>
    <cs:effectRef idx="0"/>
    <cs:fontRef idx="minor">
      <a:sysClr val="windowText" lastClr="000000"/>
    </cs:fontRef>
    <cs:spPr>
      <a:solidFill>
        <a:sysClr val="window" lastClr="FFFFFF"/>
      </a:solidFill>
      <a:ln w="9525" cap="flat" cmpd="sng" algn="ctr">
        <a:solidFill>
          <a:sysClr val="windowText" lastClr="000000">
            <a:lumMod val="15000"/>
            <a:lumOff val="85000"/>
          </a:sysClr>
        </a:solidFill>
        <a:round/>
      </a:ln>
    </cs:spPr>
    <cs:defRPr sz="900" kern="1200"/>
  </cs:chartArea>
  <cs:dataLabel>
    <cs:lnRef idx="0"/>
    <cs:fillRef idx="0"/>
    <cs:effectRef idx="0"/>
    <cs:fontRef idx="minor">
      <a:sysClr val="windowText" lastClr="000000">
        <a:lumMod val="75000"/>
        <a:lumOff val="25000"/>
      </a:sysClr>
    </cs:fontRef>
    <cs:defRPr sz="900" kern="1200"/>
  </cs:dataLabel>
  <cs:dataLabelCallout>
    <cs:lnRef idx="0"/>
    <cs:fillRef idx="0"/>
    <cs:effectRef idx="0"/>
    <cs:fontRef idx="minor">
      <a:sysClr val="windowText" lastClr="000000">
        <a:lumMod val="65000"/>
        <a:lumOff val="35000"/>
      </a:sysClr>
    </cs:fontRef>
    <cs:spPr>
      <a:solidFill>
        <a:sysClr val="window" lastClr="FFFFFF"/>
      </a:solidFill>
      <a:ln>
        <a:solidFill>
          <a:sysClr val="windowText" lastClr="000000">
            <a:lumMod val="25000"/>
            <a:lumOff val="75000"/>
          </a:sys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ysClr val="windowText" lastClr="000000"/>
    </cs:fontRef>
    <cs:spPr>
      <a:ln w="19050">
        <a:solidFill>
          <a:sysClr val="window" lastClr="FFFFFF"/>
        </a:solidFill>
      </a:ln>
    </cs:spPr>
  </cs:dataPoint>
  <cs:dataPoint3D>
    <cs:lnRef idx="0"/>
    <cs:fillRef idx="1">
      <cs:styleClr val="auto"/>
    </cs:fillRef>
    <cs:effectRef idx="0"/>
    <cs:fontRef idx="minor">
      <a:sysClr val="windowText" lastClr="000000"/>
    </cs:fontRef>
    <cs:spPr>
      <a:ln w="25400">
        <a:solidFill>
          <a:sysClr val="window" lastClr="FFFFFF"/>
        </a:solidFill>
      </a:ln>
    </cs:spPr>
  </cs:dataPoint3D>
  <cs:dataPointLine>
    <cs:lnRef idx="0">
      <cs:styleClr val="auto"/>
    </cs:lnRef>
    <cs:fillRef idx="0"/>
    <cs:effectRef idx="0"/>
    <cs:fontRef idx="minor">
      <a:sysClr val="windowText" lastClr="000000"/>
    </cs:fontRef>
    <cs:spPr>
      <a:ln w="28575" cap="rnd">
        <a:solidFill>
          <a:srgbClr val="FFFFFF"/>
        </a:solidFill>
        <a:round/>
      </a:ln>
    </cs:spPr>
  </cs:dataPointLine>
  <cs:dataPointMarker>
    <cs:lnRef idx="0">
      <cs:styleClr val="auto"/>
    </cs:lnRef>
    <cs:fillRef idx="1">
      <cs:styleClr val="auto"/>
    </cs:fillRef>
    <cs:effectRef idx="0"/>
    <cs:fontRef idx="minor">
      <a:sysClr val="windowText" lastClr="000000"/>
    </cs:fontRef>
    <cs:spPr>
      <a:ln w="9525">
        <a:solidFill>
          <a:srgbClr val="FFFFFF"/>
        </a:solidFill>
      </a:ln>
    </cs:spPr>
  </cs:dataPointMarker>
  <cs:dataPointMarkerLayout symbol="circle" size="5"/>
  <cs:dataPointWireframe>
    <cs:lnRef idx="0">
      <cs:styleClr val="auto"/>
    </cs:lnRef>
    <cs:fillRef idx="0"/>
    <cs:effectRef idx="0"/>
    <cs:fontRef idx="minor">
      <a:sysClr val="windowText" lastClr="000000"/>
    </cs:fontRef>
    <cs:spPr>
      <a:ln w="9525" cap="rnd">
        <a:solidFill>
          <a:srgbClr val="FFFFFF"/>
        </a:solidFill>
        <a:round/>
      </a:ln>
    </cs:spPr>
  </cs:dataPointWireframe>
  <cs:dataTable>
    <cs:lnRef idx="0"/>
    <cs:fillRef idx="0"/>
    <cs:effectRef idx="0"/>
    <cs:fontRef idx="minor">
      <a:sysClr val="windowText" lastClr="000000">
        <a:lumMod val="65000"/>
        <a:lumOff val="35000"/>
      </a:sysClr>
    </cs:fontRef>
    <cs:spPr>
      <a:noFill/>
      <a:ln w="9525" cap="flat" cmpd="sng" algn="ctr">
        <a:solidFill>
          <a:sysClr val="windowText" lastClr="000000">
            <a:lumMod val="15000"/>
            <a:lumOff val="85000"/>
          </a:sysClr>
        </a:solidFill>
        <a:round/>
      </a:ln>
    </cs:spPr>
    <cs:defRPr sz="900" kern="1200"/>
  </cs:dataTable>
  <cs:downBar>
    <cs:lnRef idx="0"/>
    <cs:fillRef idx="0"/>
    <cs:effectRef idx="0"/>
    <cs:fontRef idx="minor">
      <a:sysClr val="windowText" lastClr="000000"/>
    </cs:fontRef>
    <cs:spPr>
      <a:solidFill>
        <a:sysClr val="windowText" lastClr="000000">
          <a:lumMod val="75000"/>
          <a:lumOff val="25000"/>
        </a:sysClr>
      </a:solidFill>
      <a:ln w="9525" cap="flat" cmpd="sng" algn="ctr">
        <a:solidFill>
          <a:sysClr val="windowText" lastClr="000000">
            <a:lumMod val="65000"/>
            <a:lumOff val="35000"/>
          </a:sysClr>
        </a:solidFill>
        <a:round/>
      </a:ln>
    </cs:spPr>
  </cs:downBar>
  <cs:dropLine>
    <cs:lnRef idx="0"/>
    <cs:fillRef idx="0"/>
    <cs:effectRef idx="0"/>
    <cs:fontRef idx="minor">
      <a:sysClr val="windowText" lastClr="000000"/>
    </cs:fontRef>
    <cs:spPr>
      <a:ln w="9525" cap="flat" cmpd="sng" algn="ctr">
        <a:solidFill>
          <a:sysClr val="windowText" lastClr="000000">
            <a:lumMod val="35000"/>
            <a:lumOff val="65000"/>
          </a:sysClr>
        </a:solidFill>
        <a:round/>
      </a:ln>
    </cs:spPr>
  </cs:dropLine>
  <cs:errorBar>
    <cs:lnRef idx="0"/>
    <cs:fillRef idx="0"/>
    <cs:effectRef idx="0"/>
    <cs:fontRef idx="minor">
      <a:sysClr val="windowText" lastClr="000000"/>
    </cs:fontRef>
    <cs:spPr>
      <a:ln w="9525" cap="flat" cmpd="sng" algn="ctr">
        <a:solidFill>
          <a:sysClr val="windowText" lastClr="000000">
            <a:lumMod val="65000"/>
            <a:lumOff val="35000"/>
          </a:sysClr>
        </a:solidFill>
        <a:round/>
      </a:ln>
    </cs:spPr>
  </cs:errorBar>
  <cs:floor>
    <cs:lnRef idx="0"/>
    <cs:fillRef idx="0"/>
    <cs:effectRef idx="0"/>
    <cs:fontRef idx="minor">
      <a:sysClr val="windowText" lastClr="000000"/>
    </cs:fontRef>
    <cs:spPr>
      <a:noFill/>
      <a:ln>
        <a:noFill/>
      </a:ln>
    </cs:spPr>
  </cs:floor>
  <cs:gridlineMajor>
    <cs:lnRef idx="0"/>
    <cs:fillRef idx="0"/>
    <cs:effectRef idx="0"/>
    <cs:fontRef idx="minor">
      <a:sysClr val="windowText" lastClr="000000"/>
    </cs:fontRef>
    <cs:spPr>
      <a:ln w="9525" cap="flat" cmpd="sng" algn="ctr">
        <a:solidFill>
          <a:sysClr val="windowText" lastClr="000000">
            <a:lumMod val="15000"/>
            <a:lumOff val="85000"/>
          </a:sysClr>
        </a:solidFill>
        <a:round/>
      </a:ln>
    </cs:spPr>
  </cs:gridlineMajor>
  <cs:gridlineMinor>
    <cs:lnRef idx="0"/>
    <cs:fillRef idx="0"/>
    <cs:effectRef idx="0"/>
    <cs:fontRef idx="minor">
      <a:sysClr val="windowText" lastClr="000000"/>
    </cs:fontRef>
    <cs:spPr>
      <a:ln w="9525" cap="flat" cmpd="sng" algn="ctr">
        <a:solidFill>
          <a:sysClr val="windowText" lastClr="000000">
            <a:lumMod val="5000"/>
            <a:lumOff val="95000"/>
          </a:sysClr>
        </a:solidFill>
        <a:round/>
      </a:ln>
    </cs:spPr>
  </cs:gridlineMinor>
  <cs:hiLoLine>
    <cs:lnRef idx="0"/>
    <cs:fillRef idx="0"/>
    <cs:effectRef idx="0"/>
    <cs:fontRef idx="minor">
      <a:sysClr val="windowText" lastClr="000000"/>
    </cs:fontRef>
    <cs:spPr>
      <a:ln w="9525" cap="flat" cmpd="sng" algn="ctr">
        <a:solidFill>
          <a:sysClr val="windowText" lastClr="000000">
            <a:lumMod val="50000"/>
            <a:lumOff val="50000"/>
          </a:sysClr>
        </a:solidFill>
        <a:round/>
      </a:ln>
    </cs:spPr>
  </cs:hiLoLine>
  <cs:leaderLine>
    <cs:lnRef idx="0"/>
    <cs:fillRef idx="0"/>
    <cs:effectRef idx="0"/>
    <cs:fontRef idx="minor">
      <a:sysClr val="windowText" lastClr="000000"/>
    </cs:fontRef>
    <cs:spPr>
      <a:ln w="9525" cap="flat" cmpd="sng" algn="ctr">
        <a:solidFill>
          <a:sysClr val="windowText" lastClr="000000">
            <a:lumMod val="35000"/>
            <a:lumOff val="65000"/>
          </a:sysClr>
        </a:solidFill>
        <a:round/>
      </a:ln>
    </cs:spPr>
  </cs:leaderLine>
  <cs:legend>
    <cs:lnRef idx="0"/>
    <cs:fillRef idx="0"/>
    <cs:effectRef idx="0"/>
    <cs:fontRef idx="minor">
      <a:sysClr val="windowText" lastClr="000000">
        <a:lumMod val="65000"/>
        <a:lumOff val="35000"/>
      </a:sysClr>
    </cs:fontRef>
    <cs:defRPr sz="900" kern="1200"/>
  </cs:legend>
  <cs:plotArea mods="allowNoFillOverride allowNoLineOverride">
    <cs:lnRef idx="0"/>
    <cs:fillRef idx="0"/>
    <cs:effectRef idx="0"/>
    <cs:fontRef idx="minor">
      <a:sysClr val="windowText" lastClr="000000"/>
    </cs:fontRef>
  </cs:plotArea>
  <cs:plotArea3D mods="allowNoFillOverride allowNoLineOverride">
    <cs:lnRef idx="0"/>
    <cs:fillRef idx="0"/>
    <cs:effectRef idx="0"/>
    <cs:fontRef idx="minor">
      <a:sysClr val="windowText" lastClr="000000"/>
    </cs:fontRef>
  </cs:plotArea3D>
  <cs:seriesAxis>
    <cs:lnRef idx="0"/>
    <cs:fillRef idx="0"/>
    <cs:effectRef idx="0"/>
    <cs:fontRef idx="minor">
      <a:sysClr val="windowText" lastClr="000000">
        <a:lumMod val="65000"/>
        <a:lumOff val="35000"/>
      </a:sysClr>
    </cs:fontRef>
    <cs:defRPr sz="900" kern="1200"/>
  </cs:seriesAxis>
  <cs:seriesLine>
    <cs:lnRef idx="0"/>
    <cs:fillRef idx="0"/>
    <cs:effectRef idx="0"/>
    <cs:fontRef idx="minor">
      <a:sysClr val="windowText" lastClr="000000"/>
    </cs:fontRef>
    <cs:spPr>
      <a:ln w="9525" cap="flat" cmpd="sng" algn="ctr">
        <a:solidFill>
          <a:sysClr val="windowText" lastClr="000000">
            <a:lumMod val="35000"/>
            <a:lumOff val="65000"/>
          </a:sysClr>
        </a:solidFill>
        <a:round/>
      </a:ln>
    </cs:spPr>
  </cs:seriesLine>
  <cs:title>
    <cs:lnRef idx="0"/>
    <cs:fillRef idx="0"/>
    <cs:effectRef idx="0"/>
    <cs:fontRef idx="minor">
      <a:sysClr val="windowText" lastClr="000000">
        <a:lumMod val="65000"/>
        <a:lumOff val="35000"/>
      </a:sysClr>
    </cs:fontRef>
    <cs:defRPr sz="1400" b="0" kern="1200" spc="0" baseline="0"/>
  </cs:title>
  <cs:trendline>
    <cs:lnRef idx="0">
      <cs:styleClr val="auto"/>
    </cs:lnRef>
    <cs:fillRef idx="0"/>
    <cs:effectRef idx="0"/>
    <cs:fontRef idx="minor">
      <a:sysClr val="windowText" lastClr="000000"/>
    </cs:fontRef>
    <cs:spPr>
      <a:ln w="19050" cap="rnd">
        <a:solidFill>
          <a:srgbClr val="FFFFFF"/>
        </a:solidFill>
        <a:prstDash val="sysDot"/>
      </a:ln>
    </cs:spPr>
  </cs:trendline>
  <cs:trendlineLabel>
    <cs:lnRef idx="0"/>
    <cs:fillRef idx="0"/>
    <cs:effectRef idx="0"/>
    <cs:fontRef idx="minor">
      <a:sysClr val="windowText" lastClr="000000">
        <a:lumMod val="65000"/>
        <a:lumOff val="35000"/>
      </a:sysClr>
    </cs:fontRef>
    <cs:defRPr sz="900" kern="1200"/>
  </cs:trendlineLabel>
  <cs:upBar>
    <cs:lnRef idx="0"/>
    <cs:fillRef idx="0"/>
    <cs:effectRef idx="0"/>
    <cs:fontRef idx="minor">
      <a:sysClr val="windowText" lastClr="000000"/>
    </cs:fontRef>
    <cs:spPr>
      <a:solidFill>
        <a:sysClr val="window" lastClr="FFFFFF"/>
      </a:solidFill>
      <a:ln w="9525" cap="flat" cmpd="sng" algn="ctr">
        <a:solidFill>
          <a:sysClr val="windowText" lastClr="000000">
            <a:lumMod val="65000"/>
            <a:lumOff val="35000"/>
          </a:sysClr>
        </a:solidFill>
        <a:round/>
      </a:ln>
    </cs:spPr>
  </cs:upBar>
  <cs:valueAxis>
    <cs:lnRef idx="0"/>
    <cs:fillRef idx="0"/>
    <cs:effectRef idx="0"/>
    <cs:fontRef idx="minor">
      <a:sysClr val="windowText" lastClr="000000">
        <a:lumMod val="65000"/>
        <a:lumOff val="35000"/>
      </a:sysClr>
    </cs:fontRef>
    <cs:defRPr sz="900" kern="1200"/>
  </cs:valueAxis>
  <cs:wall>
    <cs:lnRef idx="0"/>
    <cs:fillRef idx="0"/>
    <cs:effectRef idx="0"/>
    <cs:fontRef idx="minor">
      <a:sysClr val="windowText" lastClr="000000"/>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rgbClr val="FFFFFF"/>
      </a:solidFill>
      <a:gradFill rotWithShape="1">
        <a:gsLst>
          <a:gs pos="0">
            <a:srgbClr val="FFFFFF">
              <a:lumMod val="110000"/>
              <a:satMod val="105000"/>
              <a:tint val="67000"/>
            </a:srgbClr>
          </a:gs>
          <a:gs pos="50000">
            <a:srgbClr val="FFFFFF">
              <a:lumMod val="105000"/>
              <a:satMod val="103000"/>
              <a:tint val="73000"/>
            </a:srgbClr>
          </a:gs>
          <a:gs pos="100000">
            <a:srgbClr val="FFFFFF">
              <a:lumMod val="105000"/>
              <a:satMod val="109000"/>
              <a:tint val="81000"/>
            </a:srgbClr>
          </a:gs>
        </a:gsLst>
        <a:lin ang="5400000" scaled="0"/>
      </a:gradFill>
      <a:gradFill rotWithShape="1">
        <a:gsLst>
          <a:gs pos="0">
            <a:srgbClr val="FFFFFF">
              <a:satMod val="103000"/>
              <a:lumMod val="102000"/>
              <a:tint val="94000"/>
            </a:srgbClr>
          </a:gs>
          <a:gs pos="50000">
            <a:srgbClr val="FFFFFF">
              <a:satMod val="110000"/>
              <a:lumMod val="100000"/>
              <a:shade val="100000"/>
            </a:srgbClr>
          </a:gs>
          <a:gs pos="100000">
            <a:srgbClr val="E2E2E2">
              <a:lumMod val="99000"/>
              <a:satMod val="120000"/>
              <a:shade val="78000"/>
            </a:srgbClr>
          </a:gs>
        </a:gsLst>
        <a:lin ang="5400000" scaled="0"/>
      </a:gradFill>
    </a:fillStyleLst>
    <a:lnStyleLst>
      <a:ln w="6350" cap="flat" cmpd="sng" algn="ctr">
        <a:solidFill>
          <a:srgbClr val="FFFFFF"/>
        </a:solidFill>
        <a:prstDash val="solid"/>
        <a:miter lim="800000"/>
      </a:ln>
      <a:ln w="12700" cap="flat" cmpd="sng" algn="ctr">
        <a:solidFill>
          <a:srgbClr val="FFFFFF"/>
        </a:solidFill>
        <a:prstDash val="solid"/>
        <a:miter lim="800000"/>
      </a:ln>
      <a:ln w="19050" cap="flat" cmpd="sng" algn="ctr">
        <a:solidFill>
          <a:srgbClr val="FFFFFF"/>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rgbClr val="FFFFFF"/>
      </a:solidFill>
      <a:solidFill>
        <a:srgbClr val="FFFFFF">
          <a:tint val="95000"/>
          <a:satMod val="170000"/>
        </a:srgbClr>
      </a:solidFill>
      <a:gradFill rotWithShape="1">
        <a:gsLst>
          <a:gs pos="0">
            <a:srgbClr val="FFFFFF">
              <a:tint val="93000"/>
              <a:satMod val="150000"/>
              <a:shade val="98000"/>
              <a:lumMod val="102000"/>
            </a:srgbClr>
          </a:gs>
          <a:gs pos="50000">
            <a:srgbClr val="FBFBFB">
              <a:tint val="98000"/>
              <a:satMod val="130000"/>
              <a:shade val="90000"/>
              <a:lumMod val="103000"/>
            </a:srgbClr>
          </a:gs>
          <a:gs pos="100000">
            <a:srgbClr val="D0D0D0">
              <a:shade val="63000"/>
              <a:satMod val="120000"/>
            </a:srgb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CD1E827-19D1-46D7-933E-C2DAF5870E06}">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33</Pages>
  <Words>1663</Words>
  <Characters>9482</Characters>
  <Lines>79</Lines>
  <Paragraphs>22</Paragraphs>
  <TotalTime>2</TotalTime>
  <ScaleCrop>false</ScaleCrop>
  <LinksUpToDate>false</LinksUpToDate>
  <CharactersWithSpaces>11123</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是小段啊。</cp:lastModifiedBy>
  <cp:lastPrinted>2020-07-30T02:37:00Z</cp:lastPrinted>
  <dcterms:modified xsi:type="dcterms:W3CDTF">2024-02-23T02:09:58Z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04367E03BB724622996FADA800ABB05D_13</vt:lpwstr>
  </property>
</Properties>
</file>